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MatchMind AI</w:t>
      </w:r>
    </w:p>
    <w:p>
      <w:r>
        <w:t>Product Requirements &amp; Technical Architecture Blueprint | Version 1.0 | 15 October 2026</w:t>
      </w:r>
    </w:p>
    <w:p>
      <w:r>
        <w:t>Explain the game. Not just the score.</w:t>
      </w:r>
    </w:p>
    <w:p>
      <w:r>
        <w:t>Purpose: Microsoft Premier League Hackathon submission by 27 October 2026, with a commercially extensible B2B architecture.</w:t>
      </w:r>
    </w:p>
    <w:p>
      <w:pPr>
        <w:pStyle w:val="Heading1"/>
      </w:pPr>
      <w:r>
        <w:t>1. Product definition</w:t>
      </w:r>
    </w:p>
    <w:p>
      <w:r>
        <w:t>MatchMind AI ingests synthetic football events, computes reliable match statistics, detects significant patterns, generates evidence-backed explanations, and publishes synchronized broadcast overlays personalized to different audiences.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Experience</w:t>
            </w:r>
          </w:p>
        </w:tc>
        <w:tc>
          <w:tcPr>
            <w:tcW w:type="dxa" w:w="4320"/>
          </w:tcPr>
          <w:p>
            <w:r>
              <w:t>Primary value</w:t>
            </w:r>
          </w:p>
        </w:tc>
      </w:tr>
      <w:tr>
        <w:tc>
          <w:tcPr>
            <w:tcW w:type="dxa" w:w="4320"/>
          </w:tcPr>
          <w:p>
            <w:r>
              <w:t>Broadcast producer</w:t>
            </w:r>
          </w:p>
        </w:tc>
        <w:tc>
          <w:tcPr>
            <w:tcW w:type="dxa" w:w="4320"/>
          </w:tcPr>
          <w:p>
            <w:r>
              <w:t>Timed machine-readable overlays, commentary and recaps</w:t>
            </w:r>
          </w:p>
        </w:tc>
      </w:tr>
      <w:tr>
        <w:tc>
          <w:tcPr>
            <w:tcW w:type="dxa" w:w="4320"/>
          </w:tcPr>
          <w:p>
            <w:r>
              <w:t>Football analyst</w:t>
            </w:r>
          </w:p>
        </w:tc>
        <w:tc>
          <w:tcPr>
            <w:tcW w:type="dxa" w:w="4320"/>
          </w:tcPr>
          <w:p>
            <w:r>
              <w:t>Tactical trends, advanced metrics and inspectable evidence</w:t>
            </w:r>
          </w:p>
        </w:tc>
      </w:tr>
      <w:tr>
        <w:tc>
          <w:tcPr>
            <w:tcW w:type="dxa" w:w="4320"/>
          </w:tcPr>
          <w:p>
            <w:r>
              <w:t>Casual fan</w:t>
            </w:r>
          </w:p>
        </w:tc>
        <w:tc>
          <w:tcPr>
            <w:tcW w:type="dxa" w:w="4320"/>
          </w:tcPr>
          <w:p>
            <w:r>
              <w:t>Accessible explanations of key moments</w:t>
            </w:r>
          </w:p>
        </w:tc>
      </w:tr>
      <w:tr>
        <w:tc>
          <w:tcPr>
            <w:tcW w:type="dxa" w:w="4320"/>
          </w:tcPr>
          <w:p>
            <w:r>
              <w:t>Player-focused fan</w:t>
            </w:r>
          </w:p>
        </w:tc>
        <w:tc>
          <w:tcPr>
            <w:tcW w:type="dxa" w:w="4320"/>
          </w:tcPr>
          <w:p>
            <w:r>
              <w:t>Selected-player performance and involvement</w:t>
            </w:r>
          </w:p>
        </w:tc>
      </w:tr>
      <w:tr>
        <w:tc>
          <w:tcPr>
            <w:tcW w:type="dxa" w:w="4320"/>
          </w:tcPr>
          <w:p>
            <w:r>
              <w:t>International viewer</w:t>
            </w:r>
          </w:p>
        </w:tc>
        <w:tc>
          <w:tcPr>
            <w:tcW w:type="dxa" w:w="4320"/>
          </w:tcPr>
          <w:p>
            <w:r>
              <w:t>Storytelling in a preferred language</w:t>
            </w:r>
          </w:p>
        </w:tc>
      </w:tr>
    </w:tbl>
    <w:p/>
    <w:p>
      <w:pPr>
        <w:pStyle w:val="Heading2"/>
      </w:pPr>
      <w:r>
        <w:t>Defining demonstration</w:t>
      </w:r>
    </w:p>
    <w:p>
      <w:r>
        <w:t>At minute 67 of a synthetic match, attacking-third entries increase from 4 to 11 across consecutive ten-minute windows. Analyst mode provides the statistics and context; fan mode describes the momentum shift in plain language; broadcast mode shows a timed PRESSURE SHIFT overlay. These numbers are illustrative until computed from generated match events.</w:t>
      </w:r>
    </w:p>
    <w:p>
      <w:pPr>
        <w:pStyle w:val="Heading1"/>
      </w:pPr>
      <w:r>
        <w:t>2. Functional requirements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ID</w:t>
            </w:r>
          </w:p>
        </w:tc>
        <w:tc>
          <w:tcPr>
            <w:tcW w:type="dxa" w:w="2880"/>
          </w:tcPr>
          <w:p>
            <w:r>
              <w:t>Requirement</w:t>
            </w:r>
          </w:p>
        </w:tc>
        <w:tc>
          <w:tcPr>
            <w:tcW w:type="dxa" w:w="2880"/>
          </w:tcPr>
          <w:p>
            <w:r>
              <w:t>Priority</w:t>
            </w:r>
          </w:p>
        </w:tc>
      </w:tr>
      <w:tr>
        <w:tc>
          <w:tcPr>
            <w:tcW w:type="dxa" w:w="2880"/>
          </w:tcPr>
          <w:p>
            <w:r>
              <w:t>FR-01</w:t>
            </w:r>
          </w:p>
        </w:tc>
        <w:tc>
          <w:tcPr>
            <w:tcW w:type="dxa" w:w="2880"/>
          </w:tcPr>
          <w:p>
            <w:r>
              <w:t>Generate reproducible football-realistic synthetic events</w:t>
            </w:r>
          </w:p>
        </w:tc>
        <w:tc>
          <w:tcPr>
            <w:tcW w:type="dxa" w:w="2880"/>
          </w:tcPr>
          <w:p>
            <w:r>
              <w:t>P0</w:t>
            </w:r>
          </w:p>
        </w:tc>
      </w:tr>
      <w:tr>
        <w:tc>
          <w:tcPr>
            <w:tcW w:type="dxa" w:w="2880"/>
          </w:tcPr>
          <w:p>
            <w:r>
              <w:t>FR-02</w:t>
            </w:r>
          </w:p>
        </w:tc>
        <w:tc>
          <w:tcPr>
            <w:tcW w:type="dxa" w:w="2880"/>
          </w:tcPr>
          <w:p>
            <w:r>
              <w:t>Stream events with timestamps, clock and sequence IDs</w:t>
            </w:r>
          </w:p>
        </w:tc>
        <w:tc>
          <w:tcPr>
            <w:tcW w:type="dxa" w:w="2880"/>
          </w:tcPr>
          <w:p>
            <w:r>
              <w:t>P0</w:t>
            </w:r>
          </w:p>
        </w:tc>
      </w:tr>
      <w:tr>
        <w:tc>
          <w:tcPr>
            <w:tcW w:type="dxa" w:w="2880"/>
          </w:tcPr>
          <w:p>
            <w:r>
              <w:t>FR-03</w:t>
            </w:r>
          </w:p>
        </w:tc>
        <w:tc>
          <w:tcPr>
            <w:tcW w:type="dxa" w:w="2880"/>
          </w:tcPr>
          <w:p>
            <w:r>
              <w:t>Calculate possession, passes, shots, pressure and player metrics</w:t>
            </w:r>
          </w:p>
        </w:tc>
        <w:tc>
          <w:tcPr>
            <w:tcW w:type="dxa" w:w="2880"/>
          </w:tcPr>
          <w:p>
            <w:r>
              <w:t>P0</w:t>
            </w:r>
          </w:p>
        </w:tc>
      </w:tr>
      <w:tr>
        <w:tc>
          <w:tcPr>
            <w:tcW w:type="dxa" w:w="2880"/>
          </w:tcPr>
          <w:p>
            <w:r>
              <w:t>FR-04</w:t>
            </w:r>
          </w:p>
        </w:tc>
        <w:tc>
          <w:tcPr>
            <w:tcW w:type="dxa" w:w="2880"/>
          </w:tcPr>
          <w:p>
            <w:r>
              <w:t>Detect tactical and momentum changes</w:t>
            </w:r>
          </w:p>
        </w:tc>
        <w:tc>
          <w:tcPr>
            <w:tcW w:type="dxa" w:w="2880"/>
          </w:tcPr>
          <w:p>
            <w:r>
              <w:t>P0</w:t>
            </w:r>
          </w:p>
        </w:tc>
      </w:tr>
      <w:tr>
        <w:tc>
          <w:tcPr>
            <w:tcW w:type="dxa" w:w="2880"/>
          </w:tcPr>
          <w:p>
            <w:r>
              <w:t>FR-05</w:t>
            </w:r>
          </w:p>
        </w:tc>
        <w:tc>
          <w:tcPr>
            <w:tcW w:type="dxa" w:w="2880"/>
          </w:tcPr>
          <w:p>
            <w:r>
              <w:t>Explain insights with traceable source events</w:t>
            </w:r>
          </w:p>
        </w:tc>
        <w:tc>
          <w:tcPr>
            <w:tcW w:type="dxa" w:w="2880"/>
          </w:tcPr>
          <w:p>
            <w:r>
              <w:t>P0</w:t>
            </w:r>
          </w:p>
        </w:tc>
      </w:tr>
      <w:tr>
        <w:tc>
          <w:tcPr>
            <w:tcW w:type="dxa" w:w="2880"/>
          </w:tcPr>
          <w:p>
            <w:r>
              <w:t>FR-06</w:t>
            </w:r>
          </w:p>
        </w:tc>
        <w:tc>
          <w:tcPr>
            <w:tcW w:type="dxa" w:w="2880"/>
          </w:tcPr>
          <w:p>
            <w:r>
              <w:t>Coordinate specialized agents with Microsoft Agent Framework</w:t>
            </w:r>
          </w:p>
        </w:tc>
        <w:tc>
          <w:tcPr>
            <w:tcW w:type="dxa" w:w="2880"/>
          </w:tcPr>
          <w:p>
            <w:r>
              <w:t>P0</w:t>
            </w:r>
          </w:p>
        </w:tc>
      </w:tr>
      <w:tr>
        <w:tc>
          <w:tcPr>
            <w:tcW w:type="dxa" w:w="2880"/>
          </w:tcPr>
          <w:p>
            <w:r>
              <w:t>FR-07</w:t>
            </w:r>
          </w:p>
        </w:tc>
        <w:tc>
          <w:tcPr>
            <w:tcW w:type="dxa" w:w="2880"/>
          </w:tcPr>
          <w:p>
            <w:r>
              <w:t>Render synchronized structured broadcast overlays</w:t>
            </w:r>
          </w:p>
        </w:tc>
        <w:tc>
          <w:tcPr>
            <w:tcW w:type="dxa" w:w="2880"/>
          </w:tcPr>
          <w:p>
            <w:r>
              <w:t>P0</w:t>
            </w:r>
          </w:p>
        </w:tc>
      </w:tr>
      <w:tr>
        <w:tc>
          <w:tcPr>
            <w:tcW w:type="dxa" w:w="2880"/>
          </w:tcPr>
          <w:p>
            <w:r>
              <w:t>FR-08</w:t>
            </w:r>
          </w:p>
        </w:tc>
        <w:tc>
          <w:tcPr>
            <w:tcW w:type="dxa" w:w="2880"/>
          </w:tcPr>
          <w:p>
            <w:r>
              <w:t>Provide analyst, casual-fan and player-focused modes</w:t>
            </w:r>
          </w:p>
        </w:tc>
        <w:tc>
          <w:tcPr>
            <w:tcW w:type="dxa" w:w="2880"/>
          </w:tcPr>
          <w:p>
            <w:r>
              <w:t>P0</w:t>
            </w:r>
          </w:p>
        </w:tc>
      </w:tr>
      <w:tr>
        <w:tc>
          <w:tcPr>
            <w:tcW w:type="dxa" w:w="2880"/>
          </w:tcPr>
          <w:p>
            <w:r>
              <w:t>FR-09</w:t>
            </w:r>
          </w:p>
        </w:tc>
        <w:tc>
          <w:tcPr>
            <w:tcW w:type="dxa" w:w="2880"/>
          </w:tcPr>
          <w:p>
            <w:r>
              <w:t>Provide English and at least one additional language</w:t>
            </w:r>
          </w:p>
        </w:tc>
        <w:tc>
          <w:tcPr>
            <w:tcW w:type="dxa" w:w="2880"/>
          </w:tcPr>
          <w:p>
            <w:r>
              <w:t>P0</w:t>
            </w:r>
          </w:p>
        </w:tc>
      </w:tr>
      <w:tr>
        <w:tc>
          <w:tcPr>
            <w:tcW w:type="dxa" w:w="2880"/>
          </w:tcPr>
          <w:p>
            <w:r>
              <w:t>FR-10</w:t>
            </w:r>
          </w:p>
        </w:tc>
        <w:tc>
          <w:tcPr>
            <w:tcW w:type="dxa" w:w="2880"/>
          </w:tcPr>
          <w:p>
            <w:r>
              <w:t>Generate half-time and full-time recaps</w:t>
            </w:r>
          </w:p>
        </w:tc>
        <w:tc>
          <w:tcPr>
            <w:tcW w:type="dxa" w:w="2880"/>
          </w:tcPr>
          <w:p>
            <w:r>
              <w:t>P0</w:t>
            </w:r>
          </w:p>
        </w:tc>
      </w:tr>
      <w:tr>
        <w:tc>
          <w:tcPr>
            <w:tcW w:type="dxa" w:w="2880"/>
          </w:tcPr>
          <w:p>
            <w:r>
              <w:t>FR-11</w:t>
            </w:r>
          </w:p>
        </w:tc>
        <w:tc>
          <w:tcPr>
            <w:tcW w:type="dxa" w:w="2880"/>
          </w:tcPr>
          <w:p>
            <w:r>
              <w:t>Deploy a functioning Azure-hosted judging demo</w:t>
            </w:r>
          </w:p>
        </w:tc>
        <w:tc>
          <w:tcPr>
            <w:tcW w:type="dxa" w:w="2880"/>
          </w:tcPr>
          <w:p>
            <w:r>
              <w:t>P0</w:t>
            </w:r>
          </w:p>
        </w:tc>
      </w:tr>
      <w:tr>
        <w:tc>
          <w:tcPr>
            <w:tcW w:type="dxa" w:w="2880"/>
          </w:tcPr>
          <w:p>
            <w:r>
              <w:t>FR-12</w:t>
            </w:r>
          </w:p>
        </w:tc>
        <w:tc>
          <w:tcPr>
            <w:tcW w:type="dxa" w:w="2880"/>
          </w:tcPr>
          <w:p>
            <w:r>
              <w:t>Enable multi-match tenant isolation and commercial APIs</w:t>
            </w:r>
          </w:p>
        </w:tc>
        <w:tc>
          <w:tcPr>
            <w:tcW w:type="dxa" w:w="2880"/>
          </w:tcPr>
          <w:p>
            <w:r>
              <w:t>P1</w:t>
            </w:r>
          </w:p>
        </w:tc>
      </w:tr>
      <w:tr>
        <w:tc>
          <w:tcPr>
            <w:tcW w:type="dxa" w:w="2880"/>
          </w:tcPr>
          <w:p>
            <w:r>
              <w:t>FR-13</w:t>
            </w:r>
          </w:p>
        </w:tc>
        <w:tc>
          <w:tcPr>
            <w:tcW w:type="dxa" w:w="2880"/>
          </w:tcPr>
          <w:p>
            <w:r>
              <w:t>Integrate licensed football event providers</w:t>
            </w:r>
          </w:p>
        </w:tc>
        <w:tc>
          <w:tcPr>
            <w:tcW w:type="dxa" w:w="2880"/>
          </w:tcPr>
          <w:p>
            <w:r>
              <w:t>P1</w:t>
            </w:r>
          </w:p>
        </w:tc>
      </w:tr>
      <w:tr>
        <w:tc>
          <w:tcPr>
            <w:tcW w:type="dxa" w:w="2880"/>
          </w:tcPr>
          <w:p>
            <w:r>
              <w:t>FR-14</w:t>
            </w:r>
          </w:p>
        </w:tc>
        <w:tc>
          <w:tcPr>
            <w:tcW w:type="dxa" w:w="2880"/>
          </w:tcPr>
          <w:p>
            <w:r>
              <w:t>Extract events from appropriately licensed video</w:t>
            </w:r>
          </w:p>
        </w:tc>
        <w:tc>
          <w:tcPr>
            <w:tcW w:type="dxa" w:w="2880"/>
          </w:tcPr>
          <w:p>
            <w:r>
              <w:t>P2</w:t>
            </w:r>
          </w:p>
        </w:tc>
      </w:tr>
    </w:tbl>
    <w:p/>
    <w:p>
      <w:r>
        <w:t>P0 = hackathon; P1 = early commercialization; P2 = future expansion.</w:t>
      </w:r>
    </w:p>
    <w:p>
      <w:pPr>
        <w:pStyle w:val="Heading1"/>
      </w:pPr>
      <w:r>
        <w:t>3. System architecture</w:t>
      </w:r>
    </w:p>
    <w:p>
      <w:r>
        <w:t>Synthetic Match Simulator → Ingestion Gateway → Match State Engine + Pattern Detector → Microsoft Agent Framework → Evidence &amp; Publication Gate → Real-Time Experience API → Broadcast Studio / Analyst Console / Fan Experience.</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Layer</w:t>
            </w:r>
          </w:p>
        </w:tc>
        <w:tc>
          <w:tcPr>
            <w:tcW w:type="dxa" w:w="2880"/>
          </w:tcPr>
          <w:p>
            <w:r>
              <w:t>Technology</w:t>
            </w:r>
          </w:p>
        </w:tc>
        <w:tc>
          <w:tcPr>
            <w:tcW w:type="dxa" w:w="2880"/>
          </w:tcPr>
          <w:p>
            <w:r>
              <w:t>Role</w:t>
            </w:r>
          </w:p>
        </w:tc>
      </w:tr>
      <w:tr>
        <w:tc>
          <w:tcPr>
            <w:tcW w:type="dxa" w:w="2880"/>
          </w:tcPr>
          <w:p>
            <w:r>
              <w:t>Frontend</w:t>
            </w:r>
          </w:p>
        </w:tc>
        <w:tc>
          <w:tcPr>
            <w:tcW w:type="dxa" w:w="2880"/>
          </w:tcPr>
          <w:p>
            <w:r>
              <w:t>React, TypeScript, Vite, Tailwind</w:t>
            </w:r>
          </w:p>
        </w:tc>
        <w:tc>
          <w:tcPr>
            <w:tcW w:type="dxa" w:w="2880"/>
          </w:tcPr>
          <w:p>
            <w:r>
              <w:t>Live interactive experience</w:t>
            </w:r>
          </w:p>
        </w:tc>
      </w:tr>
      <w:tr>
        <w:tc>
          <w:tcPr>
            <w:tcW w:type="dxa" w:w="2880"/>
          </w:tcPr>
          <w:p>
            <w:r>
              <w:t>Backend</w:t>
            </w:r>
          </w:p>
        </w:tc>
        <w:tc>
          <w:tcPr>
            <w:tcW w:type="dxa" w:w="2880"/>
          </w:tcPr>
          <w:p>
            <w:r>
              <w:t>Python 3.12+, FastAPI, Pydantic</w:t>
            </w:r>
          </w:p>
        </w:tc>
        <w:tc>
          <w:tcPr>
            <w:tcW w:type="dxa" w:w="2880"/>
          </w:tcPr>
          <w:p>
            <w:r>
              <w:t>Typed services and event validation</w:t>
            </w:r>
          </w:p>
        </w:tc>
      </w:tr>
      <w:tr>
        <w:tc>
          <w:tcPr>
            <w:tcW w:type="dxa" w:w="2880"/>
          </w:tcPr>
          <w:p>
            <w:r>
              <w:t>Orchestration</w:t>
            </w:r>
          </w:p>
        </w:tc>
        <w:tc>
          <w:tcPr>
            <w:tcW w:type="dxa" w:w="2880"/>
          </w:tcPr>
          <w:p>
            <w:r>
              <w:t>Microsoft Agent Framework</w:t>
            </w:r>
          </w:p>
        </w:tc>
        <w:tc>
          <w:tcPr>
            <w:tcW w:type="dxa" w:w="2880"/>
          </w:tcPr>
          <w:p>
            <w:r>
              <w:t>Agent workflow and typed handoffs</w:t>
            </w:r>
          </w:p>
        </w:tc>
      </w:tr>
      <w:tr>
        <w:tc>
          <w:tcPr>
            <w:tcW w:type="dxa" w:w="2880"/>
          </w:tcPr>
          <w:p>
            <w:r>
              <w:t>Models</w:t>
            </w:r>
          </w:p>
        </w:tc>
        <w:tc>
          <w:tcPr>
            <w:tcW w:type="dxa" w:w="2880"/>
          </w:tcPr>
          <w:p>
            <w:r>
              <w:t>Microsoft Foundry deployments</w:t>
            </w:r>
          </w:p>
        </w:tc>
        <w:tc>
          <w:tcPr>
            <w:tcW w:type="dxa" w:w="2880"/>
          </w:tcPr>
          <w:p>
            <w:r>
              <w:t>Reasoning and narrative generation</w:t>
            </w:r>
          </w:p>
        </w:tc>
      </w:tr>
      <w:tr>
        <w:tc>
          <w:tcPr>
            <w:tcW w:type="dxa" w:w="2880"/>
          </w:tcPr>
          <w:p>
            <w:r>
              <w:t>Messaging</w:t>
            </w:r>
          </w:p>
        </w:tc>
        <w:tc>
          <w:tcPr>
            <w:tcW w:type="dxa" w:w="2880"/>
          </w:tcPr>
          <w:p>
            <w:r>
              <w:t>Azure Service Bus</w:t>
            </w:r>
          </w:p>
        </w:tc>
        <w:tc>
          <w:tcPr>
            <w:tcW w:type="dxa" w:w="2880"/>
          </w:tcPr>
          <w:p>
            <w:r>
              <w:t>Durable asynchronous event delivery</w:t>
            </w:r>
          </w:p>
        </w:tc>
      </w:tr>
      <w:tr>
        <w:tc>
          <w:tcPr>
            <w:tcW w:type="dxa" w:w="2880"/>
          </w:tcPr>
          <w:p>
            <w:r>
              <w:t>Database</w:t>
            </w:r>
          </w:p>
        </w:tc>
        <w:tc>
          <w:tcPr>
            <w:tcW w:type="dxa" w:w="2880"/>
          </w:tcPr>
          <w:p>
            <w:r>
              <w:t>Azure Database for PostgreSQL</w:t>
            </w:r>
          </w:p>
        </w:tc>
        <w:tc>
          <w:tcPr>
            <w:tcW w:type="dxa" w:w="2880"/>
          </w:tcPr>
          <w:p>
            <w:r>
              <w:t>Events, state, insights and provenance</w:t>
            </w:r>
          </w:p>
        </w:tc>
      </w:tr>
      <w:tr>
        <w:tc>
          <w:tcPr>
            <w:tcW w:type="dxa" w:w="2880"/>
          </w:tcPr>
          <w:p>
            <w:r>
              <w:t>Real-time</w:t>
            </w:r>
          </w:p>
        </w:tc>
        <w:tc>
          <w:tcPr>
            <w:tcW w:type="dxa" w:w="2880"/>
          </w:tcPr>
          <w:p>
            <w:r>
              <w:t>WebSockets; optional Redis</w:t>
            </w:r>
          </w:p>
        </w:tc>
        <w:tc>
          <w:tcPr>
            <w:tcW w:type="dxa" w:w="2880"/>
          </w:tcPr>
          <w:p>
            <w:r>
              <w:t>Live state and overlays</w:t>
            </w:r>
          </w:p>
        </w:tc>
      </w:tr>
      <w:tr>
        <w:tc>
          <w:tcPr>
            <w:tcW w:type="dxa" w:w="2880"/>
          </w:tcPr>
          <w:p>
            <w:r>
              <w:t>Hosting</w:t>
            </w:r>
          </w:p>
        </w:tc>
        <w:tc>
          <w:tcPr>
            <w:tcW w:type="dxa" w:w="2880"/>
          </w:tcPr>
          <w:p>
            <w:r>
              <w:t>Azure Container Apps</w:t>
            </w:r>
          </w:p>
        </w:tc>
        <w:tc>
          <w:tcPr>
            <w:tcW w:type="dxa" w:w="2880"/>
          </w:tcPr>
          <w:p>
            <w:r>
              <w:t>Container deployment and scaling</w:t>
            </w:r>
          </w:p>
        </w:tc>
      </w:tr>
      <w:tr>
        <w:tc>
          <w:tcPr>
            <w:tcW w:type="dxa" w:w="2880"/>
          </w:tcPr>
          <w:p>
            <w:r>
              <w:t>Telemetry</w:t>
            </w:r>
          </w:p>
        </w:tc>
        <w:tc>
          <w:tcPr>
            <w:tcW w:type="dxa" w:w="2880"/>
          </w:tcPr>
          <w:p>
            <w:r>
              <w:t>OpenTelemetry, Azure Monitor, Application Insights</w:t>
            </w:r>
          </w:p>
        </w:tc>
        <w:tc>
          <w:tcPr>
            <w:tcW w:type="dxa" w:w="2880"/>
          </w:tcPr>
          <w:p>
            <w:r>
              <w:t>Performance, quality and traceability</w:t>
            </w:r>
          </w:p>
        </w:tc>
      </w:tr>
      <w:tr>
        <w:tc>
          <w:tcPr>
            <w:tcW w:type="dxa" w:w="2880"/>
          </w:tcPr>
          <w:p>
            <w:r>
              <w:t>CI/CD</w:t>
            </w:r>
          </w:p>
        </w:tc>
        <w:tc>
          <w:tcPr>
            <w:tcW w:type="dxa" w:w="2880"/>
          </w:tcPr>
          <w:p>
            <w:r>
              <w:t>GitHub Actions</w:t>
            </w:r>
          </w:p>
        </w:tc>
        <w:tc>
          <w:tcPr>
            <w:tcW w:type="dxa" w:w="2880"/>
          </w:tcPr>
          <w:p>
            <w:r>
              <w:t>Tests, build and deployment</w:t>
            </w:r>
          </w:p>
        </w:tc>
      </w:tr>
    </w:tbl>
    <w:p/>
    <w:p>
      <w:r>
        <w:t>Architecture principle: deterministic football computation is separate from probabilistic language-model reasoning. Trigger agents on meaningful state changes, not every pass. For the hackathon, prefer modular services over unnecessary microservices.</w:t>
      </w:r>
    </w:p>
    <w:p>
      <w:pPr>
        <w:pStyle w:val="Heading1"/>
      </w:pPr>
      <w:r>
        <w:t>4. Data architecture</w:t>
      </w:r>
    </w:p>
    <w:p>
      <w:pPr>
        <w:pStyle w:val="ListBullet"/>
      </w:pPr>
      <w:r>
        <w:t>matches: identifiers, teams, clock, status and configuration</w:t>
      </w:r>
    </w:p>
    <w:p>
      <w:pPr>
        <w:pStyle w:val="ListBullet"/>
      </w:pPr>
      <w:r>
        <w:t>teams and players: identifiers, roles and positions</w:t>
      </w:r>
    </w:p>
    <w:p>
      <w:pPr>
        <w:pStyle w:val="ListBullet"/>
      </w:pPr>
      <w:r>
        <w:t>match_events: immutable sequence, timestamp, attributes and provenance</w:t>
      </w:r>
    </w:p>
    <w:p>
      <w:pPr>
        <w:pStyle w:val="ListBullet"/>
      </w:pPr>
      <w:r>
        <w:t>match_state_snapshots: calculated statistics and versions</w:t>
      </w:r>
    </w:p>
    <w:p>
      <w:pPr>
        <w:pStyle w:val="ListBullet"/>
      </w:pPr>
      <w:r>
        <w:t>insights: pattern, evidence and publication status</w:t>
      </w:r>
    </w:p>
    <w:p>
      <w:pPr>
        <w:pStyle w:val="ListBullet"/>
      </w:pPr>
      <w:r>
        <w:t>agent_executions: inputs, outputs, errors, costs and traces</w:t>
      </w:r>
    </w:p>
    <w:p>
      <w:pPr>
        <w:pStyle w:val="ListBullet"/>
      </w:pPr>
      <w:r>
        <w:t>overlay_messages: timed graphics payloads and delivery status</w:t>
      </w:r>
    </w:p>
    <w:p>
      <w:pPr>
        <w:pStyle w:val="ListBullet"/>
      </w:pPr>
      <w:r>
        <w:t>audience_profiles: preferred language, club, player and mode</w:t>
      </w:r>
    </w:p>
    <w:p>
      <w:pPr>
        <w:pStyle w:val="Heading2"/>
      </w:pPr>
      <w:r>
        <w:t>Canonical event example</w:t>
      </w:r>
    </w:p>
    <w:p>
      <w:pPr>
        <w:spacing w:after="0"/>
      </w:pPr>
      <w:r>
        <w:rPr>
          <w:rFonts w:ascii="Consolas" w:hAnsi="Consolas"/>
          <w:sz w:val="14"/>
        </w:rPr>
        <w:t>{</w:t>
      </w:r>
    </w:p>
    <w:p>
      <w:pPr>
        <w:spacing w:after="0"/>
      </w:pPr>
      <w:r>
        <w:rPr>
          <w:rFonts w:ascii="Consolas" w:hAnsi="Consolas"/>
          <w:sz w:val="14"/>
        </w:rPr>
        <w:t xml:space="preserve">  "schema_version": "1.0", "event_id": "evt_000128",</w:t>
      </w:r>
    </w:p>
    <w:p>
      <w:pPr>
        <w:spacing w:after="0"/>
      </w:pPr>
      <w:r>
        <w:rPr>
          <w:rFonts w:ascii="Consolas" w:hAnsi="Consolas"/>
          <w:sz w:val="14"/>
        </w:rPr>
        <w:t xml:space="preserve">  "match_id": "match_demo_001", "sequence": 128,</w:t>
      </w:r>
    </w:p>
    <w:p>
      <w:pPr>
        <w:spacing w:after="0"/>
      </w:pPr>
      <w:r>
        <w:rPr>
          <w:rFonts w:ascii="Consolas" w:hAnsi="Consolas"/>
          <w:sz w:val="14"/>
        </w:rPr>
        <w:t xml:space="preserve">  "event_type": "pass", "occurred_at": "2026-10-20T19:12:42Z",</w:t>
      </w:r>
    </w:p>
    <w:p>
      <w:pPr>
        <w:spacing w:after="0"/>
      </w:pPr>
      <w:r>
        <w:rPr>
          <w:rFonts w:ascii="Consolas" w:hAnsi="Consolas"/>
          <w:sz w:val="14"/>
        </w:rPr>
        <w:t xml:space="preserve">  "match_clock": {"period": 2, "minute": 67, "second": 42},</w:t>
      </w:r>
    </w:p>
    <w:p>
      <w:pPr>
        <w:spacing w:after="0"/>
      </w:pPr>
      <w:r>
        <w:rPr>
          <w:rFonts w:ascii="Consolas" w:hAnsi="Consolas"/>
          <w:sz w:val="14"/>
        </w:rPr>
        <w:t xml:space="preserve">  "team_id": "team_away", "player_id": "player_014",</w:t>
      </w:r>
    </w:p>
    <w:p>
      <w:pPr>
        <w:spacing w:after="0"/>
      </w:pPr>
      <w:r>
        <w:rPr>
          <w:rFonts w:ascii="Consolas" w:hAnsi="Consolas"/>
          <w:sz w:val="14"/>
        </w:rPr>
        <w:t xml:space="preserve">  "possession_id": "poss_038",</w:t>
      </w:r>
    </w:p>
    <w:p>
      <w:pPr>
        <w:spacing w:after="0"/>
      </w:pPr>
      <w:r>
        <w:rPr>
          <w:rFonts w:ascii="Consolas" w:hAnsi="Consolas"/>
          <w:sz w:val="14"/>
        </w:rPr>
        <w:t xml:space="preserve">  "location": {"x": 62.5, "y": 48.0},</w:t>
      </w:r>
    </w:p>
    <w:p>
      <w:pPr>
        <w:spacing w:after="0"/>
      </w:pPr>
      <w:r>
        <w:rPr>
          <w:rFonts w:ascii="Consolas" w:hAnsi="Consolas"/>
          <w:sz w:val="14"/>
        </w:rPr>
        <w:t xml:space="preserve">  "attributes": {"end_x": 82.4, "end_y": 57.2,</w:t>
      </w:r>
    </w:p>
    <w:p>
      <w:pPr>
        <w:spacing w:after="0"/>
      </w:pPr>
      <w:r>
        <w:rPr>
          <w:rFonts w:ascii="Consolas" w:hAnsi="Consolas"/>
          <w:sz w:val="14"/>
        </w:rPr>
        <w:t xml:space="preserve">                 "outcome": "complete", "pass_type": "ground"},</w:t>
      </w:r>
    </w:p>
    <w:p>
      <w:pPr>
        <w:spacing w:after="0"/>
      </w:pPr>
      <w:r>
        <w:rPr>
          <w:rFonts w:ascii="Consolas" w:hAnsi="Consolas"/>
          <w:sz w:val="14"/>
        </w:rPr>
        <w:t xml:space="preserve">  "source": {"type": "synthetic", "generator_version": "1.0.0",</w:t>
      </w:r>
    </w:p>
    <w:p>
      <w:pPr>
        <w:spacing w:after="0"/>
      </w:pPr>
      <w:r>
        <w:rPr>
          <w:rFonts w:ascii="Consolas" w:hAnsi="Consolas"/>
          <w:sz w:val="14"/>
        </w:rPr>
        <w:t xml:space="preserve">             "scenario_id": "high_press_shift", "seed": 20261020}</w:t>
      </w:r>
    </w:p>
    <w:p>
      <w:pPr>
        <w:spacing w:after="0"/>
      </w:pPr>
      <w:r>
        <w:rPr>
          <w:rFonts w:ascii="Consolas" w:hAnsi="Consolas"/>
          <w:sz w:val="14"/>
        </w:rPr>
        <w:t>}</w:t>
      </w:r>
    </w:p>
    <w:p>
      <w:r>
        <w:t>Use normalized 100 × 100 pitch coordinates and explicit attacking directions by period. Generate constrained, context-aware events using reproducible seeds; build scenarios for high-press shifts, counterattacking goals and individual performances. Keep ground-truth scenario labels out of the reasoning-agent input.</w:t>
      </w:r>
    </w:p>
    <w:p>
      <w:pPr>
        <w:pStyle w:val="Heading1"/>
      </w:pPr>
      <w:r>
        <w:t>5. Football intelligence engine</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Metric</w:t>
            </w:r>
          </w:p>
        </w:tc>
        <w:tc>
          <w:tcPr>
            <w:tcW w:type="dxa" w:w="4320"/>
          </w:tcPr>
          <w:p>
            <w:r>
              <w:t>Definition</w:t>
            </w:r>
          </w:p>
        </w:tc>
      </w:tr>
      <w:tr>
        <w:tc>
          <w:tcPr>
            <w:tcW w:type="dxa" w:w="4320"/>
          </w:tcPr>
          <w:p>
            <w:r>
              <w:t>Pass completion</w:t>
            </w:r>
          </w:p>
        </w:tc>
        <w:tc>
          <w:tcPr>
            <w:tcW w:type="dxa" w:w="4320"/>
          </w:tcPr>
          <w:p>
            <w:r>
              <w:t>Completed passes / attempted passes</w:t>
            </w:r>
          </w:p>
        </w:tc>
      </w:tr>
      <w:tr>
        <w:tc>
          <w:tcPr>
            <w:tcW w:type="dxa" w:w="4320"/>
          </w:tcPr>
          <w:p>
            <w:r>
              <w:t>Pass distance</w:t>
            </w:r>
          </w:p>
        </w:tc>
        <w:tc>
          <w:tcPr>
            <w:tcW w:type="dxa" w:w="4320"/>
          </w:tcPr>
          <w:p>
            <w:r>
              <w:t>Coordinate distance converted using pitch dimensions</w:t>
            </w:r>
          </w:p>
        </w:tc>
      </w:tr>
      <w:tr>
        <w:tc>
          <w:tcPr>
            <w:tcW w:type="dxa" w:w="4320"/>
          </w:tcPr>
          <w:p>
            <w:r>
              <w:t>Pass difficulty</w:t>
            </w:r>
          </w:p>
        </w:tc>
        <w:tc>
          <w:tcPr>
            <w:tcW w:type="dxa" w:w="4320"/>
          </w:tcPr>
          <w:p>
            <w:r>
              <w:t>Contextual model using distance, angle and pressure</w:t>
            </w:r>
          </w:p>
        </w:tc>
      </w:tr>
      <w:tr>
        <w:tc>
          <w:tcPr>
            <w:tcW w:type="dxa" w:w="4320"/>
          </w:tcPr>
          <w:p>
            <w:r>
              <w:t>Possession</w:t>
            </w:r>
          </w:p>
        </w:tc>
        <w:tc>
          <w:tcPr>
            <w:tcW w:type="dxa" w:w="4320"/>
          </w:tcPr>
          <w:p>
            <w:r>
              <w:t>Controlled-possession duration, excluding neutral periods</w:t>
            </w:r>
          </w:p>
        </w:tc>
      </w:tr>
      <w:tr>
        <w:tc>
          <w:tcPr>
            <w:tcW w:type="dxa" w:w="4320"/>
          </w:tcPr>
          <w:p>
            <w:r>
              <w:t>Attacking-third entries</w:t>
            </w:r>
          </w:p>
        </w:tc>
        <w:tc>
          <w:tcPr>
            <w:tcW w:type="dxa" w:w="4320"/>
          </w:tcPr>
          <w:p>
            <w:r>
              <w:t>Qualified transitions into attacking third</w:t>
            </w:r>
          </w:p>
        </w:tc>
      </w:tr>
      <w:tr>
        <w:tc>
          <w:tcPr>
            <w:tcW w:type="dxa" w:w="4320"/>
          </w:tcPr>
          <w:p>
            <w:r>
              <w:t>Shot conversion</w:t>
            </w:r>
          </w:p>
        </w:tc>
        <w:tc>
          <w:tcPr>
            <w:tcW w:type="dxa" w:w="4320"/>
          </w:tcPr>
          <w:p>
            <w:r>
              <w:t>Goals / shots</w:t>
            </w:r>
          </w:p>
        </w:tc>
      </w:tr>
      <w:tr>
        <w:tc>
          <w:tcPr>
            <w:tcW w:type="dxa" w:w="4320"/>
          </w:tcPr>
          <w:p>
            <w:r>
              <w:t>Advanced recoveries</w:t>
            </w:r>
          </w:p>
        </w:tc>
        <w:tc>
          <w:tcPr>
            <w:tcW w:type="dxa" w:w="4320"/>
          </w:tcPr>
          <w:p>
            <w:r>
              <w:t>Ball recoveries beyond documented pitch threshold</w:t>
            </w:r>
          </w:p>
        </w:tc>
      </w:tr>
      <w:tr>
        <w:tc>
          <w:tcPr>
            <w:tcW w:type="dxa" w:w="4320"/>
          </w:tcPr>
          <w:p>
            <w:r>
              <w:t>Pressure intensity</w:t>
            </w:r>
          </w:p>
        </w:tc>
        <w:tc>
          <w:tcPr>
            <w:tcW w:type="dxa" w:w="4320"/>
          </w:tcPr>
          <w:p>
            <w:r>
              <w:t>Documented composite of pressure and territorial indicators</w:t>
            </w:r>
          </w:p>
        </w:tc>
      </w:tr>
      <w:tr>
        <w:tc>
          <w:tcPr>
            <w:tcW w:type="dxa" w:w="4320"/>
          </w:tcPr>
          <w:p>
            <w:r>
              <w:t>Momentum</w:t>
            </w:r>
          </w:p>
        </w:tc>
        <w:tc>
          <w:tcPr>
            <w:tcW w:type="dxa" w:w="4320"/>
          </w:tcPr>
          <w:p>
            <w:r>
              <w:t>Smoothed normalized attacking indicators over time</w:t>
            </w:r>
          </w:p>
        </w:tc>
      </w:tr>
    </w:tbl>
    <w:p/>
    <w:p>
      <w:r>
        <w:t>Detectors: sustained territorial pressure; attacking momentum change; difficult-pass spikes; counterattacks; player involvement surges; possession without penetration. Each emits evidence references, baseline and comparison windows, and confidence or quality indicators. Correlation does not prove tactical causation; unsupported causal explanations must be marked as hypotheses.</w:t>
      </w:r>
    </w:p>
    <w:p>
      <w:pPr>
        <w:pStyle w:val="Heading1"/>
      </w:pPr>
      <w:r>
        <w:t>6. Multi-agent design</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Agent</w:t>
            </w:r>
          </w:p>
        </w:tc>
        <w:tc>
          <w:tcPr>
            <w:tcW w:type="dxa" w:w="2880"/>
          </w:tcPr>
          <w:p>
            <w:r>
              <w:t>Responsibility</w:t>
            </w:r>
          </w:p>
        </w:tc>
        <w:tc>
          <w:tcPr>
            <w:tcW w:type="dxa" w:w="2880"/>
          </w:tcPr>
          <w:p>
            <w:r>
              <w:t>Output</w:t>
            </w:r>
          </w:p>
        </w:tc>
      </w:tr>
      <w:tr>
        <w:tc>
          <w:tcPr>
            <w:tcW w:type="dxa" w:w="2880"/>
          </w:tcPr>
          <w:p>
            <w:r>
              <w:t>Insight Agent</w:t>
            </w:r>
          </w:p>
        </w:tc>
        <w:tc>
          <w:tcPr>
            <w:tcW w:type="dxa" w:w="2880"/>
          </w:tcPr>
          <w:p>
            <w:r>
              <w:t>Rank and contextualize statistically detected changes</w:t>
            </w:r>
          </w:p>
        </w:tc>
        <w:tc>
          <w:tcPr>
            <w:tcW w:type="dxa" w:w="2880"/>
          </w:tcPr>
          <w:p>
            <w:r>
              <w:t>Ranked candidates with evidence</w:t>
            </w:r>
          </w:p>
        </w:tc>
      </w:tr>
      <w:tr>
        <w:tc>
          <w:tcPr>
            <w:tcW w:type="dxa" w:w="2880"/>
          </w:tcPr>
          <w:p>
            <w:r>
              <w:t>Tactical Reasoning Agent</w:t>
            </w:r>
          </w:p>
        </w:tc>
        <w:tc>
          <w:tcPr>
            <w:tcW w:type="dxa" w:w="2880"/>
          </w:tcPr>
          <w:p>
            <w:r>
              <w:t>Interpret football significance</w:t>
            </w:r>
          </w:p>
        </w:tc>
        <w:tc>
          <w:tcPr>
            <w:tcW w:type="dxa" w:w="2880"/>
          </w:tcPr>
          <w:p>
            <w:r>
              <w:t>Evidence-backed tactical interpretation</w:t>
            </w:r>
          </w:p>
        </w:tc>
      </w:tr>
      <w:tr>
        <w:tc>
          <w:tcPr>
            <w:tcW w:type="dxa" w:w="2880"/>
          </w:tcPr>
          <w:p>
            <w:r>
              <w:t>Narrative Agent</w:t>
            </w:r>
          </w:p>
        </w:tc>
        <w:tc>
          <w:tcPr>
            <w:tcW w:type="dxa" w:w="2880"/>
          </w:tcPr>
          <w:p>
            <w:r>
              <w:t>Create clear audience-ready stories</w:t>
            </w:r>
          </w:p>
        </w:tc>
        <w:tc>
          <w:tcPr>
            <w:tcW w:type="dxa" w:w="2880"/>
          </w:tcPr>
          <w:p>
            <w:r>
              <w:t>Commentary, moments and recaps</w:t>
            </w:r>
          </w:p>
        </w:tc>
      </w:tr>
      <w:tr>
        <w:tc>
          <w:tcPr>
            <w:tcW w:type="dxa" w:w="2880"/>
          </w:tcPr>
          <w:p>
            <w:r>
              <w:t>Personalization Agent</w:t>
            </w:r>
          </w:p>
        </w:tc>
        <w:tc>
          <w:tcPr>
            <w:tcW w:type="dxa" w:w="2880"/>
          </w:tcPr>
          <w:p>
            <w:r>
              <w:t>Adapt verified facts to viewer preferences</w:t>
            </w:r>
          </w:p>
        </w:tc>
        <w:tc>
          <w:tcPr>
            <w:tcW w:type="dxa" w:w="2880"/>
          </w:tcPr>
          <w:p>
            <w:r>
              <w:t>Audience- and language-specific output</w:t>
            </w:r>
          </w:p>
        </w:tc>
      </w:tr>
    </w:tbl>
    <w:p/>
    <w:p>
      <w:r>
        <w:t>Orchestration: deterministic workflow controller, shared state version, correlation IDs, typed handoffs, execution deadlines, bounded retries, idempotency, trace collection, token/cost metrics and deterministic fallback. The publication gate independently validates agent claims.</w:t>
      </w:r>
    </w:p>
    <w:p>
      <w:pPr>
        <w:pStyle w:val="Heading1"/>
      </w:pPr>
      <w:r>
        <w:t>7. Explainability and evidence</w:t>
      </w:r>
    </w:p>
    <w:p>
      <w:pPr>
        <w:spacing w:after="0"/>
      </w:pPr>
      <w:r>
        <w:rPr>
          <w:rFonts w:ascii="Consolas" w:hAnsi="Consolas"/>
          <w:sz w:val="14"/>
        </w:rPr>
        <w:t>{</w:t>
      </w:r>
    </w:p>
    <w:p>
      <w:pPr>
        <w:spacing w:after="0"/>
      </w:pPr>
      <w:r>
        <w:rPr>
          <w:rFonts w:ascii="Consolas" w:hAnsi="Consolas"/>
          <w:sz w:val="14"/>
        </w:rPr>
        <w:t xml:space="preserve">  "insight_id": "ins_0042", "match_id": "match_demo_001",</w:t>
      </w:r>
    </w:p>
    <w:p>
      <w:pPr>
        <w:spacing w:after="0"/>
      </w:pPr>
      <w:r>
        <w:rPr>
          <w:rFonts w:ascii="Consolas" w:hAnsi="Consolas"/>
          <w:sz w:val="14"/>
        </w:rPr>
        <w:t xml:space="preserve">  "state_version": 67, "insight_type": "territorial_pressure_shift",</w:t>
      </w:r>
    </w:p>
    <w:p>
      <w:pPr>
        <w:spacing w:after="0"/>
      </w:pPr>
      <w:r>
        <w:rPr>
          <w:rFonts w:ascii="Consolas" w:hAnsi="Consolas"/>
          <w:sz w:val="14"/>
        </w:rPr>
        <w:t xml:space="preserve">  "headline": "Away team gaining territorial control",</w:t>
      </w:r>
    </w:p>
    <w:p>
      <w:pPr>
        <w:spacing w:after="0"/>
      </w:pPr>
      <w:r>
        <w:rPr>
          <w:rFonts w:ascii="Consolas" w:hAnsi="Consolas"/>
          <w:sz w:val="14"/>
        </w:rPr>
        <w:t xml:space="preserve">  "observations": [{"metric": "final_third_entries",</w:t>
      </w:r>
    </w:p>
    <w:p>
      <w:pPr>
        <w:spacing w:after="0"/>
      </w:pPr>
      <w:r>
        <w:rPr>
          <w:rFonts w:ascii="Consolas" w:hAnsi="Consolas"/>
          <w:sz w:val="14"/>
        </w:rPr>
        <w:t xml:space="preserve">    "previous_window": 4, "current_window": 11,</w:t>
      </w:r>
    </w:p>
    <w:p>
      <w:pPr>
        <w:spacing w:after="0"/>
      </w:pPr>
      <w:r>
        <w:rPr>
          <w:rFonts w:ascii="Consolas" w:hAnsi="Consolas"/>
          <w:sz w:val="14"/>
        </w:rPr>
        <w:t xml:space="preserve">    "window_minutes": 10}],</w:t>
      </w:r>
    </w:p>
    <w:p>
      <w:pPr>
        <w:spacing w:after="0"/>
      </w:pPr>
      <w:r>
        <w:rPr>
          <w:rFonts w:ascii="Consolas" w:hAnsi="Consolas"/>
          <w:sz w:val="14"/>
        </w:rPr>
        <w:t xml:space="preserve">  "evidence_event_ids": ["evt_000128", "evt_000135", "evt_000142"],</w:t>
      </w:r>
    </w:p>
    <w:p>
      <w:pPr>
        <w:spacing w:after="0"/>
      </w:pPr>
      <w:r>
        <w:rPr>
          <w:rFonts w:ascii="Consolas" w:hAnsi="Consolas"/>
          <w:sz w:val="14"/>
        </w:rPr>
        <w:t xml:space="preserve">  "interpretation": {"text": "More entries suggest growing pressure.",</w:t>
      </w:r>
    </w:p>
    <w:p>
      <w:pPr>
        <w:spacing w:after="0"/>
      </w:pPr>
      <w:r>
        <w:rPr>
          <w:rFonts w:ascii="Consolas" w:hAnsi="Consolas"/>
          <w:sz w:val="14"/>
        </w:rPr>
        <w:t xml:space="preserve">                     "type": "evidence_based_inference"},</w:t>
      </w:r>
    </w:p>
    <w:p>
      <w:pPr>
        <w:spacing w:after="0"/>
      </w:pPr>
      <w:r>
        <w:rPr>
          <w:rFonts w:ascii="Consolas" w:hAnsi="Consolas"/>
          <w:sz w:val="14"/>
        </w:rPr>
        <w:t xml:space="preserve">  "validation": {"source_events_verified": true,</w:t>
      </w:r>
    </w:p>
    <w:p>
      <w:pPr>
        <w:spacing w:after="0"/>
      </w:pPr>
      <w:r>
        <w:rPr>
          <w:rFonts w:ascii="Consolas" w:hAnsi="Consolas"/>
          <w:sz w:val="14"/>
        </w:rPr>
        <w:t xml:space="preserve">                 "numeric_claims_verified": true,</w:t>
      </w:r>
    </w:p>
    <w:p>
      <w:pPr>
        <w:spacing w:after="0"/>
      </w:pPr>
      <w:r>
        <w:rPr>
          <w:rFonts w:ascii="Consolas" w:hAnsi="Consolas"/>
          <w:sz w:val="14"/>
        </w:rPr>
        <w:t xml:space="preserve">                 "publication_status": "approved"}</w:t>
      </w:r>
    </w:p>
    <w:p>
      <w:pPr>
        <w:spacing w:after="0"/>
      </w:pPr>
      <w:r>
        <w:rPr>
          <w:rFonts w:ascii="Consolas" w:hAnsi="Consolas"/>
          <w:sz w:val="14"/>
        </w:rPr>
        <w:t>}</w:t>
      </w:r>
    </w:p>
    <w:p>
      <w:r>
        <w:t>The IDs and values are illustrative. The gate must verify event existence, match association, numerical claims, state freshness and evidence sufficiency before publishing. The UI exposes statistics, windows, events and limitations.</w:t>
      </w:r>
    </w:p>
    <w:p>
      <w:pPr>
        <w:pStyle w:val="Heading1"/>
      </w:pPr>
      <w:r>
        <w:t>8. Broadcast overlays and personalization</w:t>
      </w:r>
    </w:p>
    <w:p>
      <w:pPr>
        <w:spacing w:after="0"/>
      </w:pPr>
      <w:r>
        <w:rPr>
          <w:rFonts w:ascii="Consolas" w:hAnsi="Consolas"/>
          <w:sz w:val="14"/>
        </w:rPr>
        <w:t>{</w:t>
      </w:r>
    </w:p>
    <w:p>
      <w:pPr>
        <w:spacing w:after="0"/>
      </w:pPr>
      <w:r>
        <w:rPr>
          <w:rFonts w:ascii="Consolas" w:hAnsi="Consolas"/>
          <w:sz w:val="14"/>
        </w:rPr>
        <w:t xml:space="preserve">  "overlay_id": "ovl_0042", "match_id": "match_demo_001",</w:t>
      </w:r>
    </w:p>
    <w:p>
      <w:pPr>
        <w:spacing w:after="0"/>
      </w:pPr>
      <w:r>
        <w:rPr>
          <w:rFonts w:ascii="Consolas" w:hAnsi="Consolas"/>
          <w:sz w:val="14"/>
        </w:rPr>
        <w:t xml:space="preserve">  "insight_id": "ins_0042", "overlay_type": "tactical_insight",</w:t>
      </w:r>
    </w:p>
    <w:p>
      <w:pPr>
        <w:spacing w:after="0"/>
      </w:pPr>
      <w:r>
        <w:rPr>
          <w:rFonts w:ascii="Consolas" w:hAnsi="Consolas"/>
          <w:sz w:val="14"/>
        </w:rPr>
        <w:t xml:space="preserve">  "match_clock_seconds": 4062, "duration_ms": 8000,</w:t>
      </w:r>
    </w:p>
    <w:p>
      <w:pPr>
        <w:spacing w:after="0"/>
      </w:pPr>
      <w:r>
        <w:rPr>
          <w:rFonts w:ascii="Consolas" w:hAnsi="Consolas"/>
          <w:sz w:val="14"/>
        </w:rPr>
        <w:t xml:space="preserve">  "priority": 7, "audience_mode": "casual_fan",</w:t>
      </w:r>
    </w:p>
    <w:p>
      <w:pPr>
        <w:spacing w:after="0"/>
      </w:pPr>
      <w:r>
        <w:rPr>
          <w:rFonts w:ascii="Consolas" w:hAnsi="Consolas"/>
          <w:sz w:val="14"/>
        </w:rPr>
        <w:t xml:space="preserve">  "language": "en",</w:t>
      </w:r>
    </w:p>
    <w:p>
      <w:pPr>
        <w:spacing w:after="0"/>
      </w:pPr>
      <w:r>
        <w:rPr>
          <w:rFonts w:ascii="Consolas" w:hAnsi="Consolas"/>
          <w:sz w:val="14"/>
        </w:rPr>
        <w:t xml:space="preserve">  "content": {"headline": "Momentum is shifting",</w:t>
      </w:r>
    </w:p>
    <w:p>
      <w:pPr>
        <w:spacing w:after="0"/>
      </w:pPr>
      <w:r>
        <w:rPr>
          <w:rFonts w:ascii="Consolas" w:hAnsi="Consolas"/>
          <w:sz w:val="14"/>
        </w:rPr>
        <w:t xml:space="preserve">              "body": "The away team is creating more pressure.",</w:t>
      </w:r>
    </w:p>
    <w:p>
      <w:pPr>
        <w:spacing w:after="0"/>
      </w:pPr>
      <w:r>
        <w:rPr>
          <w:rFonts w:ascii="Consolas" w:hAnsi="Consolas"/>
          <w:sz w:val="14"/>
        </w:rPr>
        <w:t xml:space="preserve">              "metric_label": "Final-third entries",</w:t>
      </w:r>
    </w:p>
    <w:p>
      <w:pPr>
        <w:spacing w:after="0"/>
      </w:pPr>
      <w:r>
        <w:rPr>
          <w:rFonts w:ascii="Consolas" w:hAnsi="Consolas"/>
          <w:sz w:val="14"/>
        </w:rPr>
        <w:t xml:space="preserve">              "metric_value": "4 to 11"},</w:t>
      </w:r>
    </w:p>
    <w:p>
      <w:pPr>
        <w:spacing w:after="0"/>
      </w:pPr>
      <w:r>
        <w:rPr>
          <w:rFonts w:ascii="Consolas" w:hAnsi="Consolas"/>
          <w:sz w:val="14"/>
        </w:rPr>
        <w:t xml:space="preserve">  "evidence_available": true</w:t>
      </w:r>
    </w:p>
    <w:p>
      <w:pPr>
        <w:spacing w:after="0"/>
      </w:pPr>
      <w:r>
        <w:rPr>
          <w:rFonts w:ascii="Consolas" w:hAnsi="Consolas"/>
          <w:sz w:val="14"/>
        </w:rPr>
        <w:t>}</w:t>
      </w:r>
    </w:p>
    <w:p>
      <w:r>
        <w:t>The renderer must order, expire, replace and suppress stale overlays. Personalization can change wording, detail, emphasis and language, but never underlying facts.</w:t>
      </w:r>
    </w:p>
    <w:p>
      <w:pPr>
        <w:pStyle w:val="Heading1"/>
      </w:pPr>
      <w:r>
        <w:t>9. Interface screens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Screen</w:t>
            </w:r>
          </w:p>
        </w:tc>
        <w:tc>
          <w:tcPr>
            <w:tcW w:type="dxa" w:w="4320"/>
          </w:tcPr>
          <w:p>
            <w:r>
              <w:t>Contents</w:t>
            </w:r>
          </w:p>
        </w:tc>
      </w:tr>
      <w:tr>
        <w:tc>
          <w:tcPr>
            <w:tcW w:type="dxa" w:w="4320"/>
          </w:tcPr>
          <w:p>
            <w:r>
              <w:t>Live Match Command Centre</w:t>
            </w:r>
          </w:p>
        </w:tc>
        <w:tc>
          <w:tcPr>
            <w:tcW w:type="dxa" w:w="4320"/>
          </w:tcPr>
          <w:p>
            <w:r>
              <w:t>Clock, score, event timeline, momentum, insight feed and overlay preview</w:t>
            </w:r>
          </w:p>
        </w:tc>
      </w:tr>
      <w:tr>
        <w:tc>
          <w:tcPr>
            <w:tcW w:type="dxa" w:w="4320"/>
          </w:tcPr>
          <w:p>
            <w:r>
              <w:t>Tactical Intelligence</w:t>
            </w:r>
          </w:p>
        </w:tc>
        <w:tc>
          <w:tcPr>
            <w:tcW w:type="dxa" w:w="4320"/>
          </w:tcPr>
          <w:p>
            <w:r>
              <w:t>Pitch, pressure zones, passing patterns, player metrics and evidence panel</w:t>
            </w:r>
          </w:p>
        </w:tc>
      </w:tr>
      <w:tr>
        <w:tc>
          <w:tcPr>
            <w:tcW w:type="dxa" w:w="4320"/>
          </w:tcPr>
          <w:p>
            <w:r>
              <w:t>Broadcast Studio</w:t>
            </w:r>
          </w:p>
        </w:tc>
        <w:tc>
          <w:tcPr>
            <w:tcW w:type="dxa" w:w="4320"/>
          </w:tcPr>
          <w:p>
            <w:r>
              <w:t>Overlay queue, graphics preview, commentary selection and payload inspector</w:t>
            </w:r>
          </w:p>
        </w:tc>
      </w:tr>
      <w:tr>
        <w:tc>
          <w:tcPr>
            <w:tcW w:type="dxa" w:w="4320"/>
          </w:tcPr>
          <w:p>
            <w:r>
              <w:t>Personalized Fan View</w:t>
            </w:r>
          </w:p>
        </w:tc>
        <w:tc>
          <w:tcPr>
            <w:tcW w:type="dxa" w:w="4320"/>
          </w:tcPr>
          <w:p>
            <w:r>
              <w:t>Favorite club/player, language, viewing mode and tailored stories</w:t>
            </w:r>
          </w:p>
        </w:tc>
      </w:tr>
    </w:tbl>
    <w:p/>
    <w:p>
      <w:r>
        <w:t>Visual design: high-contrast professional broadcast aesthetic, clear typography, minimal decoration and fast comprehension.</w:t>
      </w:r>
    </w:p>
    <w:p>
      <w:pPr>
        <w:pStyle w:val="Heading1"/>
      </w:pPr>
      <w:r>
        <w:t>10. Non-functional requirements and evaluation</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Area</w:t>
            </w:r>
          </w:p>
        </w:tc>
        <w:tc>
          <w:tcPr>
            <w:tcW w:type="dxa" w:w="4320"/>
          </w:tcPr>
          <w:p>
            <w:r>
              <w:t>Proposed acceptance target</w:t>
            </w:r>
          </w:p>
        </w:tc>
      </w:tr>
      <w:tr>
        <w:tc>
          <w:tcPr>
            <w:tcW w:type="dxa" w:w="4320"/>
          </w:tcPr>
          <w:p>
            <w:r>
              <w:t>Event processing</w:t>
            </w:r>
          </w:p>
        </w:tc>
        <w:tc>
          <w:tcPr>
            <w:tcW w:type="dxa" w:w="4320"/>
          </w:tcPr>
          <w:p>
            <w:r>
              <w:t>p95 &lt; 250 ms ingestion to updated state</w:t>
            </w:r>
          </w:p>
        </w:tc>
      </w:tr>
      <w:tr>
        <w:tc>
          <w:tcPr>
            <w:tcW w:type="dxa" w:w="4320"/>
          </w:tcPr>
          <w:p>
            <w:r>
              <w:t>Insight detection</w:t>
            </w:r>
          </w:p>
        </w:tc>
        <w:tc>
          <w:tcPr>
            <w:tcW w:type="dxa" w:w="4320"/>
          </w:tcPr>
          <w:p>
            <w:r>
              <w:t>p95 &lt; 500 ms after state update</w:t>
            </w:r>
          </w:p>
        </w:tc>
      </w:tr>
      <w:tr>
        <w:tc>
          <w:tcPr>
            <w:tcW w:type="dxa" w:w="4320"/>
          </w:tcPr>
          <w:p>
            <w:r>
              <w:t>Agent-generated insight</w:t>
            </w:r>
          </w:p>
        </w:tc>
        <w:tc>
          <w:tcPr>
            <w:tcW w:type="dxa" w:w="4320"/>
          </w:tcPr>
          <w:p>
            <w:r>
              <w:t>p95 &lt; 5 seconds under controlled demo load</w:t>
            </w:r>
          </w:p>
        </w:tc>
      </w:tr>
      <w:tr>
        <w:tc>
          <w:tcPr>
            <w:tcW w:type="dxa" w:w="4320"/>
          </w:tcPr>
          <w:p>
            <w:r>
              <w:t>Numerical accuracy</w:t>
            </w:r>
          </w:p>
        </w:tc>
        <w:tc>
          <w:tcPr>
            <w:tcW w:type="dxa" w:w="4320"/>
          </w:tcPr>
          <w:p>
            <w:r>
              <w:t>100% agreement with deterministic reference</w:t>
            </w:r>
          </w:p>
        </w:tc>
      </w:tr>
      <w:tr>
        <w:tc>
          <w:tcPr>
            <w:tcW w:type="dxa" w:w="4320"/>
          </w:tcPr>
          <w:p>
            <w:r>
              <w:t>Evidence integrity</w:t>
            </w:r>
          </w:p>
        </w:tc>
        <w:tc>
          <w:tcPr>
            <w:tcW w:type="dxa" w:w="4320"/>
          </w:tcPr>
          <w:p>
            <w:r>
              <w:t>100% published factual claims validated</w:t>
            </w:r>
          </w:p>
        </w:tc>
      </w:tr>
      <w:tr>
        <w:tc>
          <w:tcPr>
            <w:tcW w:type="dxa" w:w="4320"/>
          </w:tcPr>
          <w:p>
            <w:r>
              <w:t>Scenario detection</w:t>
            </w:r>
          </w:p>
        </w:tc>
        <w:tc>
          <w:tcPr>
            <w:tcW w:type="dxa" w:w="4320"/>
          </w:tcPr>
          <w:p>
            <w:r>
              <w:t>At least 90% recall on labeled synthetic cases</w:t>
            </w:r>
          </w:p>
        </w:tc>
      </w:tr>
      <w:tr>
        <w:tc>
          <w:tcPr>
            <w:tcW w:type="dxa" w:w="4320"/>
          </w:tcPr>
          <w:p>
            <w:r>
              <w:t>Overlay timing</w:t>
            </w:r>
          </w:p>
        </w:tc>
        <w:tc>
          <w:tcPr>
            <w:tcW w:type="dxa" w:w="4320"/>
          </w:tcPr>
          <w:p>
            <w:r>
              <w:t>p95 within 500 ms of scheduled presentation</w:t>
            </w:r>
          </w:p>
        </w:tc>
      </w:tr>
      <w:tr>
        <w:tc>
          <w:tcPr>
            <w:tcW w:type="dxa" w:w="4320"/>
          </w:tcPr>
          <w:p>
            <w:r>
              <w:t>Retry behavior</w:t>
            </w:r>
          </w:p>
        </w:tc>
        <w:tc>
          <w:tcPr>
            <w:tcW w:type="dxa" w:w="4320"/>
          </w:tcPr>
          <w:p>
            <w:r>
              <w:t>No duplicate publication on retry or replay</w:t>
            </w:r>
          </w:p>
        </w:tc>
      </w:tr>
      <w:tr>
        <w:tc>
          <w:tcPr>
            <w:tcW w:type="dxa" w:w="4320"/>
          </w:tcPr>
          <w:p>
            <w:r>
              <w:t>Demo reliability</w:t>
            </w:r>
          </w:p>
        </w:tc>
        <w:tc>
          <w:tcPr>
            <w:tcW w:type="dxa" w:w="4320"/>
          </w:tcPr>
          <w:p>
            <w:r>
              <w:t>Three consecutive scripted demos without critical failure</w:t>
            </w:r>
          </w:p>
        </w:tc>
      </w:tr>
    </w:tbl>
    <w:p/>
    <w:p>
      <w:r>
        <w:t>These are targets, not measured performance. Verify with automated tests and OpenTelemetry traces against the actual Microsoft Foundry deployment.</w:t>
      </w:r>
    </w:p>
    <w:p>
      <w:pPr>
        <w:pStyle w:val="Heading1"/>
      </w:pPr>
      <w:r>
        <w:t>11. Commercial architecture</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Product</w:t>
            </w:r>
          </w:p>
        </w:tc>
        <w:tc>
          <w:tcPr>
            <w:tcW w:type="dxa" w:w="4320"/>
          </w:tcPr>
          <w:p>
            <w:r>
              <w:t>Target offering</w:t>
            </w:r>
          </w:p>
        </w:tc>
      </w:tr>
      <w:tr>
        <w:tc>
          <w:tcPr>
            <w:tcW w:type="dxa" w:w="4320"/>
          </w:tcPr>
          <w:p>
            <w:r>
              <w:t>MatchMind Studio</w:t>
            </w:r>
          </w:p>
        </w:tc>
        <w:tc>
          <w:tcPr>
            <w:tcW w:type="dxa" w:w="4320"/>
          </w:tcPr>
          <w:p>
            <w:r>
              <w:t>Broadcast production and overlays</w:t>
            </w:r>
          </w:p>
        </w:tc>
      </w:tr>
      <w:tr>
        <w:tc>
          <w:tcPr>
            <w:tcW w:type="dxa" w:w="4320"/>
          </w:tcPr>
          <w:p>
            <w:r>
              <w:t>MatchMind Intelligence</w:t>
            </w:r>
          </w:p>
        </w:tc>
        <w:tc>
          <w:tcPr>
            <w:tcW w:type="dxa" w:w="4320"/>
          </w:tcPr>
          <w:p>
            <w:r>
              <w:t>Tactical analysis and explainable insights</w:t>
            </w:r>
          </w:p>
        </w:tc>
      </w:tr>
      <w:tr>
        <w:tc>
          <w:tcPr>
            <w:tcW w:type="dxa" w:w="4320"/>
          </w:tcPr>
          <w:p>
            <w:r>
              <w:t>MatchMind Fan</w:t>
            </w:r>
          </w:p>
        </w:tc>
        <w:tc>
          <w:tcPr>
            <w:tcW w:type="dxa" w:w="4320"/>
          </w:tcPr>
          <w:p>
            <w:r>
              <w:t>Personalized multilingual experiences</w:t>
            </w:r>
          </w:p>
        </w:tc>
      </w:tr>
      <w:tr>
        <w:tc>
          <w:tcPr>
            <w:tcW w:type="dxa" w:w="4320"/>
          </w:tcPr>
          <w:p>
            <w:r>
              <w:t>MatchMind API</w:t>
            </w:r>
          </w:p>
        </w:tc>
        <w:tc>
          <w:tcPr>
            <w:tcW w:type="dxa" w:w="4320"/>
          </w:tcPr>
          <w:p>
            <w:r>
              <w:t>Developer access to event-derived intelligence</w:t>
            </w:r>
          </w:p>
        </w:tc>
      </w:tr>
    </w:tbl>
    <w:p/>
    <w:p>
      <w:r>
        <w:t>Commercial expansion requires multi-tenancy, RBAC, API authentication, metering, billing, SLAs and licensed data feeds. Validate live data economics, broadcaster integrations and willingness to pay before scaling.</w:t>
      </w:r>
    </w:p>
    <w:p>
      <w:pPr>
        <w:pStyle w:val="Heading1"/>
      </w:pPr>
      <w:r>
        <w:t>12. Proposed repository layout</w:t>
      </w:r>
    </w:p>
    <w:p>
      <w:pPr>
        <w:spacing w:after="0"/>
      </w:pPr>
      <w:r>
        <w:rPr>
          <w:rFonts w:ascii="Consolas" w:hAnsi="Consolas"/>
          <w:sz w:val="14"/>
        </w:rPr>
        <w:t>matchmind-ai/</w:t>
      </w:r>
    </w:p>
    <w:p>
      <w:pPr>
        <w:spacing w:after="0"/>
      </w:pPr>
      <w:r>
        <w:rPr>
          <w:rFonts w:ascii="Consolas" w:hAnsi="Consolas"/>
          <w:sz w:val="14"/>
        </w:rPr>
        <w:t xml:space="preserve">  apps/web/                     # React dashboard</w:t>
      </w:r>
    </w:p>
    <w:p>
      <w:pPr>
        <w:spacing w:after="0"/>
      </w:pPr>
      <w:r>
        <w:rPr>
          <w:rFonts w:ascii="Consolas" w:hAnsi="Consolas"/>
          <w:sz w:val="14"/>
        </w:rPr>
        <w:t xml:space="preserve">  apps/api/                     # FastAPI backend</w:t>
      </w:r>
    </w:p>
    <w:p>
      <w:pPr>
        <w:spacing w:after="0"/>
      </w:pPr>
      <w:r>
        <w:rPr>
          <w:rFonts w:ascii="Consolas" w:hAnsi="Consolas"/>
          <w:sz w:val="14"/>
        </w:rPr>
        <w:t xml:space="preserve">  services/simulator/           # Synthetic data</w:t>
      </w:r>
    </w:p>
    <w:p>
      <w:pPr>
        <w:spacing w:after="0"/>
      </w:pPr>
      <w:r>
        <w:rPr>
          <w:rFonts w:ascii="Consolas" w:hAnsi="Consolas"/>
          <w:sz w:val="14"/>
        </w:rPr>
        <w:t xml:space="preserve">  services/ingestion/           # Validation and delivery</w:t>
      </w:r>
    </w:p>
    <w:p>
      <w:pPr>
        <w:spacing w:after="0"/>
      </w:pPr>
      <w:r>
        <w:rPr>
          <w:rFonts w:ascii="Consolas" w:hAnsi="Consolas"/>
          <w:sz w:val="14"/>
        </w:rPr>
        <w:t xml:space="preserve">  services/match-engine/        # Deterministic metrics</w:t>
      </w:r>
    </w:p>
    <w:p>
      <w:pPr>
        <w:spacing w:after="0"/>
      </w:pPr>
      <w:r>
        <w:rPr>
          <w:rFonts w:ascii="Consolas" w:hAnsi="Consolas"/>
          <w:sz w:val="14"/>
        </w:rPr>
        <w:t xml:space="preserve">  services/pattern-engine/      # Tactical detection</w:t>
      </w:r>
    </w:p>
    <w:p>
      <w:pPr>
        <w:spacing w:after="0"/>
      </w:pPr>
      <w:r>
        <w:rPr>
          <w:rFonts w:ascii="Consolas" w:hAnsi="Consolas"/>
          <w:sz w:val="14"/>
        </w:rPr>
        <w:t xml:space="preserve">  services/agent-runtime/       # Agent Framework</w:t>
      </w:r>
    </w:p>
    <w:p>
      <w:pPr>
        <w:spacing w:after="0"/>
      </w:pPr>
      <w:r>
        <w:rPr>
          <w:rFonts w:ascii="Consolas" w:hAnsi="Consolas"/>
          <w:sz w:val="14"/>
        </w:rPr>
        <w:t xml:space="preserve">  services/evidence-gate/       # Fact checking</w:t>
      </w:r>
    </w:p>
    <w:p>
      <w:pPr>
        <w:spacing w:after="0"/>
      </w:pPr>
      <w:r>
        <w:rPr>
          <w:rFonts w:ascii="Consolas" w:hAnsi="Consolas"/>
          <w:sz w:val="14"/>
        </w:rPr>
        <w:t xml:space="preserve">  services/overlay-service/     # Broadcast outputs</w:t>
      </w:r>
    </w:p>
    <w:p>
      <w:pPr>
        <w:spacing w:after="0"/>
      </w:pPr>
      <w:r>
        <w:rPr>
          <w:rFonts w:ascii="Consolas" w:hAnsi="Consolas"/>
          <w:sz w:val="14"/>
        </w:rPr>
        <w:t xml:space="preserve">  packages/contracts/           # Shared schemas</w:t>
      </w:r>
    </w:p>
    <w:p>
      <w:pPr>
        <w:spacing w:after="0"/>
      </w:pPr>
      <w:r>
        <w:rPr>
          <w:rFonts w:ascii="Consolas" w:hAnsi="Consolas"/>
          <w:sz w:val="14"/>
        </w:rPr>
        <w:t xml:space="preserve">  packages/evaluation/          # Quality tests</w:t>
      </w:r>
    </w:p>
    <w:p>
      <w:pPr>
        <w:spacing w:after="0"/>
      </w:pPr>
      <w:r>
        <w:rPr>
          <w:rFonts w:ascii="Consolas" w:hAnsi="Consolas"/>
          <w:sz w:val="14"/>
        </w:rPr>
        <w:t xml:space="preserve">  datasets/scenarios/           # Reproducible scenarios</w:t>
      </w:r>
    </w:p>
    <w:p>
      <w:pPr>
        <w:spacing w:after="0"/>
      </w:pPr>
      <w:r>
        <w:rPr>
          <w:rFonts w:ascii="Consolas" w:hAnsi="Consolas"/>
          <w:sz w:val="14"/>
        </w:rPr>
        <w:t xml:space="preserve">  infrastructure/azure/         # Deployment</w:t>
      </w:r>
    </w:p>
    <w:p>
      <w:pPr>
        <w:spacing w:after="0"/>
      </w:pPr>
      <w:r>
        <w:rPr>
          <w:rFonts w:ascii="Consolas" w:hAnsi="Consolas"/>
          <w:sz w:val="14"/>
        </w:rPr>
        <w:t xml:space="preserve">  tests/                         # Unit, contract, E2E</w:t>
      </w:r>
    </w:p>
    <w:p>
      <w:pPr>
        <w:spacing w:after="0"/>
      </w:pPr>
      <w:r>
        <w:rPr>
          <w:rFonts w:ascii="Consolas" w:hAnsi="Consolas"/>
          <w:sz w:val="14"/>
        </w:rPr>
        <w:t xml:space="preserve">  docs/</w:t>
      </w:r>
    </w:p>
    <w:p>
      <w:pPr>
        <w:spacing w:after="0"/>
      </w:pPr>
      <w:r>
        <w:rPr>
          <w:rFonts w:ascii="Consolas" w:hAnsi="Consolas"/>
          <w:sz w:val="14"/>
        </w:rPr>
        <w:t xml:space="preserve">  .github/workflows/</w:t>
      </w:r>
    </w:p>
    <w:p>
      <w:pPr>
        <w:spacing w:after="0"/>
      </w:pPr>
      <w:r>
        <w:rPr>
          <w:rFonts w:ascii="Consolas" w:hAnsi="Consolas"/>
          <w:sz w:val="14"/>
        </w:rPr>
        <w:t xml:space="preserve">  docker-compose.yml</w:t>
      </w:r>
    </w:p>
    <w:p>
      <w:pPr>
        <w:spacing w:after="0"/>
      </w:pPr>
      <w:r>
        <w:rPr>
          <w:rFonts w:ascii="Consolas" w:hAnsi="Consolas"/>
          <w:sz w:val="14"/>
        </w:rPr>
        <w:t xml:space="preserve">  README.md</w:t>
      </w:r>
    </w:p>
    <w:p>
      <w:pPr>
        <w:pStyle w:val="Heading1"/>
      </w:pPr>
      <w:r>
        <w:t>13. Implementation plan</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Phase</w:t>
            </w:r>
          </w:p>
        </w:tc>
        <w:tc>
          <w:tcPr>
            <w:tcW w:type="dxa" w:w="2880"/>
          </w:tcPr>
          <w:p>
            <w:r>
              <w:t>Target dates</w:t>
            </w:r>
          </w:p>
        </w:tc>
        <w:tc>
          <w:tcPr>
            <w:tcW w:type="dxa" w:w="2880"/>
          </w:tcPr>
          <w:p>
            <w:r>
              <w:t>Deliverables</w:t>
            </w:r>
          </w:p>
        </w:tc>
      </w:tr>
      <w:tr>
        <w:tc>
          <w:tcPr>
            <w:tcW w:type="dxa" w:w="2880"/>
          </w:tcPr>
          <w:p>
            <w:r>
              <w:t>Foundation</w:t>
            </w:r>
          </w:p>
        </w:tc>
        <w:tc>
          <w:tcPr>
            <w:tcW w:type="dxa" w:w="2880"/>
          </w:tcPr>
          <w:p>
            <w:r>
              <w:t>15–18 Oct</w:t>
            </w:r>
          </w:p>
        </w:tc>
        <w:tc>
          <w:tcPr>
            <w:tcW w:type="dxa" w:w="2880"/>
          </w:tcPr>
          <w:p>
            <w:r>
              <w:t>Monorepo, schemas, simulator, deterministic state</w:t>
            </w:r>
          </w:p>
        </w:tc>
      </w:tr>
      <w:tr>
        <w:tc>
          <w:tcPr>
            <w:tcW w:type="dxa" w:w="2880"/>
          </w:tcPr>
          <w:p>
            <w:r>
              <w:t>Intelligence</w:t>
            </w:r>
          </w:p>
        </w:tc>
        <w:tc>
          <w:tcPr>
            <w:tcW w:type="dxa" w:w="2880"/>
          </w:tcPr>
          <w:p>
            <w:r>
              <w:t>19–21 Oct</w:t>
            </w:r>
          </w:p>
        </w:tc>
        <w:tc>
          <w:tcPr>
            <w:tcW w:type="dxa" w:w="2880"/>
          </w:tcPr>
          <w:p>
            <w:r>
              <w:t>Detectors, Foundry, agents, evidence gate</w:t>
            </w:r>
          </w:p>
        </w:tc>
      </w:tr>
      <w:tr>
        <w:tc>
          <w:tcPr>
            <w:tcW w:type="dxa" w:w="2880"/>
          </w:tcPr>
          <w:p>
            <w:r>
              <w:t>Experience</w:t>
            </w:r>
          </w:p>
        </w:tc>
        <w:tc>
          <w:tcPr>
            <w:tcW w:type="dxa" w:w="2880"/>
          </w:tcPr>
          <w:p>
            <w:r>
              <w:t>22–24 Oct</w:t>
            </w:r>
          </w:p>
        </w:tc>
        <w:tc>
          <w:tcPr>
            <w:tcW w:type="dxa" w:w="2880"/>
          </w:tcPr>
          <w:p>
            <w:r>
              <w:t>Live UI, tactical panel, overlays, modes, multilingual</w:t>
            </w:r>
          </w:p>
        </w:tc>
      </w:tr>
      <w:tr>
        <w:tc>
          <w:tcPr>
            <w:tcW w:type="dxa" w:w="2880"/>
          </w:tcPr>
          <w:p>
            <w:r>
              <w:t>Delivery</w:t>
            </w:r>
          </w:p>
        </w:tc>
        <w:tc>
          <w:tcPr>
            <w:tcW w:type="dxa" w:w="2880"/>
          </w:tcPr>
          <w:p>
            <w:r>
              <w:t>25–27 Oct</w:t>
            </w:r>
          </w:p>
        </w:tc>
        <w:tc>
          <w:tcPr>
            <w:tcW w:type="dxa" w:w="2880"/>
          </w:tcPr>
          <w:p>
            <w:r>
              <w:t>Azure, evaluation, three scenarios, video and submission</w:t>
            </w:r>
          </w:p>
        </w:tc>
      </w:tr>
    </w:tbl>
    <w:p/>
    <w:p>
      <w:pPr>
        <w:pStyle w:val="Heading1"/>
      </w:pPr>
      <w:r>
        <w:t>14. Architecture and IP decisions</w:t>
      </w:r>
    </w:p>
    <w:p>
      <w:pPr>
        <w:pStyle w:val="ListBullet"/>
      </w:pPr>
      <w:r>
        <w:t>Use reproducible synthetic data, not unlicensed match footage or event feeds.</w:t>
      </w:r>
    </w:p>
    <w:p>
      <w:pPr>
        <w:pStyle w:val="ListBullet"/>
      </w:pPr>
      <w:r>
        <w:t>Compute statistics deterministically and reserve LLMs for interpretation and language.</w:t>
      </w:r>
    </w:p>
    <w:p>
      <w:pPr>
        <w:pStyle w:val="ListBullet"/>
      </w:pPr>
      <w:r>
        <w:t>Publish evidence-linked, validated insights with visible limitations.</w:t>
      </w:r>
    </w:p>
    <w:p>
      <w:pPr>
        <w:pStyle w:val="ListBullet"/>
      </w:pPr>
      <w:r>
        <w:t>Use meaningful multi-agent collaboration with failure recovery.</w:t>
      </w:r>
    </w:p>
    <w:p>
      <w:pPr>
        <w:pStyle w:val="ListBullet"/>
      </w:pPr>
      <w:r>
        <w:t>Make synchronized machine-readable overlays a core product output.</w:t>
      </w:r>
    </w:p>
    <w:p>
      <w:pPr>
        <w:pStyle w:val="ListBullet"/>
      </w:pPr>
      <w:r>
        <w:t>Keep ingestion, intelligence and presentation independently extensible.</w:t>
      </w:r>
    </w:p>
    <w:p>
      <w:pPr>
        <w:pStyle w:val="ListBullet"/>
      </w:pPr>
      <w:r>
        <w:t>Submit a complete original working public project; keep unrelated proprietary NOVTIA technology outside the submission.</w:t>
      </w:r>
    </w:p>
    <w:p>
      <w:r>
        <w:t>IP caveat: Entrants retain ownership, but the rules grant Microsoft and the Premier League a perpetual, worldwide, irrevocable, royalty-free, non-exclusive license to use the submission, including commercially. Review this before disclosing proprietary implementations.</w:t>
      </w:r>
    </w:p>
    <w:p>
      <w:pPr>
        <w:pStyle w:val="Heading1"/>
      </w:pPr>
      <w:r>
        <w:t>15. Milestone M1 — First Explainable Match Insight</w:t>
      </w:r>
    </w:p>
    <w:p>
      <w:r>
        <w:t>A fixed-seed synthetic match flows through ingestion and state computation, triggers a tactical pressure-shift detector, passes evidence validation and updates the live dashboard.</w:t>
      </w:r>
    </w:p>
    <w:p>
      <w:pPr>
        <w:pStyle w:val="ListBullet"/>
      </w:pPr>
      <w:r>
        <w:t>Replay a complete scenario using a fixed seed.</w:t>
      </w:r>
    </w:p>
    <w:p>
      <w:pPr>
        <w:pStyle w:val="ListBullet"/>
      </w:pPr>
      <w:r>
        <w:t>Match computed statistics against independent expected values.</w:t>
      </w:r>
    </w:p>
    <w:p>
      <w:pPr>
        <w:pStyle w:val="ListBullet"/>
      </w:pPr>
      <w:r>
        <w:t>Detect the labeled tactical shift without exposing ground truth to the agent.</w:t>
      </w:r>
    </w:p>
    <w:p>
      <w:pPr>
        <w:pStyle w:val="ListBullet"/>
      </w:pPr>
      <w:r>
        <w:t>Publish an insight with valid supporting event references.</w:t>
      </w:r>
    </w:p>
    <w:p>
      <w:pPr>
        <w:pStyle w:val="ListBullet"/>
      </w:pPr>
      <w:r>
        <w:t>Update the frontend automatically without manual refresh.</w:t>
      </w:r>
    </w:p>
    <w:p>
      <w:pPr>
        <w:pStyle w:val="ListBullet"/>
      </w:pPr>
      <w:r>
        <w:t>Pass local and CI unit, integration and end-to-end tests.</w:t>
      </w:r>
    </w:p>
    <w:p>
      <w:pPr>
        <w:pStyle w:val="Heading1"/>
      </w:pPr>
      <w:r>
        <w:t>Appendix A. Hackathon submission compliance</w:t>
      </w:r>
    </w:p>
    <w:p>
      <w:pPr>
        <w:pStyle w:val="ListBullet"/>
      </w:pPr>
      <w:r>
        <w:t>Register by 20 October 2026, noon Pacific Time.</w:t>
      </w:r>
    </w:p>
    <w:p>
      <w:pPr>
        <w:pStyle w:val="ListBullet"/>
      </w:pPr>
      <w:r>
        <w:t>Submit by 27 October 2026, 11:59 PM Pacific Time.</w:t>
      </w:r>
    </w:p>
    <w:p>
      <w:pPr>
        <w:pStyle w:val="ListBullet"/>
      </w:pPr>
      <w:r>
        <w:t>Include a newly created project implementing ingest, interpret, explain, render and personalize.</w:t>
      </w:r>
    </w:p>
    <w:p>
      <w:pPr>
        <w:pStyle w:val="ListBullet"/>
      </w:pPr>
      <w:r>
        <w:t>Provide a public GitHub repository and functioning accessible demo.</w:t>
      </w:r>
    </w:p>
    <w:p>
      <w:pPr>
        <w:pStyle w:val="ListBullet"/>
      </w:pPr>
      <w:r>
        <w:t>Provide a public demonstration video shorter than two minutes.</w:t>
      </w:r>
    </w:p>
    <w:p>
      <w:pPr>
        <w:pStyle w:val="ListBullet"/>
      </w:pPr>
      <w:r>
        <w:t>Supply an English pitch, testing instructions and any required access credentials.</w:t>
      </w:r>
    </w:p>
    <w:p>
      <w:pPr>
        <w:pStyle w:val="ListBullet"/>
      </w:pPr>
      <w:r>
        <w:t>Keep the demo available free of charge through the judging period ending 10 November.</w:t>
      </w:r>
    </w:p>
    <w:p>
      <w:pPr>
        <w:pStyle w:val="ListBullet"/>
      </w:pPr>
      <w:r>
        <w:t>Ensure third-party assets, data and software are appropriately licensed.</w:t>
      </w:r>
    </w:p>
    <w:sectPr w:rsidR="00FC693F" w:rsidRPr="0006063C" w:rsidSect="00034616">
      <w:footerReference w:type="default" r:id="rId9"/>
      <w:pgSz w:w="12240" w:h="15840"/>
      <w:pgMar w:top="1080" w:right="1800" w:bottom="1008" w:left="180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MatchMind AI  |  Product &amp; Technical Blueprint  |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33453"/>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33453"/>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33453"/>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