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5C6E"/>
          <w:sz w:val="60"/>
        </w:rPr>
        <w:t>WebDataOS</w:t>
      </w:r>
    </w:p>
    <w:p>
      <w:pPr>
        <w:jc w:val="center"/>
      </w:pPr>
      <w:r>
        <w:rPr>
          <w:b/>
          <w:color w:val="0F172A"/>
          <w:sz w:val="36"/>
        </w:rPr>
        <w:t>New Product Direction and Startup Thesis</w:t>
      </w:r>
    </w:p>
    <w:p>
      <w:pPr>
        <w:jc w:val="center"/>
      </w:pPr>
      <w:r>
        <w:rPr>
          <w:i/>
          <w:color w:val="475569"/>
          <w:sz w:val="24"/>
        </w:rPr>
        <w:t>Live-Web Intelligence Runtime for Enterprise Agents</w:t>
      </w:r>
    </w:p>
    <w:p/>
    <w:tbl>
      <w:tblPr>
        <w:tblW w:type="auto" w:w="0"/>
        <w:jc w:val="center"/>
        <w:tblLook w:firstColumn="1" w:firstRow="1" w:lastColumn="0" w:lastRow="0" w:noHBand="0" w:noVBand="1" w:val="04A0"/>
      </w:tblPr>
      <w:tblGrid>
        <w:gridCol w:w="10080"/>
      </w:tblGrid>
      <w:tr>
        <w:tc>
          <w:tcPr>
            <w:tcW w:type="dxa" w:w="10080"/>
            <w:shd w:fill="F0FDFA"/>
          </w:tcPr>
          <w:p>
            <w:r/>
            <w:r>
              <w:rPr>
                <w:b/>
                <w:color w:val="0E7490"/>
                <w:sz w:val="22"/>
              </w:rPr>
              <w:t>Recommended hackathon position</w:t>
            </w:r>
          </w:p>
          <w:p>
            <w:pPr>
              <w:spacing w:before="80"/>
            </w:pPr>
            <w:r>
              <w:rPr>
                <w:color w:val="1F2937"/>
                <w:sz w:val="20"/>
              </w:rPr>
              <w:t>Build a live-web intelligence runtime for enterprise agents. Demonstrate it through a Security and Compliance / third-party risk intelligence workflow, while keeping GTM and Finance as expansion verticals.</w:t>
            </w:r>
          </w:p>
        </w:tc>
      </w:tr>
    </w:tbl>
    <w:p/>
    <w:tbl>
      <w:tblPr>
        <w:tblStyle w:val="TableGrid"/>
        <w:tblW w:type="auto" w:w="0"/>
        <w:tblLook w:firstColumn="1" w:firstRow="1" w:lastColumn="0" w:lastRow="0" w:noHBand="0" w:noVBand="1" w:val="04A0"/>
      </w:tblPr>
      <w:tblGrid>
        <w:gridCol w:w="5040"/>
        <w:gridCol w:w="5040"/>
      </w:tblGrid>
      <w:tr>
        <w:tc>
          <w:tcPr>
            <w:tcW w:type="dxa" w:w="5040"/>
            <w:vAlign w:val="center"/>
            <w:shd w:fill="E2E8F0"/>
          </w:tcPr>
          <w:p>
            <w:r/>
            <w:r>
              <w:rPr>
                <w:rFonts w:ascii="Arial" w:hAnsi="Arial"/>
                <w:b/>
                <w:color w:val="0F172A"/>
                <w:sz w:val="18"/>
              </w:rPr>
              <w:t>Primary hackathon track</w:t>
            </w:r>
          </w:p>
        </w:tc>
        <w:tc>
          <w:tcPr>
            <w:tcW w:type="dxa" w:w="5040"/>
            <w:vAlign w:val="center"/>
          </w:tcPr>
          <w:p>
            <w:r/>
            <w:r>
              <w:rPr>
                <w:rFonts w:ascii="Arial" w:hAnsi="Arial"/>
                <w:b w:val="0"/>
                <w:sz w:val="18"/>
              </w:rPr>
              <w:t>Security and Compliance</w:t>
            </w:r>
          </w:p>
        </w:tc>
      </w:tr>
      <w:tr>
        <w:tc>
          <w:tcPr>
            <w:tcW w:type="dxa" w:w="5040"/>
            <w:vAlign w:val="center"/>
            <w:shd w:fill="E2E8F0"/>
          </w:tcPr>
          <w:p>
            <w:r/>
            <w:r>
              <w:rPr>
                <w:rFonts w:ascii="Arial" w:hAnsi="Arial"/>
                <w:b/>
                <w:color w:val="0F172A"/>
                <w:sz w:val="18"/>
              </w:rPr>
              <w:t>Product category</w:t>
            </w:r>
          </w:p>
        </w:tc>
        <w:tc>
          <w:tcPr>
            <w:tcW w:type="dxa" w:w="5040"/>
            <w:vAlign w:val="center"/>
          </w:tcPr>
          <w:p>
            <w:r/>
            <w:r>
              <w:rPr>
                <w:rFonts w:ascii="Arial" w:hAnsi="Arial"/>
                <w:b w:val="0"/>
                <w:sz w:val="18"/>
              </w:rPr>
              <w:t>Live-web intelligence runtime + Bright Data gateway/SDK</w:t>
            </w:r>
          </w:p>
        </w:tc>
      </w:tr>
      <w:tr>
        <w:tc>
          <w:tcPr>
            <w:tcW w:type="dxa" w:w="5040"/>
            <w:vAlign w:val="center"/>
            <w:shd w:fill="E2E8F0"/>
          </w:tcPr>
          <w:p>
            <w:r/>
            <w:r>
              <w:rPr>
                <w:rFonts w:ascii="Arial" w:hAnsi="Arial"/>
                <w:b/>
                <w:color w:val="0F172A"/>
                <w:sz w:val="18"/>
              </w:rPr>
              <w:t>Initial wedge</w:t>
            </w:r>
          </w:p>
        </w:tc>
        <w:tc>
          <w:tcPr>
            <w:tcW w:type="dxa" w:w="5040"/>
            <w:vAlign w:val="center"/>
          </w:tcPr>
          <w:p>
            <w:r/>
            <w:r>
              <w:rPr>
                <w:rFonts w:ascii="Arial" w:hAnsi="Arial"/>
                <w:b w:val="0"/>
                <w:sz w:val="18"/>
              </w:rPr>
              <w:t>Vendor Risk Intelligence Copilot</w:t>
            </w:r>
          </w:p>
        </w:tc>
      </w:tr>
      <w:tr>
        <w:tc>
          <w:tcPr>
            <w:tcW w:type="dxa" w:w="5040"/>
            <w:vAlign w:val="center"/>
            <w:shd w:fill="E2E8F0"/>
          </w:tcPr>
          <w:p>
            <w:r/>
            <w:r>
              <w:rPr>
                <w:rFonts w:ascii="Arial" w:hAnsi="Arial"/>
                <w:b/>
                <w:color w:val="0F172A"/>
                <w:sz w:val="18"/>
              </w:rPr>
              <w:t>Expansion verticals</w:t>
            </w:r>
          </w:p>
        </w:tc>
        <w:tc>
          <w:tcPr>
            <w:tcW w:type="dxa" w:w="5040"/>
            <w:vAlign w:val="center"/>
          </w:tcPr>
          <w:p>
            <w:r/>
            <w:r>
              <w:rPr>
                <w:rFonts w:ascii="Arial" w:hAnsi="Arial"/>
                <w:b w:val="0"/>
                <w:sz w:val="18"/>
              </w:rPr>
              <w:t>GTM intelligence, Finance and market intelligence</w:t>
            </w:r>
          </w:p>
        </w:tc>
      </w:tr>
    </w:tbl>
    <w:p>
      <w:r>
        <w:br w:type="page"/>
      </w:r>
    </w:p>
    <w:p>
      <w:pPr>
        <w:pStyle w:val="Heading1"/>
      </w:pPr>
      <w:r>
        <w:t>1. Executive Summary</w:t>
      </w:r>
    </w:p>
    <w:tbl>
      <w:tblPr>
        <w:tblW w:type="auto" w:w="0"/>
        <w:jc w:val="center"/>
        <w:tblLook w:firstColumn="1" w:firstRow="1" w:lastColumn="0" w:lastRow="0" w:noHBand="0" w:noVBand="1" w:val="04A0"/>
      </w:tblPr>
      <w:tblGrid>
        <w:gridCol w:w="10080"/>
      </w:tblGrid>
      <w:tr>
        <w:tc>
          <w:tcPr>
            <w:tcW w:type="dxa" w:w="10080"/>
            <w:shd w:fill="ECFEFF"/>
          </w:tcPr>
          <w:p>
            <w:r/>
            <w:r>
              <w:rPr>
                <w:b/>
                <w:color w:val="0E7490"/>
                <w:sz w:val="22"/>
              </w:rPr>
              <w:t>Core thesis</w:t>
            </w:r>
          </w:p>
          <w:p>
            <w:pPr>
              <w:spacing w:before="80"/>
            </w:pPr>
            <w:r>
              <w:rPr>
                <w:color w:val="1F2937"/>
                <w:sz w:val="20"/>
              </w:rPr>
              <w:t>Enterprise AI agents cannot be trusted for current external intelligence when their answers depend on stale model memory, fragile scraping, incomplete retrieval, or unverified sources. WebDataOS becomes the evidence and retrieval layer between agents and the live public web.</w:t>
            </w:r>
          </w:p>
        </w:tc>
      </w:tr>
    </w:tbl>
    <w:p>
      <w:r>
        <w:t>The strongest direction is not to build another generic browsing agent. The stronger startup-grade direction is to build WebDataOS as a live-web intelligence runtime: a system that checks freshness, retrieves missing evidence, recovers difficult web pages through Bright Data infrastructure, structures the result into JSON, and returns an auditable context package to the agent.</w:t>
      </w:r>
    </w:p>
    <w:p>
      <w:r>
        <w:t>For the Web Data UNLOCKED hackathon, the most defensible demonstration is a Security and Compliance workflow: third-party/vendor risk and regulatory signal monitoring. This gives the product a high-stakes enterprise problem while still making the underlying infrastructure reusable for GTM and Finance.</w:t>
      </w:r>
    </w:p>
    <w:p>
      <w:pPr>
        <w:pStyle w:val="Heading1"/>
      </w:pPr>
      <w:r>
        <w:t>2. Why This Direction Is Stronger Than a Generic Live-Web Agent</w:t>
      </w:r>
    </w:p>
    <w:p>
      <w:pPr>
        <w:pStyle w:val="ListBullet"/>
        <w:spacing w:after="40"/>
      </w:pPr>
      <w:r>
        <w:rPr>
          <w:sz w:val="20"/>
        </w:rPr>
        <w:t>It targets a real enterprise workflow: continuous external intelligence for risk, compliance, procurement, and security teams.</w:t>
      </w:r>
    </w:p>
    <w:p>
      <w:pPr>
        <w:pStyle w:val="ListBullet"/>
        <w:spacing w:after="40"/>
      </w:pPr>
      <w:r>
        <w:rPr>
          <w:sz w:val="20"/>
        </w:rPr>
        <w:t>It makes Bright Data usage demonstrable: SERP discovery, Web Unlocker recovery, Scraping Browser for dynamic pages, Web Scraper API for structured extraction, and MCP/SDK integration for agents.</w:t>
      </w:r>
    </w:p>
    <w:p>
      <w:pPr>
        <w:pStyle w:val="ListBullet"/>
        <w:spacing w:after="40"/>
      </w:pPr>
      <w:r>
        <w:rPr>
          <w:sz w:val="20"/>
        </w:rPr>
        <w:t>It produces a reusable infrastructure product, not just a one-off demo.</w:t>
      </w:r>
    </w:p>
    <w:p>
      <w:pPr>
        <w:pStyle w:val="ListBullet"/>
        <w:spacing w:after="40"/>
      </w:pPr>
      <w:r>
        <w:rPr>
          <w:sz w:val="20"/>
        </w:rPr>
        <w:t>It aligns with emerging Agentic RAG research: agents need planning, tool use, adaptive retrieval, and external evidence rather than static model memory [1][2].</w:t>
      </w:r>
    </w:p>
    <w:p>
      <w:pPr>
        <w:pStyle w:val="ListBullet"/>
        <w:spacing w:after="40"/>
      </w:pPr>
      <w:r>
        <w:rPr>
          <w:sz w:val="20"/>
        </w:rPr>
        <w:t>It can become a startup wedge through vendor risk intelligence, then expand to GTM and finance use cases.</w:t>
      </w:r>
    </w:p>
    <w:p>
      <w:pPr>
        <w:pStyle w:val="Heading1"/>
      </w:pPr>
      <w:r>
        <w:t>3. Research and Market Backing</w:t>
      </w:r>
    </w:p>
    <w:p>
      <w:pPr>
        <w:pStyle w:val="Heading2"/>
      </w:pPr>
      <w:r>
        <w:t>3.1 Agentic RAG and the need for fresh external retrieval</w:t>
      </w:r>
    </w:p>
    <w:p>
      <w:r>
        <w:t>Research on Agentic RAG supports the move from static retrieval workflows to agent systems that plan, use tools, manage retrieval strategies, and adapt context. The 2025 Agentic RAG survey states that static training data limits LLMs in dynamic and real-time queries, and that Agentic RAG adds planning, reflection, tool use, and multi-agent collaboration to make retrieval more adaptive [1]. A 2025 reasoning Agentic RAG survey also describes how external retrieval grounds agent reasoning, while agent-based planning helps decide what to retrieve and how to use it [2].</w:t>
      </w:r>
    </w:p>
    <w:p>
      <w:pPr>
        <w:pStyle w:val="Heading2"/>
      </w:pPr>
      <w:r>
        <w:t>3.2 Third-party risk and compliance intelligence</w:t>
      </w:r>
    </w:p>
    <w:p>
      <w:r>
        <w:t>The Security and Compliance direction is backed by the shift from static risk assessment to dynamic, intelligence-led protection. Research on AI-powered threat intelligence and compliance analytics frames third-party cyber risk around vendor opacity, dynamic threat actors, and regulatory fragmentation [3]. That supports WebDataOS as a system for continuous public-web evidence gathering, freshness checking, and structured risk assessment.</w:t>
      </w:r>
    </w:p>
    <w:p>
      <w:pPr>
        <w:pStyle w:val="Heading2"/>
      </w:pPr>
      <w:r>
        <w:t>3.3 Market size supports a real startup opportunity</w:t>
      </w:r>
    </w:p>
    <w:p>
      <w:r>
        <w:t>Third-party risk management is a large and growing market. Future Market Insights projects the third-party risk management market to grow from USD 8.2 billion in 2025 to USD 27.4 billion by 2035 [4]. SNS Insider estimates USD 8.41 billion in 2025 and USD 33.82 billion by 2035 [5]. The broader enterprise risk management market is also projected to grow from USD 6.00 billion in 2025 to USD 11.97 billion by 2030 [6].</w:t>
      </w:r>
    </w:p>
    <w:p>
      <w:pPr>
        <w:pStyle w:val="Heading2"/>
      </w:pPr>
      <w:r>
        <w:t>3.4 Expansion: finance and alternative data</w:t>
      </w:r>
    </w:p>
    <w:p>
      <w:r>
        <w:t>The same runtime can expand into Finance and Market Intelligence. A 2024 review of alternative data in finance and business argues that alternative data can address information asymmetry, reduce agency costs, enhance investor rationality, and improve market efficiency [7]. This supports later expansion into supplier risk, pricing movement, hiring signals, filings, and market intelligence.</w:t>
      </w:r>
    </w:p>
    <w:p>
      <w:pPr>
        <w:pStyle w:val="Heading1"/>
      </w:pPr>
      <w:r>
        <w:t>4. Problem Definition</w:t>
      </w:r>
    </w:p>
    <w:tbl>
      <w:tblPr>
        <w:tblW w:type="auto" w:w="0"/>
        <w:jc w:val="center"/>
        <w:tblLook w:firstColumn="1" w:firstRow="1" w:lastColumn="0" w:lastRow="0" w:noHBand="0" w:noVBand="1" w:val="04A0"/>
      </w:tblPr>
      <w:tblGrid>
        <w:gridCol w:w="10080"/>
      </w:tblGrid>
      <w:tr>
        <w:tc>
          <w:tcPr>
            <w:tcW w:type="dxa" w:w="10080"/>
            <w:shd w:fill="FFF7ED"/>
          </w:tcPr>
          <w:p>
            <w:r/>
            <w:r>
              <w:rPr>
                <w:b/>
                <w:color w:val="0E7490"/>
                <w:sz w:val="22"/>
              </w:rPr>
              <w:t>Problem statement</w:t>
            </w:r>
          </w:p>
          <w:p>
            <w:pPr>
              <w:spacing w:before="80"/>
            </w:pPr>
            <w:r>
              <w:rPr>
                <w:color w:val="1F2937"/>
                <w:sz w:val="20"/>
              </w:rPr>
              <w:t>Enterprise teams need current external intelligence, but the live public web is fragmented, blocked, dynamic, unstructured, and continuously changing. Existing AI agents often fail because they depend on stale memory, shallow search, manual research, or brittle scraping.</w:t>
            </w:r>
          </w:p>
        </w:tc>
      </w:tr>
    </w:tbl>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0F172A"/>
          </w:tcPr>
          <w:p>
            <w:r/>
            <w:r>
              <w:rPr>
                <w:rFonts w:ascii="Arial" w:hAnsi="Arial"/>
                <w:b/>
                <w:color w:val="FFFFFF"/>
                <w:sz w:val="18"/>
              </w:rPr>
              <w:t>Enterprise pain</w:t>
            </w:r>
          </w:p>
        </w:tc>
        <w:tc>
          <w:tcPr>
            <w:tcW w:type="dxa" w:w="3360"/>
            <w:vAlign w:val="center"/>
            <w:shd w:fill="0F172A"/>
          </w:tcPr>
          <w:p>
            <w:r/>
            <w:r>
              <w:rPr>
                <w:rFonts w:ascii="Arial" w:hAnsi="Arial"/>
                <w:b/>
                <w:color w:val="FFFFFF"/>
                <w:sz w:val="18"/>
              </w:rPr>
              <w:t>Why current tools fail</w:t>
            </w:r>
          </w:p>
        </w:tc>
        <w:tc>
          <w:tcPr>
            <w:tcW w:type="dxa" w:w="3360"/>
            <w:vAlign w:val="center"/>
            <w:shd w:fill="0F172A"/>
          </w:tcPr>
          <w:p>
            <w:r/>
            <w:r>
              <w:rPr>
                <w:rFonts w:ascii="Arial" w:hAnsi="Arial"/>
                <w:b/>
                <w:color w:val="FFFFFF"/>
                <w:sz w:val="18"/>
              </w:rPr>
              <w:t>WebDataOS response</w:t>
            </w:r>
          </w:p>
        </w:tc>
      </w:tr>
      <w:tr>
        <w:tc>
          <w:tcPr>
            <w:tcW w:type="dxa" w:w="3360"/>
            <w:vAlign w:val="center"/>
          </w:tcPr>
          <w:p>
            <w:r/>
            <w:r>
              <w:rPr>
                <w:rFonts w:ascii="Arial" w:hAnsi="Arial"/>
                <w:b w:val="0"/>
                <w:sz w:val="18"/>
              </w:rPr>
              <w:t>Vendor risk changes after onboarding</w:t>
            </w:r>
          </w:p>
        </w:tc>
        <w:tc>
          <w:tcPr>
            <w:tcW w:type="dxa" w:w="3360"/>
            <w:vAlign w:val="center"/>
          </w:tcPr>
          <w:p>
            <w:r/>
            <w:r>
              <w:rPr>
                <w:rFonts w:ascii="Arial" w:hAnsi="Arial"/>
                <w:b w:val="0"/>
                <w:sz w:val="18"/>
              </w:rPr>
              <w:t>Periodic questionnaires and static reviews miss new signals</w:t>
            </w:r>
          </w:p>
        </w:tc>
        <w:tc>
          <w:tcPr>
            <w:tcW w:type="dxa" w:w="3360"/>
            <w:vAlign w:val="center"/>
          </w:tcPr>
          <w:p>
            <w:r/>
            <w:r>
              <w:rPr>
                <w:rFonts w:ascii="Arial" w:hAnsi="Arial"/>
                <w:b w:val="0"/>
                <w:sz w:val="18"/>
              </w:rPr>
              <w:t>Continuous live-web monitoring with freshness and evidence</w:t>
            </w:r>
          </w:p>
        </w:tc>
      </w:tr>
      <w:tr>
        <w:tc>
          <w:tcPr>
            <w:tcW w:type="dxa" w:w="3360"/>
            <w:vAlign w:val="center"/>
          </w:tcPr>
          <w:p>
            <w:r/>
            <w:r>
              <w:rPr>
                <w:rFonts w:ascii="Arial" w:hAnsi="Arial"/>
                <w:b w:val="0"/>
                <w:sz w:val="18"/>
              </w:rPr>
              <w:t>Regulatory updates are scattered</w:t>
            </w:r>
          </w:p>
        </w:tc>
        <w:tc>
          <w:tcPr>
            <w:tcW w:type="dxa" w:w="3360"/>
            <w:vAlign w:val="center"/>
          </w:tcPr>
          <w:p>
            <w:r/>
            <w:r>
              <w:rPr>
                <w:rFonts w:ascii="Arial" w:hAnsi="Arial"/>
                <w:b w:val="0"/>
                <w:sz w:val="18"/>
              </w:rPr>
              <w:t>Teams manually monitor multiple public sources</w:t>
            </w:r>
          </w:p>
        </w:tc>
        <w:tc>
          <w:tcPr>
            <w:tcW w:type="dxa" w:w="3360"/>
            <w:vAlign w:val="center"/>
          </w:tcPr>
          <w:p>
            <w:r/>
            <w:r>
              <w:rPr>
                <w:rFonts w:ascii="Arial" w:hAnsi="Arial"/>
                <w:b w:val="0"/>
                <w:sz w:val="18"/>
              </w:rPr>
              <w:t>Agent retrieves, structures, and summarizes obligation changes</w:t>
            </w:r>
          </w:p>
        </w:tc>
      </w:tr>
      <w:tr>
        <w:tc>
          <w:tcPr>
            <w:tcW w:type="dxa" w:w="3360"/>
            <w:vAlign w:val="center"/>
          </w:tcPr>
          <w:p>
            <w:r/>
            <w:r>
              <w:rPr>
                <w:rFonts w:ascii="Arial" w:hAnsi="Arial"/>
                <w:b w:val="0"/>
                <w:sz w:val="18"/>
              </w:rPr>
              <w:t>Security risk appears outside internal systems</w:t>
            </w:r>
          </w:p>
        </w:tc>
        <w:tc>
          <w:tcPr>
            <w:tcW w:type="dxa" w:w="3360"/>
            <w:vAlign w:val="center"/>
          </w:tcPr>
          <w:p>
            <w:r/>
            <w:r>
              <w:rPr>
                <w:rFonts w:ascii="Arial" w:hAnsi="Arial"/>
                <w:b w:val="0"/>
                <w:sz w:val="18"/>
              </w:rPr>
              <w:t>SIEMs are not built for broad public-web intelligence</w:t>
            </w:r>
          </w:p>
        </w:tc>
        <w:tc>
          <w:tcPr>
            <w:tcW w:type="dxa" w:w="3360"/>
            <w:vAlign w:val="center"/>
          </w:tcPr>
          <w:p>
            <w:r/>
            <w:r>
              <w:rPr>
                <w:rFonts w:ascii="Arial" w:hAnsi="Arial"/>
                <w:b w:val="0"/>
                <w:sz w:val="18"/>
              </w:rPr>
              <w:t>Bright Data gateway discovers and recovers external sources</w:t>
            </w:r>
          </w:p>
        </w:tc>
      </w:tr>
      <w:tr>
        <w:tc>
          <w:tcPr>
            <w:tcW w:type="dxa" w:w="3360"/>
            <w:vAlign w:val="center"/>
          </w:tcPr>
          <w:p>
            <w:r/>
            <w:r>
              <w:rPr>
                <w:rFonts w:ascii="Arial" w:hAnsi="Arial"/>
                <w:b w:val="0"/>
                <w:sz w:val="18"/>
              </w:rPr>
              <w:t>Executives need evidence, not raw links</w:t>
            </w:r>
          </w:p>
        </w:tc>
        <w:tc>
          <w:tcPr>
            <w:tcW w:type="dxa" w:w="3360"/>
            <w:vAlign w:val="center"/>
          </w:tcPr>
          <w:p>
            <w:r/>
            <w:r>
              <w:rPr>
                <w:rFonts w:ascii="Arial" w:hAnsi="Arial"/>
                <w:b w:val="0"/>
                <w:sz w:val="18"/>
              </w:rPr>
              <w:t>Search output is noisy and unstructured</w:t>
            </w:r>
          </w:p>
        </w:tc>
        <w:tc>
          <w:tcPr>
            <w:tcW w:type="dxa" w:w="3360"/>
            <w:vAlign w:val="center"/>
          </w:tcPr>
          <w:p>
            <w:r/>
            <w:r>
              <w:rPr>
                <w:rFonts w:ascii="Arial" w:hAnsi="Arial"/>
                <w:b w:val="0"/>
                <w:sz w:val="18"/>
              </w:rPr>
              <w:t>Structured risk briefs with confidence, sources, and timestamps</w:t>
            </w:r>
          </w:p>
        </w:tc>
      </w:tr>
    </w:tbl>
    <w:p>
      <w:pPr>
        <w:pStyle w:val="Heading1"/>
      </w:pPr>
      <w:r>
        <w:t>5. Product Direction</w:t>
      </w:r>
    </w:p>
    <w:p>
      <w:r>
        <w:t>WebDataOS should be framed as a three-layer runtime. The word “track” should be avoided in the UI because the hackathon already uses official tracks. Use “Layer” for internal architecture.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075985"/>
          </w:tcPr>
          <w:p>
            <w:r/>
            <w:r>
              <w:rPr>
                <w:rFonts w:ascii="Arial" w:hAnsi="Arial"/>
                <w:b/>
                <w:color w:val="FFFFFF"/>
                <w:sz w:val="18"/>
              </w:rPr>
              <w:t>Layer</w:t>
            </w:r>
          </w:p>
        </w:tc>
        <w:tc>
          <w:tcPr>
            <w:tcW w:type="dxa" w:w="3360"/>
            <w:vAlign w:val="center"/>
            <w:shd w:fill="075985"/>
          </w:tcPr>
          <w:p>
            <w:r/>
            <w:r>
              <w:rPr>
                <w:rFonts w:ascii="Arial" w:hAnsi="Arial"/>
                <w:b/>
                <w:color w:val="FFFFFF"/>
                <w:sz w:val="18"/>
              </w:rPr>
              <w:t>Role</w:t>
            </w:r>
          </w:p>
        </w:tc>
        <w:tc>
          <w:tcPr>
            <w:tcW w:type="dxa" w:w="3360"/>
            <w:vAlign w:val="center"/>
            <w:shd w:fill="075985"/>
          </w:tcPr>
          <w:p>
            <w:r/>
            <w:r>
              <w:rPr>
                <w:rFonts w:ascii="Arial" w:hAnsi="Arial"/>
                <w:b/>
                <w:color w:val="FFFFFF"/>
                <w:sz w:val="18"/>
              </w:rPr>
              <w:t>Hackathon proof</w:t>
            </w:r>
          </w:p>
        </w:tc>
      </w:tr>
      <w:tr>
        <w:tc>
          <w:tcPr>
            <w:tcW w:type="dxa" w:w="3360"/>
            <w:vAlign w:val="center"/>
          </w:tcPr>
          <w:p>
            <w:r/>
            <w:r>
              <w:rPr>
                <w:rFonts w:ascii="Arial" w:hAnsi="Arial"/>
                <w:b w:val="0"/>
                <w:sz w:val="18"/>
              </w:rPr>
              <w:t>Layer 1: Agent Workspace</w:t>
            </w:r>
          </w:p>
        </w:tc>
        <w:tc>
          <w:tcPr>
            <w:tcW w:type="dxa" w:w="3360"/>
            <w:vAlign w:val="center"/>
          </w:tcPr>
          <w:p>
            <w:r/>
            <w:r>
              <w:rPr>
                <w:rFonts w:ascii="Arial" w:hAnsi="Arial"/>
                <w:b w:val="0"/>
                <w:sz w:val="18"/>
              </w:rPr>
              <w:t>The user-facing research/risk agent that requests current evidence and produces a sourced brief.</w:t>
            </w:r>
          </w:p>
        </w:tc>
        <w:tc>
          <w:tcPr>
            <w:tcW w:type="dxa" w:w="3360"/>
            <w:vAlign w:val="center"/>
          </w:tcPr>
          <w:p>
            <w:r/>
            <w:r>
              <w:rPr>
                <w:rFonts w:ascii="Arial" w:hAnsi="Arial"/>
                <w:b w:val="0"/>
                <w:sz w:val="18"/>
              </w:rPr>
              <w:t>Mock-live chat surface with history, run state, evidence, and final report.</w:t>
            </w:r>
          </w:p>
        </w:tc>
      </w:tr>
      <w:tr>
        <w:tc>
          <w:tcPr>
            <w:tcW w:type="dxa" w:w="3360"/>
            <w:vAlign w:val="center"/>
          </w:tcPr>
          <w:p>
            <w:r/>
            <w:r>
              <w:rPr>
                <w:rFonts w:ascii="Arial" w:hAnsi="Arial"/>
                <w:b w:val="0"/>
                <w:sz w:val="18"/>
              </w:rPr>
              <w:t>Layer 2: Intelligence Engine</w:t>
            </w:r>
          </w:p>
        </w:tc>
        <w:tc>
          <w:tcPr>
            <w:tcW w:type="dxa" w:w="3360"/>
            <w:vAlign w:val="center"/>
          </w:tcPr>
          <w:p>
            <w:r/>
            <w:r>
              <w:rPr>
                <w:rFonts w:ascii="Arial" w:hAnsi="Arial"/>
                <w:b w:val="0"/>
                <w:sz w:val="18"/>
              </w:rPr>
              <w:t>Checks stored records, ranks context, applies freshness policy, and creates the agent-ready context package.</w:t>
            </w:r>
          </w:p>
        </w:tc>
        <w:tc>
          <w:tcPr>
            <w:tcW w:type="dxa" w:w="3360"/>
            <w:vAlign w:val="center"/>
          </w:tcPr>
          <w:p>
            <w:r/>
            <w:r>
              <w:rPr>
                <w:rFonts w:ascii="Arial" w:hAnsi="Arial"/>
                <w:b w:val="0"/>
                <w:sz w:val="18"/>
              </w:rPr>
              <w:t>Live console showing reused, refreshed, skipped records and JSON output.</w:t>
            </w:r>
          </w:p>
        </w:tc>
      </w:tr>
      <w:tr>
        <w:tc>
          <w:tcPr>
            <w:tcW w:type="dxa" w:w="3360"/>
            <w:vAlign w:val="center"/>
          </w:tcPr>
          <w:p>
            <w:r/>
            <w:r>
              <w:rPr>
                <w:rFonts w:ascii="Arial" w:hAnsi="Arial"/>
                <w:b w:val="0"/>
                <w:sz w:val="18"/>
              </w:rPr>
              <w:t>Layer 3: Bright Data Gateway</w:t>
            </w:r>
          </w:p>
        </w:tc>
        <w:tc>
          <w:tcPr>
            <w:tcW w:type="dxa" w:w="3360"/>
            <w:vAlign w:val="center"/>
          </w:tcPr>
          <w:p>
            <w:r/>
            <w:r>
              <w:rPr>
                <w:rFonts w:ascii="Arial" w:hAnsi="Arial"/>
                <w:b w:val="0"/>
                <w:sz w:val="18"/>
              </w:rPr>
              <w:t>Routes retrieval through Bright Data tools, handles blocked/dynamic pages, and returns structured extraction receipts.</w:t>
            </w:r>
          </w:p>
        </w:tc>
        <w:tc>
          <w:tcPr>
            <w:tcW w:type="dxa" w:w="3360"/>
            <w:vAlign w:val="center"/>
          </w:tcPr>
          <w:p>
            <w:r/>
            <w:r>
              <w:rPr>
                <w:rFonts w:ascii="Arial" w:hAnsi="Arial"/>
                <w:b w:val="0"/>
                <w:sz w:val="18"/>
              </w:rPr>
              <w:t>Recovery console showing tool routing, fallback path, and clean JSON receipt.</w:t>
            </w:r>
          </w:p>
        </w:tc>
      </w:tr>
    </w:tbl>
    <w:p>
      <w:pPr>
        <w:pStyle w:val="Heading1"/>
      </w:pPr>
      <w:r>
        <w:t>6. Startup Wedge: Vendor Risk Intelligence Copilot</w:t>
      </w:r>
    </w:p>
    <w:p>
      <w:r>
        <w:t>The initial startup wedge should be a narrow, high-value product for GRC, vendor risk, security, procurement risk, and compliance teams.</w:t>
      </w:r>
    </w:p>
    <w:p>
      <w:pPr>
        <w:pStyle w:val="ListBullet"/>
        <w:spacing w:after="40"/>
      </w:pPr>
      <w:r>
        <w:rPr>
          <w:sz w:val="20"/>
        </w:rPr>
        <w:t>Enter or upload a vendor list.</w:t>
      </w:r>
    </w:p>
    <w:p>
      <w:pPr>
        <w:pStyle w:val="ListBullet"/>
        <w:spacing w:after="40"/>
      </w:pPr>
      <w:r>
        <w:rPr>
          <w:sz w:val="20"/>
        </w:rPr>
        <w:t>Monitor public web sources for vendor risk signals, regulatory changes, breach mentions, leadership changes, financial distress, sanctions, and policy/security-page changes.</w:t>
      </w:r>
    </w:p>
    <w:p>
      <w:pPr>
        <w:pStyle w:val="ListBullet"/>
        <w:spacing w:after="40"/>
      </w:pPr>
      <w:r>
        <w:rPr>
          <w:sz w:val="20"/>
        </w:rPr>
        <w:t>Check whether existing intelligence is fresh enough before retrieving new data.</w:t>
      </w:r>
    </w:p>
    <w:p>
      <w:pPr>
        <w:pStyle w:val="ListBullet"/>
        <w:spacing w:after="40"/>
      </w:pPr>
      <w:r>
        <w:rPr>
          <w:sz w:val="20"/>
        </w:rPr>
        <w:t>Use Bright Data tools to discover, unlock, render, scrape, and structure live evidence.</w:t>
      </w:r>
    </w:p>
    <w:p>
      <w:pPr>
        <w:pStyle w:val="ListBullet"/>
        <w:spacing w:after="40"/>
      </w:pPr>
      <w:r>
        <w:rPr>
          <w:sz w:val="20"/>
        </w:rPr>
        <w:t>Return a risk brief with sources, timestamps, confidence, evidence coverage, and recommended next action.</w:t>
      </w:r>
    </w:p>
    <w:p>
      <w:pPr>
        <w:pStyle w:val="ListBullet"/>
        <w:spacing w:after="40"/>
      </w:pPr>
      <w:r>
        <w:rPr>
          <w:sz w:val="20"/>
        </w:rPr>
        <w:t>Store the intelligence record for future monitoring and comparison.</w:t>
      </w:r>
    </w:p>
    <w:p>
      <w:pPr>
        <w:pStyle w:val="Heading1"/>
      </w:pPr>
      <w:r>
        <w:t>7. Hackathon Demo Scenario</w:t>
      </w:r>
    </w:p>
    <w:p>
      <w:r>
        <w:t>The demo should be simple, high-stakes, and easy for judges to understand in under two minutes.</w:t>
      </w:r>
    </w:p>
    <w:p>
      <w:pPr>
        <w:pStyle w:val="ListNumber"/>
        <w:spacing w:after="40"/>
      </w:pPr>
      <w:r>
        <w:rPr>
          <w:sz w:val="20"/>
        </w:rPr>
        <w:t>User asks the agent: “Assess current external risk signals for Vendor X before renewal.”</w:t>
      </w:r>
    </w:p>
    <w:p>
      <w:pPr>
        <w:pStyle w:val="ListNumber"/>
        <w:spacing w:after="40"/>
      </w:pPr>
      <w:r>
        <w:rPr>
          <w:sz w:val="20"/>
        </w:rPr>
        <w:t>Agent checks existing intelligence records and finds some context fresh, some stale, and some missing.</w:t>
      </w:r>
    </w:p>
    <w:p>
      <w:pPr>
        <w:pStyle w:val="ListNumber"/>
        <w:spacing w:after="40"/>
      </w:pPr>
      <w:r>
        <w:rPr>
          <w:sz w:val="20"/>
        </w:rPr>
        <w:t>Intelligence Engine decides what can be reused and what must be refreshed.</w:t>
      </w:r>
    </w:p>
    <w:p>
      <w:pPr>
        <w:pStyle w:val="ListNumber"/>
        <w:spacing w:after="40"/>
      </w:pPr>
      <w:r>
        <w:rPr>
          <w:sz w:val="20"/>
        </w:rPr>
        <w:t>Bright Data Gateway retrieves public evidence using SERP API, Web Scraper API, Scraping Browser, and Web Unlocker where needed.</w:t>
      </w:r>
    </w:p>
    <w:p>
      <w:pPr>
        <w:pStyle w:val="ListNumber"/>
        <w:spacing w:after="40"/>
      </w:pPr>
      <w:r>
        <w:rPr>
          <w:sz w:val="20"/>
        </w:rPr>
        <w:t>System returns clean JSON records: risk signals, source URLs, timestamps, confidence, and recovery trace.</w:t>
      </w:r>
    </w:p>
    <w:p>
      <w:pPr>
        <w:pStyle w:val="ListNumber"/>
        <w:spacing w:after="40"/>
      </w:pPr>
      <w:r>
        <w:rPr>
          <w:sz w:val="20"/>
        </w:rPr>
        <w:t>Agent produces a vendor risk brief with recommended action: approve, monitor, escalate, or request review.</w:t>
      </w:r>
    </w:p>
    <w:p>
      <w:pPr>
        <w:pStyle w:val="Heading1"/>
      </w:pPr>
      <w:r>
        <w:t>8. UI and Product Changes Required</w:t>
      </w:r>
    </w:p>
    <w:p>
      <w:pPr>
        <w:pStyle w:val="ListBullet"/>
        <w:spacing w:after="40"/>
      </w:pPr>
      <w:r>
        <w:rPr>
          <w:sz w:val="20"/>
        </w:rPr>
        <w:t>Replace “Track 1 / Track 2 / Track 3” in the UI with “Layer 1 / Layer 2 / Layer 3”.</w:t>
      </w:r>
    </w:p>
    <w:p>
      <w:pPr>
        <w:pStyle w:val="ListBullet"/>
        <w:spacing w:after="40"/>
      </w:pPr>
      <w:r>
        <w:rPr>
          <w:sz w:val="20"/>
        </w:rPr>
        <w:t>Change the landing headline from generic live-web data to enterprise risk and intelligence positioning.</w:t>
      </w:r>
    </w:p>
    <w:p>
      <w:pPr>
        <w:pStyle w:val="ListBullet"/>
        <w:spacing w:after="40"/>
      </w:pPr>
      <w:r>
        <w:rPr>
          <w:sz w:val="20"/>
        </w:rPr>
        <w:t>Add a clear hackathon badge: “Primary demo: Security and Compliance; reusable for GTM and Finance.”</w:t>
      </w:r>
    </w:p>
    <w:p>
      <w:pPr>
        <w:pStyle w:val="ListBullet"/>
        <w:spacing w:after="40"/>
      </w:pPr>
      <w:r>
        <w:rPr>
          <w:sz w:val="20"/>
        </w:rPr>
        <w:t>Make the Agent page default task a vendor-risk or regulatory-signal assessment, not generic AI observability.</w:t>
      </w:r>
    </w:p>
    <w:p>
      <w:pPr>
        <w:pStyle w:val="ListBullet"/>
        <w:spacing w:after="40"/>
      </w:pPr>
      <w:r>
        <w:rPr>
          <w:sz w:val="20"/>
        </w:rPr>
        <w:t>Make the Intelligence page show vendor records, risk signals, freshness, evidence, and risk context package.</w:t>
      </w:r>
    </w:p>
    <w:p>
      <w:pPr>
        <w:pStyle w:val="ListBullet"/>
        <w:spacing w:after="40"/>
      </w:pPr>
      <w:r>
        <w:rPr>
          <w:sz w:val="20"/>
        </w:rPr>
        <w:t>Make the Infrastructure page explicitly name Bright Data products and show which product was used at each recovery step.</w:t>
      </w:r>
    </w:p>
    <w:p>
      <w:pPr>
        <w:pStyle w:val="ListBullet"/>
        <w:spacing w:after="40"/>
      </w:pPr>
      <w:r>
        <w:rPr>
          <w:sz w:val="20"/>
        </w:rPr>
        <w:t>Keep the Developer page as the proof that this is an SDK/API-ready product rather than a static dashboard.</w:t>
      </w:r>
    </w:p>
    <w:p>
      <w:pPr>
        <w:pStyle w:val="Heading1"/>
      </w:pPr>
      <w:r>
        <w:t>9. Business Model and Startup Path</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0F172A"/>
          </w:tcPr>
          <w:p>
            <w:r/>
            <w:r>
              <w:rPr>
                <w:rFonts w:ascii="Arial" w:hAnsi="Arial"/>
                <w:b/>
                <w:color w:val="FFFFFF"/>
                <w:sz w:val="18"/>
              </w:rPr>
              <w:t>Stage</w:t>
            </w:r>
          </w:p>
        </w:tc>
        <w:tc>
          <w:tcPr>
            <w:tcW w:type="dxa" w:w="3360"/>
            <w:vAlign w:val="center"/>
            <w:shd w:fill="0F172A"/>
          </w:tcPr>
          <w:p>
            <w:r/>
            <w:r>
              <w:rPr>
                <w:rFonts w:ascii="Arial" w:hAnsi="Arial"/>
                <w:b/>
                <w:color w:val="FFFFFF"/>
                <w:sz w:val="18"/>
              </w:rPr>
              <w:t>Product</w:t>
            </w:r>
          </w:p>
        </w:tc>
        <w:tc>
          <w:tcPr>
            <w:tcW w:type="dxa" w:w="3360"/>
            <w:vAlign w:val="center"/>
            <w:shd w:fill="0F172A"/>
          </w:tcPr>
          <w:p>
            <w:r/>
            <w:r>
              <w:rPr>
                <w:rFonts w:ascii="Arial" w:hAnsi="Arial"/>
                <w:b/>
                <w:color w:val="FFFFFF"/>
                <w:sz w:val="18"/>
              </w:rPr>
              <w:t>Revenue logic</w:t>
            </w:r>
          </w:p>
        </w:tc>
      </w:tr>
      <w:tr>
        <w:tc>
          <w:tcPr>
            <w:tcW w:type="dxa" w:w="3360"/>
            <w:vAlign w:val="center"/>
          </w:tcPr>
          <w:p>
            <w:r/>
            <w:r>
              <w:rPr>
                <w:rFonts w:ascii="Arial" w:hAnsi="Arial"/>
                <w:b w:val="0"/>
                <w:sz w:val="18"/>
              </w:rPr>
              <w:t>Hackathon</w:t>
            </w:r>
          </w:p>
        </w:tc>
        <w:tc>
          <w:tcPr>
            <w:tcW w:type="dxa" w:w="3360"/>
            <w:vAlign w:val="center"/>
          </w:tcPr>
          <w:p>
            <w:r/>
            <w:r>
              <w:rPr>
                <w:rFonts w:ascii="Arial" w:hAnsi="Arial"/>
                <w:b w:val="0"/>
                <w:sz w:val="18"/>
              </w:rPr>
              <w:t>Mock-live vendor risk intelligence demo</w:t>
            </w:r>
          </w:p>
        </w:tc>
        <w:tc>
          <w:tcPr>
            <w:tcW w:type="dxa" w:w="3360"/>
            <w:vAlign w:val="center"/>
          </w:tcPr>
          <w:p>
            <w:r/>
            <w:r>
              <w:rPr>
                <w:rFonts w:ascii="Arial" w:hAnsi="Arial"/>
                <w:b w:val="0"/>
                <w:sz w:val="18"/>
              </w:rPr>
              <w:t>Proof of technical feasibility and Bright Data integration</w:t>
            </w:r>
          </w:p>
        </w:tc>
      </w:tr>
      <w:tr>
        <w:tc>
          <w:tcPr>
            <w:tcW w:type="dxa" w:w="3360"/>
            <w:vAlign w:val="center"/>
          </w:tcPr>
          <w:p>
            <w:r/>
            <w:r>
              <w:rPr>
                <w:rFonts w:ascii="Arial" w:hAnsi="Arial"/>
                <w:b w:val="0"/>
                <w:sz w:val="18"/>
              </w:rPr>
              <w:t>MVP</w:t>
            </w:r>
          </w:p>
        </w:tc>
        <w:tc>
          <w:tcPr>
            <w:tcW w:type="dxa" w:w="3360"/>
            <w:vAlign w:val="center"/>
          </w:tcPr>
          <w:p>
            <w:r/>
            <w:r>
              <w:rPr>
                <w:rFonts w:ascii="Arial" w:hAnsi="Arial"/>
                <w:b w:val="0"/>
                <w:sz w:val="18"/>
              </w:rPr>
              <w:t>Vendor Risk Intelligence Copilot</w:t>
            </w:r>
          </w:p>
        </w:tc>
        <w:tc>
          <w:tcPr>
            <w:tcW w:type="dxa" w:w="3360"/>
            <w:vAlign w:val="center"/>
          </w:tcPr>
          <w:p>
            <w:r/>
            <w:r>
              <w:rPr>
                <w:rFonts w:ascii="Arial" w:hAnsi="Arial"/>
                <w:b w:val="0"/>
                <w:sz w:val="18"/>
              </w:rPr>
              <w:t>Subscription by number of monitored vendors and refresh frequency</w:t>
            </w:r>
          </w:p>
        </w:tc>
      </w:tr>
      <w:tr>
        <w:tc>
          <w:tcPr>
            <w:tcW w:type="dxa" w:w="3360"/>
            <w:vAlign w:val="center"/>
          </w:tcPr>
          <w:p>
            <w:r/>
            <w:r>
              <w:rPr>
                <w:rFonts w:ascii="Arial" w:hAnsi="Arial"/>
                <w:b w:val="0"/>
                <w:sz w:val="18"/>
              </w:rPr>
              <w:t>Growth</w:t>
            </w:r>
          </w:p>
        </w:tc>
        <w:tc>
          <w:tcPr>
            <w:tcW w:type="dxa" w:w="3360"/>
            <w:vAlign w:val="center"/>
          </w:tcPr>
          <w:p>
            <w:r/>
            <w:r>
              <w:rPr>
                <w:rFonts w:ascii="Arial" w:hAnsi="Arial"/>
                <w:b w:val="0"/>
                <w:sz w:val="18"/>
              </w:rPr>
              <w:t>Integrations into Slack, email, Jira, ServiceNow, GRC tools</w:t>
            </w:r>
          </w:p>
        </w:tc>
        <w:tc>
          <w:tcPr>
            <w:tcW w:type="dxa" w:w="3360"/>
            <w:vAlign w:val="center"/>
          </w:tcPr>
          <w:p>
            <w:r/>
            <w:r>
              <w:rPr>
                <w:rFonts w:ascii="Arial" w:hAnsi="Arial"/>
                <w:b w:val="0"/>
                <w:sz w:val="18"/>
              </w:rPr>
              <w:t>Team seats, alerts, workflow automation, evidence exports</w:t>
            </w:r>
          </w:p>
        </w:tc>
      </w:tr>
      <w:tr>
        <w:tc>
          <w:tcPr>
            <w:tcW w:type="dxa" w:w="3360"/>
            <w:vAlign w:val="center"/>
          </w:tcPr>
          <w:p>
            <w:r/>
            <w:r>
              <w:rPr>
                <w:rFonts w:ascii="Arial" w:hAnsi="Arial"/>
                <w:b w:val="0"/>
                <w:sz w:val="18"/>
              </w:rPr>
              <w:t>Platform</w:t>
            </w:r>
          </w:p>
        </w:tc>
        <w:tc>
          <w:tcPr>
            <w:tcW w:type="dxa" w:w="3360"/>
            <w:vAlign w:val="center"/>
          </w:tcPr>
          <w:p>
            <w:r/>
            <w:r>
              <w:rPr>
                <w:rFonts w:ascii="Arial" w:hAnsi="Arial"/>
                <w:b w:val="0"/>
                <w:sz w:val="18"/>
              </w:rPr>
              <w:t>Live-web intelligence runtime for risk, GTM, and finance agents</w:t>
            </w:r>
          </w:p>
        </w:tc>
        <w:tc>
          <w:tcPr>
            <w:tcW w:type="dxa" w:w="3360"/>
            <w:vAlign w:val="center"/>
          </w:tcPr>
          <w:p>
            <w:r/>
            <w:r>
              <w:rPr>
                <w:rFonts w:ascii="Arial" w:hAnsi="Arial"/>
                <w:b w:val="0"/>
                <w:sz w:val="18"/>
              </w:rPr>
              <w:t>Usage-based API, gateway/SDK plans, enterprise SLAs</w:t>
            </w:r>
          </w:p>
        </w:tc>
      </w:tr>
    </w:tbl>
    <w:p>
      <w:pPr>
        <w:pStyle w:val="Heading1"/>
      </w:pPr>
      <w:r>
        <w:t>10. Claims to Avoid</w:t>
      </w:r>
    </w:p>
    <w:p>
      <w:pPr>
        <w:pStyle w:val="ListBullet"/>
        <w:spacing w:after="40"/>
      </w:pPr>
      <w:r>
        <w:rPr>
          <w:sz w:val="20"/>
        </w:rPr>
        <w:t>Do not claim to replace security, compliance, or legal teams.</w:t>
      </w:r>
    </w:p>
    <w:p>
      <w:pPr>
        <w:pStyle w:val="ListBullet"/>
        <w:spacing w:after="40"/>
      </w:pPr>
      <w:r>
        <w:rPr>
          <w:sz w:val="20"/>
        </w:rPr>
        <w:t>Do not claim to detect every breach or guarantee compliance.</w:t>
      </w:r>
    </w:p>
    <w:p>
      <w:pPr>
        <w:pStyle w:val="ListBullet"/>
        <w:spacing w:after="40"/>
      </w:pPr>
      <w:r>
        <w:rPr>
          <w:sz w:val="20"/>
        </w:rPr>
        <w:t>Do not claim to be a full SIEM or complete GRC platform on day one.</w:t>
      </w:r>
    </w:p>
    <w:p>
      <w:pPr>
        <w:pStyle w:val="ListBullet"/>
        <w:spacing w:after="40"/>
      </w:pPr>
      <w:r>
        <w:rPr>
          <w:sz w:val="20"/>
        </w:rPr>
        <w:t>Do not overclaim financial prediction capability if using finance examples.</w:t>
      </w:r>
    </w:p>
    <w:p>
      <w:pPr>
        <w:pStyle w:val="ListBullet"/>
        <w:spacing w:after="40"/>
      </w:pPr>
      <w:r>
        <w:rPr>
          <w:sz w:val="20"/>
        </w:rPr>
        <w:t>Do claim: WebDataOS automates live external intelligence gathering, source recovery, evidence packaging, and structured context delivery for enterprise agents.</w:t>
      </w:r>
    </w:p>
    <w:p>
      <w:r>
        <w:br/>
      </w:r>
    </w:p>
    <w:p>
      <w:r>
        <w:br w:type="page"/>
      </w:r>
    </w:p>
    <w:p>
      <w:pPr>
        <w:pStyle w:val="Heading1"/>
      </w:pPr>
      <w:r>
        <w:t>11. Final Positioning Statement</w:t>
      </w:r>
    </w:p>
    <w:tbl>
      <w:tblPr>
        <w:tblW w:type="auto" w:w="0"/>
        <w:jc w:val="center"/>
        <w:tblLook w:firstColumn="1" w:firstRow="1" w:lastColumn="0" w:lastRow="0" w:noHBand="0" w:noVBand="1" w:val="04A0"/>
      </w:tblPr>
      <w:tblGrid>
        <w:gridCol w:w="10080"/>
      </w:tblGrid>
      <w:tr>
        <w:tc>
          <w:tcPr>
            <w:tcW w:type="dxa" w:w="10080"/>
            <w:shd w:fill="ECFEFF"/>
          </w:tcPr>
          <w:p>
            <w:r/>
            <w:r>
              <w:rPr>
                <w:b/>
                <w:color w:val="0E7490"/>
                <w:sz w:val="22"/>
              </w:rPr>
              <w:t>Final positioning</w:t>
            </w:r>
          </w:p>
          <w:p>
            <w:pPr>
              <w:spacing w:before="80"/>
            </w:pPr>
            <w:r>
              <w:rPr>
                <w:color w:val="1F2937"/>
                <w:sz w:val="20"/>
              </w:rPr>
              <w:t>WebDataOS turns the live public web into fresh, structured, evidence-backed intelligence for enterprise AI agents. For the hackathon, we demonstrate it through a Security and Compliance agent that monitors third-party risk and regulatory signals using Bright Data infrastructure. The same runtime can power GTM competitor intelligence and Finance/market intelligence because the hard problem is shared: agents need current, reliable, recoverable web evidence.</w:t>
            </w:r>
          </w:p>
        </w:tc>
      </w:tr>
    </w:tbl>
    <w:p>
      <w:pPr>
        <w:pStyle w:val="Heading1"/>
      </w:pPr>
      <w:r>
        <w:t>12. References</w:t>
      </w:r>
    </w:p>
    <w:p>
      <w:pPr>
        <w:ind w:left="288" w:hanging="288"/>
      </w:pPr>
      <w:r>
        <w:rPr>
          <w:sz w:val="17"/>
        </w:rPr>
        <w:t>[1] Singh, A. et al. (2025). Agentic Retrieval-Augmented Generation: A Survey on Agentic RAG. arXiv. https://arxiv.org/abs/2501.09136</w:t>
      </w:r>
    </w:p>
    <w:p>
      <w:pPr>
        <w:ind w:left="288" w:hanging="288"/>
      </w:pPr>
      <w:r>
        <w:rPr>
          <w:sz w:val="17"/>
        </w:rPr>
        <w:t>[2] A Survey on Reasoning Agentic Retrieval-Augmented Generation (2025). arXiv. https://arxiv.org/html/2506.10408v1</w:t>
      </w:r>
    </w:p>
    <w:p>
      <w:pPr>
        <w:ind w:left="288" w:hanging="288"/>
      </w:pPr>
      <w:r>
        <w:rPr>
          <w:sz w:val="17"/>
        </w:rPr>
        <w:t>[3] Mitigating third-party cyber risk using AI-powered threat intelligence and compliance analytics. ResearchGate / WJARR. https://www.researchgate.net/publication/392235382_Mitigating_third-party_cyber_risk_using_AI-powered_threat_intelligence_and_compliance_analytics</w:t>
      </w:r>
    </w:p>
    <w:p>
      <w:pPr>
        <w:ind w:left="288" w:hanging="288"/>
      </w:pPr>
      <w:r>
        <w:rPr>
          <w:sz w:val="17"/>
        </w:rPr>
        <w:t>[4] Future Market Insights. Third-Party Risk Management Market Size and Share Forecast Outlook 2025 to 2035. https://www.futuremarketinsights.com/reports/third-party-risk-management-market</w:t>
      </w:r>
    </w:p>
    <w:p>
      <w:pPr>
        <w:ind w:left="288" w:hanging="288"/>
      </w:pPr>
      <w:r>
        <w:rPr>
          <w:sz w:val="17"/>
        </w:rPr>
        <w:t>[5] SNS Insider. Third-Party Risk Management Market Report Scope and Overview. https://www.snsinsider.com/reports/third-party-risk-management-market-6652</w:t>
      </w:r>
    </w:p>
    <w:p>
      <w:pPr>
        <w:ind w:left="288" w:hanging="288"/>
      </w:pPr>
      <w:r>
        <w:rPr>
          <w:sz w:val="17"/>
        </w:rPr>
        <w:t>[6] MarketsandMarkets. Enterprise Risk Management Market. https://www.marketsandmarkets.com/Market-Reports/enterprise-risk-management-market-113046879.html</w:t>
      </w:r>
    </w:p>
    <w:p>
      <w:pPr>
        <w:ind w:left="288" w:hanging="288"/>
      </w:pPr>
      <w:r>
        <w:rPr>
          <w:sz w:val="17"/>
        </w:rPr>
        <w:t>[7] Sun, Y. (2024). Alternative data in finance and business: emerging theory and applications. Financial Innovation. https://link.springer.com/article/10.1186/s40854-024-00652-0</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WebDataOS New Direction Strategy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85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