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WebDataOS Enterprise Direction</w:t>
      </w:r>
    </w:p>
    <w:p>
      <w:pPr>
        <w:jc w:val="center"/>
      </w:pPr>
      <w:r>
        <w:rPr>
          <w:color w:val="475569"/>
          <w:sz w:val="22"/>
        </w:rPr>
        <w:t>Product strategy, packaging, enterprise value, and post-hackathon roadmap</w:t>
      </w:r>
    </w:p>
    <w:p/>
    <w:tbl>
      <w:tblPr>
        <w:tblW w:type="auto" w:w="0"/>
        <w:jc w:val="center"/>
        <w:tblLook w:firstColumn="1" w:firstRow="1" w:lastColumn="0" w:lastRow="0" w:noHBand="0" w:noVBand="1" w:val="04A0"/>
      </w:tblPr>
      <w:tblGrid>
        <w:gridCol w:w="10368"/>
      </w:tblGrid>
      <w:tr>
        <w:tc>
          <w:tcPr>
            <w:tcW w:type="dxa" w:w="10368"/>
            <w:shd w:fill="ECFEFF"/>
          </w:tcPr>
          <w:p>
            <w:r/>
            <w:r>
              <w:rPr>
                <w:b/>
                <w:color w:val="0E7490"/>
                <w:sz w:val="20"/>
              </w:rPr>
              <w:t>Strategic stand</w:t>
            </w:r>
          </w:p>
          <w:p>
            <w:pPr>
              <w:spacing w:after="0"/>
            </w:pPr>
            <w:r>
              <w:rPr>
                <w:color w:val="0F172A"/>
                <w:sz w:val="18"/>
              </w:rPr>
              <w:t>WebDataOS is not a demo chatbot. It is a live-web intelligence runtime for enterprise AI agents. Users choose the intelligence package they need, and the platform handles freshness checks, Bright Data-powered retrieval, recovery, evidence capture, structured extraction, and reusable intelligence records.</w:t>
            </w:r>
          </w:p>
        </w:tc>
      </w:tr>
    </w:tbl>
    <w:p/>
    <w:p>
      <w:pPr>
        <w:pStyle w:val="Heading1"/>
      </w:pPr>
      <w:r>
        <w:t>1. Why the direction changed</w:t>
      </w:r>
    </w:p>
    <w:p>
      <w:r>
        <w:t>The hackathon allows one submission to span multiple tracks. That gives WebDataOS a stronger position: it can be presented as a multi-track enterprise intelligence platform rather than a narrow single-use demo. The product should still demonstrate one clear workflow, but its commercial direction should support Security &amp; Compliance, GTM Intelligence, and Finance &amp; Market Intelligence from the same core runtime.</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0F172A"/>
            <w:vAlign w:val="top"/>
          </w:tcPr>
          <w:p>
            <w:pPr>
              <w:spacing w:after="0"/>
            </w:pPr>
            <w:r/>
            <w:r>
              <w:rPr>
                <w:b/>
                <w:color w:val="FFFFFF"/>
                <w:sz w:val="17"/>
              </w:rPr>
              <w:t>Old framing</w:t>
            </w:r>
          </w:p>
        </w:tc>
        <w:tc>
          <w:tcPr>
            <w:tcW w:type="dxa" w:w="3456"/>
            <w:shd w:fill="0F172A"/>
            <w:vAlign w:val="top"/>
          </w:tcPr>
          <w:p>
            <w:pPr>
              <w:spacing w:after="0"/>
            </w:pPr>
            <w:r/>
            <w:r>
              <w:rPr>
                <w:b/>
                <w:color w:val="FFFFFF"/>
                <w:sz w:val="17"/>
              </w:rPr>
              <w:t>New enterprise framing</w:t>
            </w:r>
          </w:p>
        </w:tc>
        <w:tc>
          <w:tcPr>
            <w:tcW w:type="dxa" w:w="3600"/>
            <w:shd w:fill="0F172A"/>
            <w:vAlign w:val="top"/>
          </w:tcPr>
          <w:p>
            <w:pPr>
              <w:spacing w:after="0"/>
            </w:pPr>
            <w:r/>
            <w:r>
              <w:rPr>
                <w:b/>
                <w:color w:val="FFFFFF"/>
                <w:sz w:val="17"/>
              </w:rPr>
              <w:t>Why this matters</w:t>
            </w:r>
          </w:p>
        </w:tc>
      </w:tr>
      <w:tr>
        <w:tc>
          <w:tcPr>
            <w:tcW w:type="dxa" w:w="2592"/>
            <w:vAlign w:val="top"/>
          </w:tcPr>
          <w:p>
            <w:pPr>
              <w:spacing w:after="0"/>
            </w:pPr>
            <w:r/>
            <w:r>
              <w:rPr>
                <w:b w:val="0"/>
                <w:sz w:val="17"/>
              </w:rPr>
              <w:t>A live-web AI research demo</w:t>
            </w:r>
          </w:p>
        </w:tc>
        <w:tc>
          <w:tcPr>
            <w:tcW w:type="dxa" w:w="3456"/>
            <w:vAlign w:val="top"/>
          </w:tcPr>
          <w:p>
            <w:pPr>
              <w:spacing w:after="0"/>
            </w:pPr>
            <w:r/>
            <w:r>
              <w:rPr>
                <w:b w:val="0"/>
                <w:sz w:val="17"/>
              </w:rPr>
              <w:t>A live-web intelligence runtime for enterprise agents</w:t>
            </w:r>
          </w:p>
        </w:tc>
        <w:tc>
          <w:tcPr>
            <w:tcW w:type="dxa" w:w="3600"/>
            <w:vAlign w:val="top"/>
          </w:tcPr>
          <w:p>
            <w:pPr>
              <w:spacing w:after="0"/>
            </w:pPr>
            <w:r/>
            <w:r>
              <w:rPr>
                <w:b w:val="0"/>
                <w:sz w:val="17"/>
              </w:rPr>
              <w:t>Shows a platform that can be adopted after the hackathon.</w:t>
            </w:r>
          </w:p>
        </w:tc>
      </w:tr>
      <w:tr>
        <w:tc>
          <w:tcPr>
            <w:tcW w:type="dxa" w:w="2592"/>
            <w:shd w:fill="F8FAFC"/>
            <w:vAlign w:val="top"/>
          </w:tcPr>
          <w:p>
            <w:pPr>
              <w:spacing w:after="0"/>
            </w:pPr>
            <w:r/>
            <w:r>
              <w:rPr>
                <w:b w:val="0"/>
                <w:sz w:val="17"/>
              </w:rPr>
              <w:t>One track only</w:t>
            </w:r>
          </w:p>
        </w:tc>
        <w:tc>
          <w:tcPr>
            <w:tcW w:type="dxa" w:w="3456"/>
            <w:shd w:fill="F8FAFC"/>
            <w:vAlign w:val="top"/>
          </w:tcPr>
          <w:p>
            <w:pPr>
              <w:spacing w:after="0"/>
            </w:pPr>
            <w:r/>
            <w:r>
              <w:rPr>
                <w:b w:val="0"/>
                <w:sz w:val="17"/>
              </w:rPr>
              <w:t>Multi-track intelligence packs</w:t>
            </w:r>
          </w:p>
        </w:tc>
        <w:tc>
          <w:tcPr>
            <w:tcW w:type="dxa" w:w="3600"/>
            <w:shd w:fill="F8FAFC"/>
            <w:vAlign w:val="top"/>
          </w:tcPr>
          <w:p>
            <w:pPr>
              <w:spacing w:after="0"/>
            </w:pPr>
            <w:r/>
            <w:r>
              <w:rPr>
                <w:b w:val="0"/>
                <w:sz w:val="17"/>
              </w:rPr>
              <w:t>Matches the hackathon rule and creates commercial packaging.</w:t>
            </w:r>
          </w:p>
        </w:tc>
      </w:tr>
      <w:tr>
        <w:tc>
          <w:tcPr>
            <w:tcW w:type="dxa" w:w="2592"/>
            <w:vAlign w:val="top"/>
          </w:tcPr>
          <w:p>
            <w:pPr>
              <w:spacing w:after="0"/>
            </w:pPr>
            <w:r/>
            <w:r>
              <w:rPr>
                <w:b w:val="0"/>
                <w:sz w:val="17"/>
              </w:rPr>
              <w:t>Mock UI as proof</w:t>
            </w:r>
          </w:p>
        </w:tc>
        <w:tc>
          <w:tcPr>
            <w:tcW w:type="dxa" w:w="3456"/>
            <w:vAlign w:val="top"/>
          </w:tcPr>
          <w:p>
            <w:pPr>
              <w:spacing w:after="0"/>
            </w:pPr>
            <w:r/>
            <w:r>
              <w:rPr>
                <w:b w:val="0"/>
                <w:sz w:val="17"/>
              </w:rPr>
              <w:t>Mock-live UI with replaceable backend contracts</w:t>
            </w:r>
          </w:p>
        </w:tc>
        <w:tc>
          <w:tcPr>
            <w:tcW w:type="dxa" w:w="3600"/>
            <w:vAlign w:val="top"/>
          </w:tcPr>
          <w:p>
            <w:pPr>
              <w:spacing w:after="0"/>
            </w:pPr>
            <w:r/>
            <w:r>
              <w:rPr>
                <w:b w:val="0"/>
                <w:sz w:val="17"/>
              </w:rPr>
              <w:t>Makes the demo clearly wireable into a production system.</w:t>
            </w:r>
          </w:p>
        </w:tc>
      </w:tr>
      <w:tr>
        <w:tc>
          <w:tcPr>
            <w:tcW w:type="dxa" w:w="2592"/>
            <w:shd w:fill="F8FAFC"/>
            <w:vAlign w:val="top"/>
          </w:tcPr>
          <w:p>
            <w:pPr>
              <w:spacing w:after="0"/>
            </w:pPr>
            <w:r/>
            <w:r>
              <w:rPr>
                <w:b w:val="0"/>
                <w:sz w:val="17"/>
              </w:rPr>
              <w:t>Generic scraping workflow</w:t>
            </w:r>
          </w:p>
        </w:tc>
        <w:tc>
          <w:tcPr>
            <w:tcW w:type="dxa" w:w="3456"/>
            <w:shd w:fill="F8FAFC"/>
            <w:vAlign w:val="top"/>
          </w:tcPr>
          <w:p>
            <w:pPr>
              <w:spacing w:after="0"/>
            </w:pPr>
            <w:r/>
            <w:r>
              <w:rPr>
                <w:b w:val="0"/>
                <w:sz w:val="17"/>
              </w:rPr>
              <w:t>Freshness, recovery, evidence, structured records, and agent-ready JSON</w:t>
            </w:r>
          </w:p>
        </w:tc>
        <w:tc>
          <w:tcPr>
            <w:tcW w:type="dxa" w:w="3600"/>
            <w:shd w:fill="F8FAFC"/>
            <w:vAlign w:val="top"/>
          </w:tcPr>
          <w:p>
            <w:pPr>
              <w:spacing w:after="0"/>
            </w:pPr>
            <w:r/>
            <w:r>
              <w:rPr>
                <w:b w:val="0"/>
                <w:sz w:val="17"/>
              </w:rPr>
              <w:t>Shows why Bright Data is central to the product, not incidental.</w:t>
            </w:r>
          </w:p>
        </w:tc>
      </w:tr>
    </w:tbl>
    <w:p/>
    <w:p>
      <w:pPr>
        <w:pStyle w:val="Heading1"/>
      </w:pPr>
      <w:r>
        <w:t>2. Product thesis</w:t>
      </w:r>
    </w:p>
    <w:p>
      <w:r>
        <w:t>Enterprise teams increasingly want AI agents to operate on current external information. The barrier is that live web data is often stale, blocked, dynamic, fragmented, or unstructured. WebDataOS solves the common layer behind all three hackathon tracks: it converts public web signals into fresh, structured, evidence-backed intelligence that agents can safely use.</w:t>
      </w:r>
    </w:p>
    <w:p>
      <w:pPr>
        <w:pStyle w:val="ListBullet"/>
      </w:pPr>
      <w:r>
        <w:t>Core runtime: Agent Workspace, Intelligence Engine, Bright Data Gateway, and Evidence Store.</w:t>
      </w:r>
    </w:p>
    <w:p>
      <w:pPr>
        <w:pStyle w:val="ListBullet"/>
      </w:pPr>
      <w:r>
        <w:t>Primary demo: Security &amp; Compliance or enterprise risk intelligence, because it is high-stakes and shows serious business value.</w:t>
      </w:r>
    </w:p>
    <w:p>
      <w:pPr>
        <w:pStyle w:val="ListBullet"/>
      </w:pPr>
      <w:r>
        <w:t>Expansion paths: GTM Intelligence and Finance &amp; Market Intelligence, using the same runtime with different source policies, schemas, signals, and outputs.</w:t>
      </w:r>
    </w:p>
    <w:p>
      <w:pPr>
        <w:pStyle w:val="ListBullet"/>
      </w:pPr>
      <w:r>
        <w:t>Commercial route: sell focused intelligence packages first, then upgrade larger teams to the combined Enterprise Intelligence OS package.</w:t>
      </w:r>
    </w:p>
    <w:p>
      <w:pPr>
        <w:pStyle w:val="Heading1"/>
      </w:pPr>
      <w:r>
        <w:t>3. Intelligence packages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16"/>
            <w:shd w:fill="0F172A"/>
            <w:vAlign w:val="top"/>
          </w:tcPr>
          <w:p>
            <w:pPr>
              <w:spacing w:after="0"/>
            </w:pPr>
            <w:r/>
            <w:r>
              <w:rPr>
                <w:b/>
                <w:color w:val="FFFFFF"/>
                <w:sz w:val="17"/>
              </w:rPr>
              <w:t>Package</w:t>
            </w:r>
          </w:p>
        </w:tc>
        <w:tc>
          <w:tcPr>
            <w:tcW w:type="dxa" w:w="2304"/>
            <w:shd w:fill="0F172A"/>
            <w:vAlign w:val="top"/>
          </w:tcPr>
          <w:p>
            <w:pPr>
              <w:spacing w:after="0"/>
            </w:pPr>
            <w:r/>
            <w:r>
              <w:rPr>
                <w:b/>
                <w:color w:val="FFFFFF"/>
                <w:sz w:val="17"/>
              </w:rPr>
              <w:t>Buyer / user</w:t>
            </w:r>
          </w:p>
        </w:tc>
        <w:tc>
          <w:tcPr>
            <w:tcW w:type="dxa" w:w="2880"/>
            <w:shd w:fill="0F172A"/>
            <w:vAlign w:val="top"/>
          </w:tcPr>
          <w:p>
            <w:pPr>
              <w:spacing w:after="0"/>
            </w:pPr>
            <w:r/>
            <w:r>
              <w:rPr>
                <w:b/>
                <w:color w:val="FFFFFF"/>
                <w:sz w:val="17"/>
              </w:rPr>
              <w:t>Signals monitored</w:t>
            </w:r>
          </w:p>
        </w:tc>
        <w:tc>
          <w:tcPr>
            <w:tcW w:type="dxa" w:w="2304"/>
            <w:shd w:fill="0F172A"/>
            <w:vAlign w:val="top"/>
          </w:tcPr>
          <w:p>
            <w:pPr>
              <w:spacing w:after="0"/>
            </w:pPr>
            <w:r/>
            <w:r>
              <w:rPr>
                <w:b/>
                <w:color w:val="FFFFFF"/>
                <w:sz w:val="17"/>
              </w:rPr>
              <w:t>Output</w:t>
            </w:r>
          </w:p>
        </w:tc>
        <w:tc>
          <w:tcPr>
            <w:tcW w:type="dxa" w:w="2880"/>
            <w:shd w:fill="0F172A"/>
            <w:vAlign w:val="top"/>
          </w:tcPr>
          <w:p>
            <w:pPr>
              <w:spacing w:after="0"/>
            </w:pPr>
            <w:r/>
            <w:r>
              <w:rPr>
                <w:b/>
                <w:color w:val="FFFFFF"/>
                <w:sz w:val="17"/>
              </w:rPr>
              <w:t>Why it is commercially useful</w:t>
            </w:r>
          </w:p>
        </w:tc>
      </w:tr>
      <w:tr>
        <w:tc>
          <w:tcPr>
            <w:tcW w:type="dxa" w:w="2016"/>
            <w:vAlign w:val="top"/>
          </w:tcPr>
          <w:p>
            <w:pPr>
              <w:spacing w:after="0"/>
            </w:pPr>
            <w:r/>
            <w:r>
              <w:rPr>
                <w:b w:val="0"/>
                <w:sz w:val="17"/>
              </w:rPr>
              <w:t>Security &amp; Compliance</w:t>
            </w:r>
          </w:p>
        </w:tc>
        <w:tc>
          <w:tcPr>
            <w:tcW w:type="dxa" w:w="2304"/>
            <w:vAlign w:val="top"/>
          </w:tcPr>
          <w:p>
            <w:pPr>
              <w:spacing w:after="0"/>
            </w:pPr>
            <w:r/>
            <w:r>
              <w:rPr>
                <w:b w:val="0"/>
                <w:sz w:val="17"/>
              </w:rPr>
              <w:t>GRC, vendor risk, security, compliance, procurement risk</w:t>
            </w:r>
          </w:p>
        </w:tc>
        <w:tc>
          <w:tcPr>
            <w:tcW w:type="dxa" w:w="2880"/>
            <w:vAlign w:val="top"/>
          </w:tcPr>
          <w:p>
            <w:pPr>
              <w:spacing w:after="0"/>
            </w:pPr>
            <w:r/>
            <w:r>
              <w:rPr>
                <w:b w:val="0"/>
                <w:sz w:val="17"/>
              </w:rPr>
              <w:t>Vendor exposure, regulatory changes, breach mentions, policy pages, leadership changes, public risk signals</w:t>
            </w:r>
          </w:p>
        </w:tc>
        <w:tc>
          <w:tcPr>
            <w:tcW w:type="dxa" w:w="2304"/>
            <w:vAlign w:val="top"/>
          </w:tcPr>
          <w:p>
            <w:pPr>
              <w:spacing w:after="0"/>
            </w:pPr>
            <w:r/>
            <w:r>
              <w:rPr>
                <w:b w:val="0"/>
                <w:sz w:val="17"/>
              </w:rPr>
              <w:t>Risk brief, evidence pack, severity, recommended action</w:t>
            </w:r>
          </w:p>
        </w:tc>
        <w:tc>
          <w:tcPr>
            <w:tcW w:type="dxa" w:w="2880"/>
            <w:vAlign w:val="top"/>
          </w:tcPr>
          <w:p>
            <w:pPr>
              <w:spacing w:after="0"/>
            </w:pPr>
            <w:r/>
            <w:r>
              <w:rPr>
                <w:b w:val="0"/>
                <w:sz w:val="17"/>
              </w:rPr>
              <w:t>High-stakes workflow tied to audit, legal exposure, third-party risk, and board visibility.</w:t>
            </w:r>
          </w:p>
        </w:tc>
      </w:tr>
      <w:tr>
        <w:tc>
          <w:tcPr>
            <w:tcW w:type="dxa" w:w="2016"/>
            <w:shd w:fill="F8FAFC"/>
            <w:vAlign w:val="top"/>
          </w:tcPr>
          <w:p>
            <w:pPr>
              <w:spacing w:after="0"/>
            </w:pPr>
            <w:r/>
            <w:r>
              <w:rPr>
                <w:b w:val="0"/>
                <w:sz w:val="17"/>
              </w:rPr>
              <w:t>GTM Intelligence</w:t>
            </w:r>
          </w:p>
        </w:tc>
        <w:tc>
          <w:tcPr>
            <w:tcW w:type="dxa" w:w="2304"/>
            <w:shd w:fill="F8FAFC"/>
            <w:vAlign w:val="top"/>
          </w:tcPr>
          <w:p>
            <w:pPr>
              <w:spacing w:after="0"/>
            </w:pPr>
            <w:r/>
            <w:r>
              <w:rPr>
                <w:b w:val="0"/>
                <w:sz w:val="17"/>
              </w:rPr>
              <w:t>Sales, marketing, product marketing, RevOps, strategy</w:t>
            </w:r>
          </w:p>
        </w:tc>
        <w:tc>
          <w:tcPr>
            <w:tcW w:type="dxa" w:w="2880"/>
            <w:shd w:fill="F8FAFC"/>
            <w:vAlign w:val="top"/>
          </w:tcPr>
          <w:p>
            <w:pPr>
              <w:spacing w:after="0"/>
            </w:pPr>
            <w:r/>
            <w:r>
              <w:rPr>
                <w:b w:val="0"/>
                <w:sz w:val="17"/>
              </w:rPr>
              <w:t>Competitor pricing, messaging, hiring, launches, account enrichment, buying intent, social signals</w:t>
            </w:r>
          </w:p>
        </w:tc>
        <w:tc>
          <w:tcPr>
            <w:tcW w:type="dxa" w:w="2304"/>
            <w:shd w:fill="F8FAFC"/>
            <w:vAlign w:val="top"/>
          </w:tcPr>
          <w:p>
            <w:pPr>
              <w:spacing w:after="0"/>
            </w:pPr>
            <w:r/>
            <w:r>
              <w:rPr>
                <w:b w:val="0"/>
                <w:sz w:val="17"/>
              </w:rPr>
              <w:t>Market brief, competitor change log, account insights</w:t>
            </w:r>
          </w:p>
        </w:tc>
        <w:tc>
          <w:tcPr>
            <w:tcW w:type="dxa" w:w="2880"/>
            <w:shd w:fill="F8FAFC"/>
            <w:vAlign w:val="top"/>
          </w:tcPr>
          <w:p>
            <w:pPr>
              <w:spacing w:after="0"/>
            </w:pPr>
            <w:r/>
            <w:r>
              <w:rPr>
                <w:b w:val="0"/>
                <w:sz w:val="17"/>
              </w:rPr>
              <w:t>Revenue-facing teams already pay for market and account intelligence.</w:t>
            </w:r>
          </w:p>
        </w:tc>
      </w:tr>
      <w:tr>
        <w:tc>
          <w:tcPr>
            <w:tcW w:type="dxa" w:w="2016"/>
            <w:vAlign w:val="top"/>
          </w:tcPr>
          <w:p>
            <w:pPr>
              <w:spacing w:after="0"/>
            </w:pPr>
            <w:r/>
            <w:r>
              <w:rPr>
                <w:b w:val="0"/>
                <w:sz w:val="17"/>
              </w:rPr>
              <w:t>Finance &amp; Market</w:t>
            </w:r>
          </w:p>
        </w:tc>
        <w:tc>
          <w:tcPr>
            <w:tcW w:type="dxa" w:w="2304"/>
            <w:vAlign w:val="top"/>
          </w:tcPr>
          <w:p>
            <w:pPr>
              <w:spacing w:after="0"/>
            </w:pPr>
            <w:r/>
            <w:r>
              <w:rPr>
                <w:b w:val="0"/>
                <w:sz w:val="17"/>
              </w:rPr>
              <w:t>Finance, strategy, procurement, analysts, market intelligence teams</w:t>
            </w:r>
          </w:p>
        </w:tc>
        <w:tc>
          <w:tcPr>
            <w:tcW w:type="dxa" w:w="2880"/>
            <w:vAlign w:val="top"/>
          </w:tcPr>
          <w:p>
            <w:pPr>
              <w:spacing w:after="0"/>
            </w:pPr>
            <w:r/>
            <w:r>
              <w:rPr>
                <w:b w:val="0"/>
                <w:sz w:val="17"/>
              </w:rPr>
              <w:t>Filings, supplier signals, pricing movements, sector changes, job postings, alternative data</w:t>
            </w:r>
          </w:p>
        </w:tc>
        <w:tc>
          <w:tcPr>
            <w:tcW w:type="dxa" w:w="2304"/>
            <w:vAlign w:val="top"/>
          </w:tcPr>
          <w:p>
            <w:pPr>
              <w:spacing w:after="0"/>
            </w:pPr>
            <w:r/>
            <w:r>
              <w:rPr>
                <w:b w:val="0"/>
                <w:sz w:val="17"/>
              </w:rPr>
              <w:t>Company/sector intelligence object, pricing alert, supplier signal brief</w:t>
            </w:r>
          </w:p>
        </w:tc>
        <w:tc>
          <w:tcPr>
            <w:tcW w:type="dxa" w:w="2880"/>
            <w:vAlign w:val="top"/>
          </w:tcPr>
          <w:p>
            <w:pPr>
              <w:spacing w:after="0"/>
            </w:pPr>
            <w:r/>
            <w:r>
              <w:rPr>
                <w:b w:val="0"/>
                <w:sz w:val="17"/>
              </w:rPr>
              <w:t>Helps teams make faster decisions from scattered external signals.</w:t>
            </w:r>
          </w:p>
        </w:tc>
      </w:tr>
      <w:tr>
        <w:tc>
          <w:tcPr>
            <w:tcW w:type="dxa" w:w="2016"/>
            <w:shd w:fill="F8FAFC"/>
            <w:vAlign w:val="top"/>
          </w:tcPr>
          <w:p>
            <w:pPr>
              <w:spacing w:after="0"/>
            </w:pPr>
            <w:r/>
            <w:r>
              <w:rPr>
                <w:b w:val="0"/>
                <w:sz w:val="17"/>
              </w:rPr>
              <w:t>Enterprise Intelligence OS</w:t>
            </w:r>
          </w:p>
        </w:tc>
        <w:tc>
          <w:tcPr>
            <w:tcW w:type="dxa" w:w="2304"/>
            <w:shd w:fill="F8FAFC"/>
            <w:vAlign w:val="top"/>
          </w:tcPr>
          <w:p>
            <w:pPr>
              <w:spacing w:after="0"/>
            </w:pPr>
            <w:r/>
            <w:r>
              <w:rPr>
                <w:b w:val="0"/>
                <w:sz w:val="17"/>
              </w:rPr>
              <w:t>Enterprise teams with cross-functional intelligence needs</w:t>
            </w:r>
          </w:p>
        </w:tc>
        <w:tc>
          <w:tcPr>
            <w:tcW w:type="dxa" w:w="2880"/>
            <w:shd w:fill="F8FAFC"/>
            <w:vAlign w:val="top"/>
          </w:tcPr>
          <w:p>
            <w:pPr>
              <w:spacing w:after="0"/>
            </w:pPr>
            <w:r/>
            <w:r>
              <w:rPr>
                <w:b w:val="0"/>
                <w:sz w:val="17"/>
              </w:rPr>
              <w:t>All Security, GTM, and Finance signals in one workspace</w:t>
            </w:r>
          </w:p>
        </w:tc>
        <w:tc>
          <w:tcPr>
            <w:tcW w:type="dxa" w:w="2304"/>
            <w:shd w:fill="F8FAFC"/>
            <w:vAlign w:val="top"/>
          </w:tcPr>
          <w:p>
            <w:pPr>
              <w:spacing w:after="0"/>
            </w:pPr>
            <w:r/>
            <w:r>
              <w:rPr>
                <w:b w:val="0"/>
                <w:sz w:val="17"/>
              </w:rPr>
              <w:t>Executive brief, shared evidence graph, cross-track alerts, API feed</w:t>
            </w:r>
          </w:p>
        </w:tc>
        <w:tc>
          <w:tcPr>
            <w:tcW w:type="dxa" w:w="2880"/>
            <w:shd w:fill="F8FAFC"/>
            <w:vAlign w:val="top"/>
          </w:tcPr>
          <w:p>
            <w:pPr>
              <w:spacing w:after="0"/>
            </w:pPr>
            <w:r/>
            <w:r>
              <w:rPr>
                <w:b w:val="0"/>
                <w:sz w:val="17"/>
              </w:rPr>
              <w:t>Highest-tier package for enterprises that need one intelligence layer across risk, revenue, and market functions.</w:t>
            </w:r>
          </w:p>
        </w:tc>
      </w:tr>
    </w:tbl>
    <w:p/>
    <w:p>
      <w:pPr>
        <w:pStyle w:val="Heading1"/>
      </w:pPr>
      <w:r>
        <w:t>4. User journey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936"/>
            <w:shd w:fill="0F172A"/>
            <w:vAlign w:val="top"/>
          </w:tcPr>
          <w:p>
            <w:pPr>
              <w:spacing w:after="0"/>
            </w:pPr>
            <w:r/>
            <w:r>
              <w:rPr>
                <w:b/>
                <w:color w:val="FFFFFF"/>
                <w:sz w:val="17"/>
              </w:rPr>
              <w:t>Step</w:t>
            </w:r>
          </w:p>
        </w:tc>
        <w:tc>
          <w:tcPr>
            <w:tcW w:type="dxa" w:w="2592"/>
            <w:shd w:fill="0F172A"/>
            <w:vAlign w:val="top"/>
          </w:tcPr>
          <w:p>
            <w:pPr>
              <w:spacing w:after="0"/>
            </w:pPr>
            <w:r/>
            <w:r>
              <w:rPr>
                <w:b/>
                <w:color w:val="FFFFFF"/>
                <w:sz w:val="17"/>
              </w:rPr>
              <w:t>User action</w:t>
            </w:r>
          </w:p>
        </w:tc>
        <w:tc>
          <w:tcPr>
            <w:tcW w:type="dxa" w:w="3312"/>
            <w:shd w:fill="0F172A"/>
            <w:vAlign w:val="top"/>
          </w:tcPr>
          <w:p>
            <w:pPr>
              <w:spacing w:after="0"/>
            </w:pPr>
            <w:r/>
            <w:r>
              <w:rPr>
                <w:b/>
                <w:color w:val="FFFFFF"/>
                <w:sz w:val="17"/>
              </w:rPr>
              <w:t>System action</w:t>
            </w:r>
          </w:p>
        </w:tc>
        <w:tc>
          <w:tcPr>
            <w:tcW w:type="dxa" w:w="3168"/>
            <w:shd w:fill="0F172A"/>
            <w:vAlign w:val="top"/>
          </w:tcPr>
          <w:p>
            <w:pPr>
              <w:spacing w:after="0"/>
            </w:pPr>
            <w:r/>
            <w:r>
              <w:rPr>
                <w:b/>
                <w:color w:val="FFFFFF"/>
                <w:sz w:val="17"/>
              </w:rPr>
              <w:t>Implementation implication</w:t>
            </w:r>
          </w:p>
        </w:tc>
      </w:tr>
      <w:tr>
        <w:tc>
          <w:tcPr>
            <w:tcW w:type="dxa" w:w="936"/>
            <w:vAlign w:val="top"/>
          </w:tcPr>
          <w:p>
            <w:pPr>
              <w:spacing w:after="0"/>
            </w:pPr>
            <w:r/>
            <w:r>
              <w:rPr>
                <w:b w:val="0"/>
                <w:sz w:val="17"/>
              </w:rPr>
              <w:t>1. Sign up</w:t>
            </w:r>
          </w:p>
        </w:tc>
        <w:tc>
          <w:tcPr>
            <w:tcW w:type="dxa" w:w="2592"/>
            <w:vAlign w:val="top"/>
          </w:tcPr>
          <w:p>
            <w:pPr>
              <w:spacing w:after="0"/>
            </w:pPr>
            <w:r/>
            <w:r>
              <w:rPr>
                <w:b w:val="0"/>
                <w:sz w:val="17"/>
              </w:rPr>
              <w:t>User creates workspace and organization profile.</w:t>
            </w:r>
          </w:p>
        </w:tc>
        <w:tc>
          <w:tcPr>
            <w:tcW w:type="dxa" w:w="3312"/>
            <w:vAlign w:val="top"/>
          </w:tcPr>
          <w:p>
            <w:pPr>
              <w:spacing w:after="0"/>
            </w:pPr>
            <w:r/>
            <w:r>
              <w:rPr>
                <w:b w:val="0"/>
                <w:sz w:val="17"/>
              </w:rPr>
              <w:t>Create tenant, default roles, billing plan, and API key.</w:t>
            </w:r>
          </w:p>
        </w:tc>
        <w:tc>
          <w:tcPr>
            <w:tcW w:type="dxa" w:w="3168"/>
            <w:vAlign w:val="top"/>
          </w:tcPr>
          <w:p>
            <w:pPr>
              <w:spacing w:after="0"/>
            </w:pPr>
            <w:r/>
            <w:r>
              <w:rPr>
                <w:b w:val="0"/>
                <w:sz w:val="17"/>
              </w:rPr>
              <w:t>Auth, tenancy, RBAC, billing metadata.</w:t>
            </w:r>
          </w:p>
        </w:tc>
      </w:tr>
      <w:tr>
        <w:tc>
          <w:tcPr>
            <w:tcW w:type="dxa" w:w="936"/>
            <w:shd w:fill="F8FAFC"/>
            <w:vAlign w:val="top"/>
          </w:tcPr>
          <w:p>
            <w:pPr>
              <w:spacing w:after="0"/>
            </w:pPr>
            <w:r/>
            <w:r>
              <w:rPr>
                <w:b w:val="0"/>
                <w:sz w:val="17"/>
              </w:rPr>
              <w:t>2. Choose package</w:t>
            </w:r>
          </w:p>
        </w:tc>
        <w:tc>
          <w:tcPr>
            <w:tcW w:type="dxa" w:w="2592"/>
            <w:shd w:fill="F8FAFC"/>
            <w:vAlign w:val="top"/>
          </w:tcPr>
          <w:p>
            <w:pPr>
              <w:spacing w:after="0"/>
            </w:pPr>
            <w:r/>
            <w:r>
              <w:rPr>
                <w:b w:val="0"/>
                <w:sz w:val="17"/>
              </w:rPr>
              <w:t>User selects Security, GTM, Finance, or combo pack.</w:t>
            </w:r>
          </w:p>
        </w:tc>
        <w:tc>
          <w:tcPr>
            <w:tcW w:type="dxa" w:w="3312"/>
            <w:shd w:fill="F8FAFC"/>
            <w:vAlign w:val="top"/>
          </w:tcPr>
          <w:p>
            <w:pPr>
              <w:spacing w:after="0"/>
            </w:pPr>
            <w:r/>
            <w:r>
              <w:rPr>
                <w:b w:val="0"/>
                <w:sz w:val="17"/>
              </w:rPr>
              <w:t>Activate package configuration: source templates, prompts, schemas, refresh policies, and outputs.</w:t>
            </w:r>
          </w:p>
        </w:tc>
        <w:tc>
          <w:tcPr>
            <w:tcW w:type="dxa" w:w="3168"/>
            <w:shd w:fill="F8FAFC"/>
            <w:vAlign w:val="top"/>
          </w:tcPr>
          <w:p>
            <w:pPr>
              <w:spacing w:after="0"/>
            </w:pPr>
            <w:r/>
            <w:r>
              <w:rPr>
                <w:b w:val="0"/>
                <w:sz w:val="17"/>
              </w:rPr>
              <w:t>Package registry and configuration engine.</w:t>
            </w:r>
          </w:p>
        </w:tc>
      </w:tr>
      <w:tr>
        <w:tc>
          <w:tcPr>
            <w:tcW w:type="dxa" w:w="936"/>
            <w:vAlign w:val="top"/>
          </w:tcPr>
          <w:p>
            <w:pPr>
              <w:spacing w:after="0"/>
            </w:pPr>
            <w:r/>
            <w:r>
              <w:rPr>
                <w:b w:val="0"/>
                <w:sz w:val="17"/>
              </w:rPr>
              <w:t>3. Add entities</w:t>
            </w:r>
          </w:p>
        </w:tc>
        <w:tc>
          <w:tcPr>
            <w:tcW w:type="dxa" w:w="2592"/>
            <w:vAlign w:val="top"/>
          </w:tcPr>
          <w:p>
            <w:pPr>
              <w:spacing w:after="0"/>
            </w:pPr>
            <w:r/>
            <w:r>
              <w:rPr>
                <w:b w:val="0"/>
                <w:sz w:val="17"/>
              </w:rPr>
              <w:t>User adds vendors, competitors, accounts, companies, products, sectors, or regulations.</w:t>
            </w:r>
          </w:p>
        </w:tc>
        <w:tc>
          <w:tcPr>
            <w:tcW w:type="dxa" w:w="3312"/>
            <w:vAlign w:val="top"/>
          </w:tcPr>
          <w:p>
            <w:pPr>
              <w:spacing w:after="0"/>
            </w:pPr>
            <w:r/>
            <w:r>
              <w:rPr>
                <w:b w:val="0"/>
                <w:sz w:val="17"/>
              </w:rPr>
              <w:t>Store monitored entities and map them to package-specific signal types.</w:t>
            </w:r>
          </w:p>
        </w:tc>
        <w:tc>
          <w:tcPr>
            <w:tcW w:type="dxa" w:w="3168"/>
            <w:vAlign w:val="top"/>
          </w:tcPr>
          <w:p>
            <w:pPr>
              <w:spacing w:after="0"/>
            </w:pPr>
            <w:r/>
            <w:r>
              <w:rPr>
                <w:b w:val="0"/>
                <w:sz w:val="17"/>
              </w:rPr>
              <w:t>Entity model, bulk upload, validation, dedupe.</w:t>
            </w:r>
          </w:p>
        </w:tc>
      </w:tr>
      <w:tr>
        <w:tc>
          <w:tcPr>
            <w:tcW w:type="dxa" w:w="936"/>
            <w:shd w:fill="F8FAFC"/>
            <w:vAlign w:val="top"/>
          </w:tcPr>
          <w:p>
            <w:pPr>
              <w:spacing w:after="0"/>
            </w:pPr>
            <w:r/>
            <w:r>
              <w:rPr>
                <w:b w:val="0"/>
                <w:sz w:val="17"/>
              </w:rPr>
              <w:t>4. Configure monitoring</w:t>
            </w:r>
          </w:p>
        </w:tc>
        <w:tc>
          <w:tcPr>
            <w:tcW w:type="dxa" w:w="2592"/>
            <w:shd w:fill="F8FAFC"/>
            <w:vAlign w:val="top"/>
          </w:tcPr>
          <w:p>
            <w:pPr>
              <w:spacing w:after="0"/>
            </w:pPr>
            <w:r/>
            <w:r>
              <w:rPr>
                <w:b w:val="0"/>
                <w:sz w:val="17"/>
              </w:rPr>
              <w:t>User selects signals, refresh cadence, and alert preferences.</w:t>
            </w:r>
          </w:p>
        </w:tc>
        <w:tc>
          <w:tcPr>
            <w:tcW w:type="dxa" w:w="3312"/>
            <w:shd w:fill="F8FAFC"/>
            <w:vAlign w:val="top"/>
          </w:tcPr>
          <w:p>
            <w:pPr>
              <w:spacing w:after="0"/>
            </w:pPr>
            <w:r/>
            <w:r>
              <w:rPr>
                <w:b w:val="0"/>
                <w:sz w:val="17"/>
              </w:rPr>
              <w:t>Create scheduled jobs and source routing policies.</w:t>
            </w:r>
          </w:p>
        </w:tc>
        <w:tc>
          <w:tcPr>
            <w:tcW w:type="dxa" w:w="3168"/>
            <w:shd w:fill="F8FAFC"/>
            <w:vAlign w:val="top"/>
          </w:tcPr>
          <w:p>
            <w:pPr>
              <w:spacing w:after="0"/>
            </w:pPr>
            <w:r/>
            <w:r>
              <w:rPr>
                <w:b w:val="0"/>
                <w:sz w:val="17"/>
              </w:rPr>
              <w:t>Scheduler, queue, source policy, notification service.</w:t>
            </w:r>
          </w:p>
        </w:tc>
      </w:tr>
      <w:tr>
        <w:tc>
          <w:tcPr>
            <w:tcW w:type="dxa" w:w="936"/>
            <w:vAlign w:val="top"/>
          </w:tcPr>
          <w:p>
            <w:pPr>
              <w:spacing w:after="0"/>
            </w:pPr>
            <w:r/>
            <w:r>
              <w:rPr>
                <w:b w:val="0"/>
                <w:sz w:val="17"/>
              </w:rPr>
              <w:t>5. Run agent</w:t>
            </w:r>
          </w:p>
        </w:tc>
        <w:tc>
          <w:tcPr>
            <w:tcW w:type="dxa" w:w="2592"/>
            <w:vAlign w:val="top"/>
          </w:tcPr>
          <w:p>
            <w:pPr>
              <w:spacing w:after="0"/>
            </w:pPr>
            <w:r/>
            <w:r>
              <w:rPr>
                <w:b w:val="0"/>
                <w:sz w:val="17"/>
              </w:rPr>
              <w:t>User asks a question or starts monitoring.</w:t>
            </w:r>
          </w:p>
        </w:tc>
        <w:tc>
          <w:tcPr>
            <w:tcW w:type="dxa" w:w="3312"/>
            <w:vAlign w:val="top"/>
          </w:tcPr>
          <w:p>
            <w:pPr>
              <w:spacing w:after="0"/>
            </w:pPr>
            <w:r/>
            <w:r>
              <w:rPr>
                <w:b w:val="0"/>
                <w:sz w:val="17"/>
              </w:rPr>
              <w:t>Check stored records, detect stale/missing context, call gateway, structure output.</w:t>
            </w:r>
          </w:p>
        </w:tc>
        <w:tc>
          <w:tcPr>
            <w:tcW w:type="dxa" w:w="3168"/>
            <w:vAlign w:val="top"/>
          </w:tcPr>
          <w:p>
            <w:pPr>
              <w:spacing w:after="0"/>
            </w:pPr>
            <w:r/>
            <w:r>
              <w:rPr>
                <w:b w:val="0"/>
                <w:sz w:val="17"/>
              </w:rPr>
              <w:t>Agent run service, retrieval service, gateway router.</w:t>
            </w:r>
          </w:p>
        </w:tc>
      </w:tr>
      <w:tr>
        <w:tc>
          <w:tcPr>
            <w:tcW w:type="dxa" w:w="936"/>
            <w:shd w:fill="F8FAFC"/>
            <w:vAlign w:val="top"/>
          </w:tcPr>
          <w:p>
            <w:pPr>
              <w:spacing w:after="0"/>
            </w:pPr>
            <w:r/>
            <w:r>
              <w:rPr>
                <w:b w:val="0"/>
                <w:sz w:val="17"/>
              </w:rPr>
              <w:t>6. Receive intelligence</w:t>
            </w:r>
          </w:p>
        </w:tc>
        <w:tc>
          <w:tcPr>
            <w:tcW w:type="dxa" w:w="2592"/>
            <w:shd w:fill="F8FAFC"/>
            <w:vAlign w:val="top"/>
          </w:tcPr>
          <w:p>
            <w:pPr>
              <w:spacing w:after="0"/>
            </w:pPr>
            <w:r/>
            <w:r>
              <w:rPr>
                <w:b w:val="0"/>
                <w:sz w:val="17"/>
              </w:rPr>
              <w:t>User gets brief, evidence, JSON, risk/market score, and recommended action.</w:t>
            </w:r>
          </w:p>
        </w:tc>
        <w:tc>
          <w:tcPr>
            <w:tcW w:type="dxa" w:w="3312"/>
            <w:shd w:fill="F8FAFC"/>
            <w:vAlign w:val="top"/>
          </w:tcPr>
          <w:p>
            <w:pPr>
              <w:spacing w:after="0"/>
            </w:pPr>
            <w:r/>
            <w:r>
              <w:rPr>
                <w:b w:val="0"/>
                <w:sz w:val="17"/>
              </w:rPr>
              <w:t>Persist intelligence record and expose export/API.</w:t>
            </w:r>
          </w:p>
        </w:tc>
        <w:tc>
          <w:tcPr>
            <w:tcW w:type="dxa" w:w="3168"/>
            <w:shd w:fill="F8FAFC"/>
            <w:vAlign w:val="top"/>
          </w:tcPr>
          <w:p>
            <w:pPr>
              <w:spacing w:after="0"/>
            </w:pPr>
            <w:r/>
            <w:r>
              <w:rPr>
                <w:b w:val="0"/>
                <w:sz w:val="17"/>
              </w:rPr>
              <w:t>Evidence store, UI inspector, export contracts.</w:t>
            </w:r>
          </w:p>
        </w:tc>
      </w:tr>
    </w:tbl>
    <w:p/>
    <w:p>
      <w:pPr>
        <w:pStyle w:val="Heading1"/>
      </w:pPr>
      <w:r>
        <w:t>5. Enterprise-grade capabilities required beyond the hackathon</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0F172A"/>
            <w:vAlign w:val="top"/>
          </w:tcPr>
          <w:p>
            <w:pPr>
              <w:spacing w:after="0"/>
            </w:pPr>
            <w:r/>
            <w:r>
              <w:rPr>
                <w:b/>
                <w:color w:val="FFFFFF"/>
                <w:sz w:val="17"/>
              </w:rPr>
              <w:t>Capability</w:t>
            </w:r>
          </w:p>
        </w:tc>
        <w:tc>
          <w:tcPr>
            <w:tcW w:type="dxa" w:w="4032"/>
            <w:shd w:fill="0F172A"/>
            <w:vAlign w:val="top"/>
          </w:tcPr>
          <w:p>
            <w:pPr>
              <w:spacing w:after="0"/>
            </w:pPr>
            <w:r/>
            <w:r>
              <w:rPr>
                <w:b/>
                <w:color w:val="FFFFFF"/>
                <w:sz w:val="17"/>
              </w:rPr>
              <w:t>What it means</w:t>
            </w:r>
          </w:p>
        </w:tc>
        <w:tc>
          <w:tcPr>
            <w:tcW w:type="dxa" w:w="3600"/>
            <w:shd w:fill="0F172A"/>
            <w:vAlign w:val="top"/>
          </w:tcPr>
          <w:p>
            <w:pPr>
              <w:spacing w:after="0"/>
            </w:pPr>
            <w:r/>
            <w:r>
              <w:rPr>
                <w:b/>
                <w:color w:val="FFFFFF"/>
                <w:sz w:val="17"/>
              </w:rPr>
              <w:t>Why enterprise buyers care</w:t>
            </w:r>
          </w:p>
        </w:tc>
      </w:tr>
      <w:tr>
        <w:tc>
          <w:tcPr>
            <w:tcW w:type="dxa" w:w="2160"/>
            <w:vAlign w:val="top"/>
          </w:tcPr>
          <w:p>
            <w:pPr>
              <w:spacing w:after="0"/>
            </w:pPr>
            <w:r/>
            <w:r>
              <w:rPr>
                <w:b w:val="0"/>
                <w:sz w:val="17"/>
              </w:rPr>
              <w:t>Multi-tenant workspace</w:t>
            </w:r>
          </w:p>
        </w:tc>
        <w:tc>
          <w:tcPr>
            <w:tcW w:type="dxa" w:w="4032"/>
            <w:vAlign w:val="top"/>
          </w:tcPr>
          <w:p>
            <w:pPr>
              <w:spacing w:after="0"/>
            </w:pPr>
            <w:r/>
            <w:r>
              <w:rPr>
                <w:b w:val="0"/>
                <w:sz w:val="17"/>
              </w:rPr>
              <w:t>Separate organizations, users, roles, packages, entities, and API keys.</w:t>
            </w:r>
          </w:p>
        </w:tc>
        <w:tc>
          <w:tcPr>
            <w:tcW w:type="dxa" w:w="3600"/>
            <w:vAlign w:val="top"/>
          </w:tcPr>
          <w:p>
            <w:pPr>
              <w:spacing w:after="0"/>
            </w:pPr>
            <w:r/>
            <w:r>
              <w:rPr>
                <w:b w:val="0"/>
                <w:sz w:val="17"/>
              </w:rPr>
              <w:t>Required for B2B SaaS adoption and secure customer isolation.</w:t>
            </w:r>
          </w:p>
        </w:tc>
      </w:tr>
      <w:tr>
        <w:tc>
          <w:tcPr>
            <w:tcW w:type="dxa" w:w="2160"/>
            <w:shd w:fill="F8FAFC"/>
            <w:vAlign w:val="top"/>
          </w:tcPr>
          <w:p>
            <w:pPr>
              <w:spacing w:after="0"/>
            </w:pPr>
            <w:r/>
            <w:r>
              <w:rPr>
                <w:b w:val="0"/>
                <w:sz w:val="17"/>
              </w:rPr>
              <w:t>Freshness engine</w:t>
            </w:r>
          </w:p>
        </w:tc>
        <w:tc>
          <w:tcPr>
            <w:tcW w:type="dxa" w:w="4032"/>
            <w:shd w:fill="F8FAFC"/>
            <w:vAlign w:val="top"/>
          </w:tcPr>
          <w:p>
            <w:pPr>
              <w:spacing w:after="0"/>
            </w:pPr>
            <w:r/>
            <w:r>
              <w:rPr>
                <w:b w:val="0"/>
                <w:sz w:val="17"/>
              </w:rPr>
              <w:t>Each record has last_checked_at, freshness policy, source confidence, and expiry rules.</w:t>
            </w:r>
          </w:p>
        </w:tc>
        <w:tc>
          <w:tcPr>
            <w:tcW w:type="dxa" w:w="3600"/>
            <w:shd w:fill="F8FAFC"/>
            <w:vAlign w:val="top"/>
          </w:tcPr>
          <w:p>
            <w:pPr>
              <w:spacing w:after="0"/>
            </w:pPr>
            <w:r/>
            <w:r>
              <w:rPr>
                <w:b w:val="0"/>
                <w:sz w:val="17"/>
              </w:rPr>
              <w:t>Prevents agents from using stale web intelligence.</w:t>
            </w:r>
          </w:p>
        </w:tc>
      </w:tr>
      <w:tr>
        <w:tc>
          <w:tcPr>
            <w:tcW w:type="dxa" w:w="2160"/>
            <w:vAlign w:val="top"/>
          </w:tcPr>
          <w:p>
            <w:pPr>
              <w:spacing w:after="0"/>
            </w:pPr>
            <w:r/>
            <w:r>
              <w:rPr>
                <w:b w:val="0"/>
                <w:sz w:val="17"/>
              </w:rPr>
              <w:t>Bright Data gateway</w:t>
            </w:r>
          </w:p>
        </w:tc>
        <w:tc>
          <w:tcPr>
            <w:tcW w:type="dxa" w:w="4032"/>
            <w:vAlign w:val="top"/>
          </w:tcPr>
          <w:p>
            <w:pPr>
              <w:spacing w:after="0"/>
            </w:pPr>
            <w:r/>
            <w:r>
              <w:rPr>
                <w:b w:val="0"/>
                <w:sz w:val="17"/>
              </w:rPr>
              <w:t>Routes tasks to SERP API, Web Scraper API, Scraping Browser, Web Unlocker, MCP Server, or custom scraper.</w:t>
            </w:r>
          </w:p>
        </w:tc>
        <w:tc>
          <w:tcPr>
            <w:tcW w:type="dxa" w:w="3600"/>
            <w:vAlign w:val="top"/>
          </w:tcPr>
          <w:p>
            <w:pPr>
              <w:spacing w:after="0"/>
            </w:pPr>
            <w:r/>
            <w:r>
              <w:rPr>
                <w:b w:val="0"/>
                <w:sz w:val="17"/>
              </w:rPr>
              <w:t>Makes Bright Data usage demonstrable and production-relevant.</w:t>
            </w:r>
          </w:p>
        </w:tc>
      </w:tr>
      <w:tr>
        <w:tc>
          <w:tcPr>
            <w:tcW w:type="dxa" w:w="2160"/>
            <w:shd w:fill="F8FAFC"/>
            <w:vAlign w:val="top"/>
          </w:tcPr>
          <w:p>
            <w:pPr>
              <w:spacing w:after="0"/>
            </w:pPr>
            <w:r/>
            <w:r>
              <w:rPr>
                <w:b w:val="0"/>
                <w:sz w:val="17"/>
              </w:rPr>
              <w:t>Evidence and audit trail</w:t>
            </w:r>
          </w:p>
        </w:tc>
        <w:tc>
          <w:tcPr>
            <w:tcW w:type="dxa" w:w="4032"/>
            <w:shd w:fill="F8FAFC"/>
            <w:vAlign w:val="top"/>
          </w:tcPr>
          <w:p>
            <w:pPr>
              <w:spacing w:after="0"/>
            </w:pPr>
            <w:r/>
            <w:r>
              <w:rPr>
                <w:b w:val="0"/>
                <w:sz w:val="17"/>
              </w:rPr>
              <w:t>Every brief includes source URLs, timestamps, retrieval path, confidence, and recovery trace.</w:t>
            </w:r>
          </w:p>
        </w:tc>
        <w:tc>
          <w:tcPr>
            <w:tcW w:type="dxa" w:w="3600"/>
            <w:shd w:fill="F8FAFC"/>
            <w:vAlign w:val="top"/>
          </w:tcPr>
          <w:p>
            <w:pPr>
              <w:spacing w:after="0"/>
            </w:pPr>
            <w:r/>
            <w:r>
              <w:rPr>
                <w:b w:val="0"/>
                <w:sz w:val="17"/>
              </w:rPr>
              <w:t>Supports trust, reviewability, compliance, and debugging.</w:t>
            </w:r>
          </w:p>
        </w:tc>
      </w:tr>
      <w:tr>
        <w:tc>
          <w:tcPr>
            <w:tcW w:type="dxa" w:w="2160"/>
            <w:vAlign w:val="top"/>
          </w:tcPr>
          <w:p>
            <w:pPr>
              <w:spacing w:after="0"/>
            </w:pPr>
            <w:r/>
            <w:r>
              <w:rPr>
                <w:b w:val="0"/>
                <w:sz w:val="17"/>
              </w:rPr>
              <w:t>Configurable intelligence schemas</w:t>
            </w:r>
          </w:p>
        </w:tc>
        <w:tc>
          <w:tcPr>
            <w:tcW w:type="dxa" w:w="4032"/>
            <w:vAlign w:val="top"/>
          </w:tcPr>
          <w:p>
            <w:pPr>
              <w:spacing w:after="0"/>
            </w:pPr>
            <w:r/>
            <w:r>
              <w:rPr>
                <w:b w:val="0"/>
                <w:sz w:val="17"/>
              </w:rPr>
              <w:t>Each package has its own source templates, signal definitions, scoring rules, and output format.</w:t>
            </w:r>
          </w:p>
        </w:tc>
        <w:tc>
          <w:tcPr>
            <w:tcW w:type="dxa" w:w="3600"/>
            <w:vAlign w:val="top"/>
          </w:tcPr>
          <w:p>
            <w:pPr>
              <w:spacing w:after="0"/>
            </w:pPr>
            <w:r/>
            <w:r>
              <w:rPr>
                <w:b w:val="0"/>
                <w:sz w:val="17"/>
              </w:rPr>
              <w:t>Lets the same core product serve multiple departments.</w:t>
            </w:r>
          </w:p>
        </w:tc>
      </w:tr>
      <w:tr>
        <w:tc>
          <w:tcPr>
            <w:tcW w:type="dxa" w:w="2160"/>
            <w:shd w:fill="F8FAFC"/>
            <w:vAlign w:val="top"/>
          </w:tcPr>
          <w:p>
            <w:pPr>
              <w:spacing w:after="0"/>
            </w:pPr>
            <w:r/>
            <w:r>
              <w:rPr>
                <w:b w:val="0"/>
                <w:sz w:val="17"/>
              </w:rPr>
              <w:t>API and SDK layer</w:t>
            </w:r>
          </w:p>
        </w:tc>
        <w:tc>
          <w:tcPr>
            <w:tcW w:type="dxa" w:w="4032"/>
            <w:shd w:fill="F8FAFC"/>
            <w:vAlign w:val="top"/>
          </w:tcPr>
          <w:p>
            <w:pPr>
              <w:spacing w:after="0"/>
            </w:pPr>
            <w:r/>
            <w:r>
              <w:rPr>
                <w:b w:val="0"/>
                <w:sz w:val="17"/>
              </w:rPr>
              <w:t>Developers can call research, refresh, records, evidence, and gateway endpoints.</w:t>
            </w:r>
          </w:p>
        </w:tc>
        <w:tc>
          <w:tcPr>
            <w:tcW w:type="dxa" w:w="3600"/>
            <w:shd w:fill="F8FAFC"/>
            <w:vAlign w:val="top"/>
          </w:tcPr>
          <w:p>
            <w:pPr>
              <w:spacing w:after="0"/>
            </w:pPr>
            <w:r/>
            <w:r>
              <w:rPr>
                <w:b w:val="0"/>
                <w:sz w:val="17"/>
              </w:rPr>
              <w:t>Turns the product from a UI demo into infrastructure that can be integrated.</w:t>
            </w:r>
          </w:p>
        </w:tc>
      </w:tr>
      <w:tr>
        <w:tc>
          <w:tcPr>
            <w:tcW w:type="dxa" w:w="2160"/>
            <w:vAlign w:val="top"/>
          </w:tcPr>
          <w:p>
            <w:pPr>
              <w:spacing w:after="0"/>
            </w:pPr>
            <w:r/>
            <w:r>
              <w:rPr>
                <w:b w:val="0"/>
                <w:sz w:val="17"/>
              </w:rPr>
              <w:t>Workflow integrations</w:t>
            </w:r>
          </w:p>
        </w:tc>
        <w:tc>
          <w:tcPr>
            <w:tcW w:type="dxa" w:w="4032"/>
            <w:vAlign w:val="top"/>
          </w:tcPr>
          <w:p>
            <w:pPr>
              <w:spacing w:after="0"/>
            </w:pPr>
            <w:r/>
            <w:r>
              <w:rPr>
                <w:b w:val="0"/>
                <w:sz w:val="17"/>
              </w:rPr>
              <w:t>Slack, email, CSV, CRM, GRC, Jira, ServiceNow, data warehouse exports.</w:t>
            </w:r>
          </w:p>
        </w:tc>
        <w:tc>
          <w:tcPr>
            <w:tcW w:type="dxa" w:w="3600"/>
            <w:vAlign w:val="top"/>
          </w:tcPr>
          <w:p>
            <w:pPr>
              <w:spacing w:after="0"/>
            </w:pPr>
            <w:r/>
            <w:r>
              <w:rPr>
                <w:b w:val="0"/>
                <w:sz w:val="17"/>
              </w:rPr>
              <w:t>Enterprise value comes from delivering intelligence into existing workflows.</w:t>
            </w:r>
          </w:p>
        </w:tc>
      </w:tr>
    </w:tbl>
    <w:p/>
    <w:p>
      <w:pPr>
        <w:pStyle w:val="Heading1"/>
      </w:pPr>
      <w:r>
        <w:t>6. MVP scope for hackathon vs startup product</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0F172A"/>
            <w:vAlign w:val="top"/>
          </w:tcPr>
          <w:p>
            <w:pPr>
              <w:spacing w:after="0"/>
            </w:pPr>
            <w:r/>
            <w:r>
              <w:rPr>
                <w:b/>
                <w:color w:val="FFFFFF"/>
                <w:sz w:val="17"/>
              </w:rPr>
              <w:t>Area</w:t>
            </w:r>
          </w:p>
        </w:tc>
        <w:tc>
          <w:tcPr>
            <w:tcW w:type="dxa" w:w="3744"/>
            <w:shd w:fill="0F172A"/>
            <w:vAlign w:val="top"/>
          </w:tcPr>
          <w:p>
            <w:pPr>
              <w:spacing w:after="0"/>
            </w:pPr>
            <w:r/>
            <w:r>
              <w:rPr>
                <w:b/>
                <w:color w:val="FFFFFF"/>
                <w:sz w:val="17"/>
              </w:rPr>
              <w:t>Hackathon MVP</w:t>
            </w:r>
          </w:p>
        </w:tc>
        <w:tc>
          <w:tcPr>
            <w:tcW w:type="dxa" w:w="4320"/>
            <w:shd w:fill="0F172A"/>
            <w:vAlign w:val="top"/>
          </w:tcPr>
          <w:p>
            <w:pPr>
              <w:spacing w:after="0"/>
            </w:pPr>
            <w:r/>
            <w:r>
              <w:rPr>
                <w:b/>
                <w:color w:val="FFFFFF"/>
                <w:sz w:val="17"/>
              </w:rPr>
              <w:t>Post-hackathon product</w:t>
            </w:r>
          </w:p>
        </w:tc>
      </w:tr>
      <w:tr>
        <w:tc>
          <w:tcPr>
            <w:tcW w:type="dxa" w:w="1872"/>
            <w:vAlign w:val="top"/>
          </w:tcPr>
          <w:p>
            <w:pPr>
              <w:spacing w:after="0"/>
            </w:pPr>
            <w:r/>
            <w:r>
              <w:rPr>
                <w:b w:val="0"/>
                <w:sz w:val="17"/>
              </w:rPr>
              <w:t>Packages</w:t>
            </w:r>
          </w:p>
        </w:tc>
        <w:tc>
          <w:tcPr>
            <w:tcW w:type="dxa" w:w="3744"/>
            <w:vAlign w:val="top"/>
          </w:tcPr>
          <w:p>
            <w:pPr>
              <w:spacing w:after="0"/>
            </w:pPr>
            <w:r/>
            <w:r>
              <w:rPr>
                <w:b w:val="0"/>
                <w:sz w:val="17"/>
              </w:rPr>
              <w:t>Show the four packages on landing page and mock selected package behavior.</w:t>
            </w:r>
          </w:p>
        </w:tc>
        <w:tc>
          <w:tcPr>
            <w:tcW w:type="dxa" w:w="4320"/>
            <w:vAlign w:val="top"/>
          </w:tcPr>
          <w:p>
            <w:pPr>
              <w:spacing w:after="0"/>
            </w:pPr>
            <w:r/>
            <w:r>
              <w:rPr>
                <w:b w:val="0"/>
                <w:sz w:val="17"/>
              </w:rPr>
              <w:t>Package activation, billing plans, package-specific schemas, and customer configuration.</w:t>
            </w:r>
          </w:p>
        </w:tc>
      </w:tr>
      <w:tr>
        <w:tc>
          <w:tcPr>
            <w:tcW w:type="dxa" w:w="1872"/>
            <w:shd w:fill="F8FAFC"/>
            <w:vAlign w:val="top"/>
          </w:tcPr>
          <w:p>
            <w:pPr>
              <w:spacing w:after="0"/>
            </w:pPr>
            <w:r/>
            <w:r>
              <w:rPr>
                <w:b w:val="0"/>
                <w:sz w:val="17"/>
              </w:rPr>
              <w:t>Agent workspace</w:t>
            </w:r>
          </w:p>
        </w:tc>
        <w:tc>
          <w:tcPr>
            <w:tcW w:type="dxa" w:w="3744"/>
            <w:shd w:fill="F8FAFC"/>
            <w:vAlign w:val="top"/>
          </w:tcPr>
          <w:p>
            <w:pPr>
              <w:spacing w:after="0"/>
            </w:pPr>
            <w:r/>
            <w:r>
              <w:rPr>
                <w:b w:val="0"/>
                <w:sz w:val="17"/>
              </w:rPr>
              <w:t>Mock-live chat, run history, trace, sources, and answer brief.</w:t>
            </w:r>
          </w:p>
        </w:tc>
        <w:tc>
          <w:tcPr>
            <w:tcW w:type="dxa" w:w="4320"/>
            <w:shd w:fill="F8FAFC"/>
            <w:vAlign w:val="top"/>
          </w:tcPr>
          <w:p>
            <w:pPr>
              <w:spacing w:after="0"/>
            </w:pPr>
            <w:r/>
            <w:r>
              <w:rPr>
                <w:b w:val="0"/>
                <w:sz w:val="17"/>
              </w:rPr>
              <w:t>Streaming agent runs, persisted conversations, permissions, real source evidence.</w:t>
            </w:r>
          </w:p>
        </w:tc>
      </w:tr>
      <w:tr>
        <w:tc>
          <w:tcPr>
            <w:tcW w:type="dxa" w:w="1872"/>
            <w:vAlign w:val="top"/>
          </w:tcPr>
          <w:p>
            <w:pPr>
              <w:spacing w:after="0"/>
            </w:pPr>
            <w:r/>
            <w:r>
              <w:rPr>
                <w:b w:val="0"/>
                <w:sz w:val="17"/>
              </w:rPr>
              <w:t>Intelligence engine</w:t>
            </w:r>
          </w:p>
        </w:tc>
        <w:tc>
          <w:tcPr>
            <w:tcW w:type="dxa" w:w="3744"/>
            <w:vAlign w:val="top"/>
          </w:tcPr>
          <w:p>
            <w:pPr>
              <w:spacing w:after="0"/>
            </w:pPr>
            <w:r/>
            <w:r>
              <w:rPr>
                <w:b w:val="0"/>
                <w:sz w:val="17"/>
              </w:rPr>
              <w:t>Mock records, freshness refresh, context package JSON.</w:t>
            </w:r>
          </w:p>
        </w:tc>
        <w:tc>
          <w:tcPr>
            <w:tcW w:type="dxa" w:w="4320"/>
            <w:vAlign w:val="top"/>
          </w:tcPr>
          <w:p>
            <w:pPr>
              <w:spacing w:after="0"/>
            </w:pPr>
            <w:r/>
            <w:r>
              <w:rPr>
                <w:b w:val="0"/>
                <w:sz w:val="17"/>
              </w:rPr>
              <w:t>Real records DB, embeddings/search, freshness policies, ranking, source authority scoring.</w:t>
            </w:r>
          </w:p>
        </w:tc>
      </w:tr>
      <w:tr>
        <w:tc>
          <w:tcPr>
            <w:tcW w:type="dxa" w:w="1872"/>
            <w:shd w:fill="F8FAFC"/>
            <w:vAlign w:val="top"/>
          </w:tcPr>
          <w:p>
            <w:pPr>
              <w:spacing w:after="0"/>
            </w:pPr>
            <w:r/>
            <w:r>
              <w:rPr>
                <w:b w:val="0"/>
                <w:sz w:val="17"/>
              </w:rPr>
              <w:t>Bright Data gateway</w:t>
            </w:r>
          </w:p>
        </w:tc>
        <w:tc>
          <w:tcPr>
            <w:tcW w:type="dxa" w:w="3744"/>
            <w:shd w:fill="F8FAFC"/>
            <w:vAlign w:val="top"/>
          </w:tcPr>
          <w:p>
            <w:pPr>
              <w:spacing w:after="0"/>
            </w:pPr>
            <w:r/>
            <w:r>
              <w:rPr>
                <w:b w:val="0"/>
                <w:sz w:val="17"/>
              </w:rPr>
              <w:t>Mock recovery lifecycle and receipt.</w:t>
            </w:r>
          </w:p>
        </w:tc>
        <w:tc>
          <w:tcPr>
            <w:tcW w:type="dxa" w:w="4320"/>
            <w:shd w:fill="F8FAFC"/>
            <w:vAlign w:val="top"/>
          </w:tcPr>
          <w:p>
            <w:pPr>
              <w:spacing w:after="0"/>
            </w:pPr>
            <w:r/>
            <w:r>
              <w:rPr>
                <w:b w:val="0"/>
                <w:sz w:val="17"/>
              </w:rPr>
              <w:t>Real routing to Bright Data tools, retries, backoff, proxy strategy, tool observability.</w:t>
            </w:r>
          </w:p>
        </w:tc>
      </w:tr>
      <w:tr>
        <w:tc>
          <w:tcPr>
            <w:tcW w:type="dxa" w:w="1872"/>
            <w:vAlign w:val="top"/>
          </w:tcPr>
          <w:p>
            <w:pPr>
              <w:spacing w:after="0"/>
            </w:pPr>
            <w:r/>
            <w:r>
              <w:rPr>
                <w:b w:val="0"/>
                <w:sz w:val="17"/>
              </w:rPr>
              <w:t>Evidence store</w:t>
            </w:r>
          </w:p>
        </w:tc>
        <w:tc>
          <w:tcPr>
            <w:tcW w:type="dxa" w:w="3744"/>
            <w:vAlign w:val="top"/>
          </w:tcPr>
          <w:p>
            <w:pPr>
              <w:spacing w:after="0"/>
            </w:pPr>
            <w:r/>
            <w:r>
              <w:rPr>
                <w:b w:val="0"/>
                <w:sz w:val="17"/>
              </w:rPr>
              <w:t>Displayed mock sources and JSON.</w:t>
            </w:r>
          </w:p>
        </w:tc>
        <w:tc>
          <w:tcPr>
            <w:tcW w:type="dxa" w:w="4320"/>
            <w:vAlign w:val="top"/>
          </w:tcPr>
          <w:p>
            <w:pPr>
              <w:spacing w:after="0"/>
            </w:pPr>
            <w:r/>
            <w:r>
              <w:rPr>
                <w:b w:val="0"/>
                <w:sz w:val="17"/>
              </w:rPr>
              <w:t>Durable evidence records, source hashes, snapshots, exports, audit logs.</w:t>
            </w:r>
          </w:p>
        </w:tc>
      </w:tr>
      <w:tr>
        <w:tc>
          <w:tcPr>
            <w:tcW w:type="dxa" w:w="1872"/>
            <w:shd w:fill="F8FAFC"/>
            <w:vAlign w:val="top"/>
          </w:tcPr>
          <w:p>
            <w:pPr>
              <w:spacing w:after="0"/>
            </w:pPr>
            <w:r/>
            <w:r>
              <w:rPr>
                <w:b w:val="0"/>
                <w:sz w:val="17"/>
              </w:rPr>
              <w:t>Deployment</w:t>
            </w:r>
          </w:p>
        </w:tc>
        <w:tc>
          <w:tcPr>
            <w:tcW w:type="dxa" w:w="3744"/>
            <w:shd w:fill="F8FAFC"/>
            <w:vAlign w:val="top"/>
          </w:tcPr>
          <w:p>
            <w:pPr>
              <w:spacing w:after="0"/>
            </w:pPr>
            <w:r/>
            <w:r>
              <w:rPr>
                <w:b w:val="0"/>
                <w:sz w:val="17"/>
              </w:rPr>
              <w:t>Hosted demo app and public repo.</w:t>
            </w:r>
          </w:p>
        </w:tc>
        <w:tc>
          <w:tcPr>
            <w:tcW w:type="dxa" w:w="4320"/>
            <w:shd w:fill="F8FAFC"/>
            <w:vAlign w:val="top"/>
          </w:tcPr>
          <w:p>
            <w:pPr>
              <w:spacing w:after="0"/>
            </w:pPr>
            <w:r/>
            <w:r>
              <w:rPr>
                <w:b w:val="0"/>
                <w:sz w:val="17"/>
              </w:rPr>
              <w:t>Production backend, Postgres, queue workers, secrets, monitoring, CI/CD, customer onboarding.</w:t>
            </w:r>
          </w:p>
        </w:tc>
      </w:tr>
    </w:tbl>
    <w:p/>
    <w:p>
      <w:pPr>
        <w:pStyle w:val="Heading1"/>
      </w:pPr>
      <w:r>
        <w:t>7. Recommended demo narrative</w:t>
      </w:r>
    </w:p>
    <w:p>
      <w:pPr>
        <w:pStyle w:val="ListBullet"/>
      </w:pPr>
      <w:r>
        <w:t>Open landing page: explain that WebDataOS spans all three Bright Data tracks using intelligence packs.</w:t>
      </w:r>
    </w:p>
    <w:p>
      <w:pPr>
        <w:pStyle w:val="ListBullet"/>
      </w:pPr>
      <w:r>
        <w:t>Select a focused pack, preferably Security &amp; Compliance for a high-stakes enterprise demo.</w:t>
      </w:r>
    </w:p>
    <w:p>
      <w:pPr>
        <w:pStyle w:val="ListBullet"/>
      </w:pPr>
      <w:r>
        <w:t>Run a live-web agent query about a vendor, competitor, or market signal.</w:t>
      </w:r>
    </w:p>
    <w:p>
      <w:pPr>
        <w:pStyle w:val="ListBullet"/>
      </w:pPr>
      <w:r>
        <w:t>Show the Intelligence Engine checking fresh records and refreshing stale context.</w:t>
      </w:r>
    </w:p>
    <w:p>
      <w:pPr>
        <w:pStyle w:val="ListBullet"/>
      </w:pPr>
      <w:r>
        <w:t>Show the Bright Data Gateway recovering or routing to the right Bright Data tool.</w:t>
      </w:r>
    </w:p>
    <w:p>
      <w:pPr>
        <w:pStyle w:val="ListBullet"/>
      </w:pPr>
      <w:r>
        <w:t>End with a sourced brief, evidence trail, structured JSON, and the statement that the mock state maps directly to production APIs.</w:t>
      </w:r>
    </w:p>
    <w:p>
      <w:pPr>
        <w:pStyle w:val="Heading1"/>
      </w:pPr>
      <w:r>
        <w:t>8. Business model direction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0F172A"/>
            <w:vAlign w:val="top"/>
          </w:tcPr>
          <w:p>
            <w:pPr>
              <w:spacing w:after="0"/>
            </w:pPr>
            <w:r/>
            <w:r>
              <w:rPr>
                <w:b/>
                <w:color w:val="FFFFFF"/>
                <w:sz w:val="17"/>
              </w:rPr>
              <w:t>Tier</w:t>
            </w:r>
          </w:p>
        </w:tc>
        <w:tc>
          <w:tcPr>
            <w:tcW w:type="dxa" w:w="2880"/>
            <w:shd w:fill="0F172A"/>
            <w:vAlign w:val="top"/>
          </w:tcPr>
          <w:p>
            <w:pPr>
              <w:spacing w:after="0"/>
            </w:pPr>
            <w:r/>
            <w:r>
              <w:rPr>
                <w:b/>
                <w:color w:val="FFFFFF"/>
                <w:sz w:val="17"/>
              </w:rPr>
              <w:t>Target customer</w:t>
            </w:r>
          </w:p>
        </w:tc>
        <w:tc>
          <w:tcPr>
            <w:tcW w:type="dxa" w:w="4032"/>
            <w:shd w:fill="0F172A"/>
            <w:vAlign w:val="top"/>
          </w:tcPr>
          <w:p>
            <w:pPr>
              <w:spacing w:after="0"/>
            </w:pPr>
            <w:r/>
            <w:r>
              <w:rPr>
                <w:b/>
                <w:color w:val="FFFFFF"/>
                <w:sz w:val="17"/>
              </w:rPr>
              <w:t>Included capability</w:t>
            </w:r>
          </w:p>
        </w:tc>
        <w:tc>
          <w:tcPr>
            <w:tcW w:type="dxa" w:w="2592"/>
            <w:shd w:fill="0F172A"/>
            <w:vAlign w:val="top"/>
          </w:tcPr>
          <w:p>
            <w:pPr>
              <w:spacing w:after="0"/>
            </w:pPr>
            <w:r/>
            <w:r>
              <w:rPr>
                <w:b/>
                <w:color w:val="FFFFFF"/>
                <w:sz w:val="17"/>
              </w:rPr>
              <w:t>Pricing logic</w:t>
            </w:r>
          </w:p>
        </w:tc>
      </w:tr>
      <w:tr>
        <w:tc>
          <w:tcPr>
            <w:tcW w:type="dxa" w:w="2016"/>
            <w:vAlign w:val="top"/>
          </w:tcPr>
          <w:p>
            <w:pPr>
              <w:spacing w:after="0"/>
            </w:pPr>
            <w:r/>
            <w:r>
              <w:rPr>
                <w:b w:val="0"/>
                <w:sz w:val="17"/>
              </w:rPr>
              <w:t>Focused Pack</w:t>
            </w:r>
          </w:p>
        </w:tc>
        <w:tc>
          <w:tcPr>
            <w:tcW w:type="dxa" w:w="2880"/>
            <w:vAlign w:val="top"/>
          </w:tcPr>
          <w:p>
            <w:pPr>
              <w:spacing w:after="0"/>
            </w:pPr>
            <w:r/>
            <w:r>
              <w:rPr>
                <w:b w:val="0"/>
                <w:sz w:val="17"/>
              </w:rPr>
              <w:t>Single team such as security, GTM, or finance.</w:t>
            </w:r>
          </w:p>
        </w:tc>
        <w:tc>
          <w:tcPr>
            <w:tcW w:type="dxa" w:w="4032"/>
            <w:vAlign w:val="top"/>
          </w:tcPr>
          <w:p>
            <w:pPr>
              <w:spacing w:after="0"/>
            </w:pPr>
            <w:r/>
            <w:r>
              <w:rPr>
                <w:b w:val="0"/>
                <w:sz w:val="17"/>
              </w:rPr>
              <w:t>One intelligence package, limited entities, standard refresh cadence, basic exports.</w:t>
            </w:r>
          </w:p>
        </w:tc>
        <w:tc>
          <w:tcPr>
            <w:tcW w:type="dxa" w:w="2592"/>
            <w:vAlign w:val="top"/>
          </w:tcPr>
          <w:p>
            <w:pPr>
              <w:spacing w:after="0"/>
            </w:pPr>
            <w:r/>
            <w:r>
              <w:rPr>
                <w:b w:val="0"/>
                <w:sz w:val="17"/>
              </w:rPr>
              <w:t>Subscription based on monitored entities and refresh volume.</w:t>
            </w:r>
          </w:p>
        </w:tc>
      </w:tr>
      <w:tr>
        <w:tc>
          <w:tcPr>
            <w:tcW w:type="dxa" w:w="2016"/>
            <w:shd w:fill="F8FAFC"/>
            <w:vAlign w:val="top"/>
          </w:tcPr>
          <w:p>
            <w:pPr>
              <w:spacing w:after="0"/>
            </w:pPr>
            <w:r/>
            <w:r>
              <w:rPr>
                <w:b w:val="0"/>
                <w:sz w:val="17"/>
              </w:rPr>
              <w:t>Professional</w:t>
            </w:r>
          </w:p>
        </w:tc>
        <w:tc>
          <w:tcPr>
            <w:tcW w:type="dxa" w:w="2880"/>
            <w:shd w:fill="F8FAFC"/>
            <w:vAlign w:val="top"/>
          </w:tcPr>
          <w:p>
            <w:pPr>
              <w:spacing w:after="0"/>
            </w:pPr>
            <w:r/>
            <w:r>
              <w:rPr>
                <w:b w:val="0"/>
                <w:sz w:val="17"/>
              </w:rPr>
              <w:t>Growing teams that need more entities and integrations.</w:t>
            </w:r>
          </w:p>
        </w:tc>
        <w:tc>
          <w:tcPr>
            <w:tcW w:type="dxa" w:w="4032"/>
            <w:shd w:fill="F8FAFC"/>
            <w:vAlign w:val="top"/>
          </w:tcPr>
          <w:p>
            <w:pPr>
              <w:spacing w:after="0"/>
            </w:pPr>
            <w:r/>
            <w:r>
              <w:rPr>
                <w:b w:val="0"/>
                <w:sz w:val="17"/>
              </w:rPr>
              <w:t>Higher volume, alerts, scheduled monitoring, API access, Slack/email exports.</w:t>
            </w:r>
          </w:p>
        </w:tc>
        <w:tc>
          <w:tcPr>
            <w:tcW w:type="dxa" w:w="2592"/>
            <w:shd w:fill="F8FAFC"/>
            <w:vAlign w:val="top"/>
          </w:tcPr>
          <w:p>
            <w:pPr>
              <w:spacing w:after="0"/>
            </w:pPr>
            <w:r/>
            <w:r>
              <w:rPr>
                <w:b w:val="0"/>
                <w:sz w:val="17"/>
              </w:rPr>
              <w:t>Base fee plus usage for refreshes and gateway calls.</w:t>
            </w:r>
          </w:p>
        </w:tc>
      </w:tr>
      <w:tr>
        <w:tc>
          <w:tcPr>
            <w:tcW w:type="dxa" w:w="2016"/>
            <w:vAlign w:val="top"/>
          </w:tcPr>
          <w:p>
            <w:pPr>
              <w:spacing w:after="0"/>
            </w:pPr>
            <w:r/>
            <w:r>
              <w:rPr>
                <w:b w:val="0"/>
                <w:sz w:val="17"/>
              </w:rPr>
              <w:t>Enterprise Intelligence OS</w:t>
            </w:r>
          </w:p>
        </w:tc>
        <w:tc>
          <w:tcPr>
            <w:tcW w:type="dxa" w:w="2880"/>
            <w:vAlign w:val="top"/>
          </w:tcPr>
          <w:p>
            <w:pPr>
              <w:spacing w:after="0"/>
            </w:pPr>
            <w:r/>
            <w:r>
              <w:rPr>
                <w:b w:val="0"/>
                <w:sz w:val="17"/>
              </w:rPr>
              <w:t>Cross-functional enterprise teams.</w:t>
            </w:r>
          </w:p>
        </w:tc>
        <w:tc>
          <w:tcPr>
            <w:tcW w:type="dxa" w:w="4032"/>
            <w:vAlign w:val="top"/>
          </w:tcPr>
          <w:p>
            <w:pPr>
              <w:spacing w:after="0"/>
            </w:pPr>
            <w:r/>
            <w:r>
              <w:rPr>
                <w:b w:val="0"/>
                <w:sz w:val="17"/>
              </w:rPr>
              <w:t>All three packages, shared evidence graph, advanced RBAC, custom sources, audit exports, SLA.</w:t>
            </w:r>
          </w:p>
        </w:tc>
        <w:tc>
          <w:tcPr>
            <w:tcW w:type="dxa" w:w="2592"/>
            <w:vAlign w:val="top"/>
          </w:tcPr>
          <w:p>
            <w:pPr>
              <w:spacing w:after="0"/>
            </w:pPr>
            <w:r/>
            <w:r>
              <w:rPr>
                <w:b w:val="0"/>
                <w:sz w:val="17"/>
              </w:rPr>
              <w:t>Enterprise contract plus usage-based Bright Data pass-through or margin.</w:t>
            </w:r>
          </w:p>
        </w:tc>
      </w:tr>
    </w:tbl>
    <w:p/>
    <w:p>
      <w:pPr>
        <w:pStyle w:val="Heading1"/>
      </w:pPr>
      <w:r>
        <w:t>9. Immediate next steps</w:t>
      </w:r>
    </w:p>
    <w:p>
      <w:pPr>
        <w:pStyle w:val="ListBullet"/>
      </w:pPr>
      <w:r>
        <w:t>Update the PRD to reflect enterprise adoption, intelligence packages, and post-hackathon product direction.</w:t>
      </w:r>
    </w:p>
    <w:p>
      <w:pPr>
        <w:pStyle w:val="ListBullet"/>
      </w:pPr>
      <w:r>
        <w:t>Update the implementation document with real backend contracts, data models, Bright Data integration points, and package configuration logic.</w:t>
      </w:r>
    </w:p>
    <w:p>
      <w:pPr>
        <w:pStyle w:val="ListBullet"/>
      </w:pPr>
      <w:r>
        <w:t>Update the UI copy: call the internal flow “layers,” not hackathon tracks, to avoid confusing it with the official tracks.</w:t>
      </w:r>
    </w:p>
    <w:p>
      <w:pPr>
        <w:pStyle w:val="ListBullet"/>
      </w:pPr>
      <w:r>
        <w:t>Make the demo scenario concrete: “third-party risk intelligence agent” or “enterprise signal monitoring agent.”</w:t>
      </w:r>
    </w:p>
    <w:p>
      <w:pPr>
        <w:pStyle w:val="ListBullet"/>
      </w:pPr>
      <w:r>
        <w:t>Prepare a short video script that explains focused packs, combo pack, live web retrieval, and production path in under five minutes.</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WebDataOS Enterprise Direction | Updated for enterprise adoption beyond the hackathon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