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 Waiver Letter</w:t>
      </w:r>
    </w:p>
    <w:p>
      <w:r>
        <w:t>Signed waiver letter. The Q2 waiver expired on 30 September 2026 and does not apply to Q3 2026 covenant testing. No active waiver changes the 4.00x Net Debt / EBITDA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