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BUSINESS REQUIREMENTS DOCUMENT (BRD)</w:t>
      </w:r>
    </w:p>
    <w:p>
      <w:pPr>
        <w:jc w:val="center"/>
      </w:pPr>
      <w:r>
        <w:rPr>
          <w:rFonts w:ascii="Arial" w:hAnsi="Arial"/>
          <w:b/>
          <w:sz w:val="28"/>
        </w:rPr>
        <w:t>CovenantOps Agent</w:t>
      </w:r>
    </w:p>
    <w:p>
      <w:pPr>
        <w:jc w:val="center"/>
      </w:pPr>
      <w:r>
        <w:rPr>
          <w:rFonts w:ascii="Arial" w:hAnsi="Arial"/>
          <w:i/>
          <w:sz w:val="20"/>
        </w:rPr>
        <w:t>Verifiable covenant monitoring for enterprise lending teams - Vultr Track, Statement Two - Version 1.0</w:t>
      </w:r>
    </w:p>
    <w:p/>
    <w:p>
      <w:pPr>
        <w:pStyle w:val="Heading1"/>
      </w:pPr>
      <w:r>
        <w:t>1. Purpose and background</w:t>
      </w:r>
    </w:p>
    <w:p>
      <w:pPr>
        <w:spacing w:after="120"/>
      </w:pPr>
      <w:r>
        <w:t>CovenantOps Agent is a web-based enterprise finance agent for loan covenant monitoring. It is built for the Vultr Statement Two challenge: a document-grounded enterprise agent that plans, retrieves repeatedly, calls tools, makes decisions, and produces an operational outcome a real enterprise team can use.</w:t>
      </w:r>
    </w:p>
    <w:p>
      <w:pPr>
        <w:spacing w:after="120"/>
      </w:pPr>
      <w:r>
        <w:t>The product investigates covenant drift across credit agreements, waivers, management accounts, transaction exports, and scanned notes. It produces a cited escalation memo and a signed evidence/governance receipt that can be verified offline.</w:t>
      </w:r>
    </w:p>
    <w:p>
      <w:pPr>
        <w:pStyle w:val="Heading1"/>
      </w:pPr>
      <w:r>
        <w:t>2. Problem statement</w:t>
      </w:r>
    </w:p>
    <w:p>
      <w:pPr>
        <w:spacing w:after="120"/>
      </w:pPr>
      <w:r>
        <w:t>Credit teams must monitor whether borrowers comply with covenants such as leverage, interest cover, liquidity, and reporting obligations. Manual monitoring is slow, error-prone, and difficult to defend when challenged by audit, credit committees, or regulators.</w:t>
      </w:r>
    </w:p>
    <w:p>
      <w:pPr>
        <w:spacing w:after="120"/>
      </w:pPr>
      <w:r>
        <w:t>A simple retrieve-and-answer chatbot is not enough. The enterprise requirement is a verifiable agentic workflow: the system must investigate, compute, check context, explain causes, record execution, and prove the evidence trail behind its conclusion.</w:t>
      </w:r>
    </w:p>
    <w:p>
      <w:pPr>
        <w:pStyle w:val="Heading1"/>
      </w:pPr>
      <w:r>
        <w:t>3.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7A5B"/>
            <w:vAlign w:val="center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5040"/>
            <w:shd w:fill="1F7A5B"/>
            <w:vAlign w:val="center"/>
          </w:tcPr>
          <w:p>
            <w:r>
              <w:rPr>
                <w:b/>
              </w:rPr>
              <w:t>Need</w:t>
            </w:r>
          </w:p>
        </w:tc>
      </w:tr>
      <w:tr>
        <w:tc>
          <w:tcPr>
            <w:tcW w:type="dxa" w:w="5040"/>
            <w:vAlign w:val="center"/>
          </w:tcPr>
          <w:p>
            <w:r>
              <w:t>Credit risk officer</w:t>
            </w:r>
          </w:p>
        </w:tc>
        <w:tc>
          <w:tcPr>
            <w:tcW w:type="dxa" w:w="5040"/>
            <w:vAlign w:val="center"/>
          </w:tcPr>
          <w:p>
            <w:r>
              <w:t>Early warning of covenant drift with evidence that can be defended to a credit committee.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Loan monitoring analyst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Reduced manual covenant checks while retaining a complete audit trail.</w:t>
            </w:r>
          </w:p>
        </w:tc>
      </w:tr>
      <w:tr>
        <w:tc>
          <w:tcPr>
            <w:tcW w:type="dxa" w:w="5040"/>
            <w:vAlign w:val="center"/>
          </w:tcPr>
          <w:p>
            <w:r>
              <w:t>Auditor / compliance reviewer</w:t>
            </w:r>
          </w:p>
        </w:tc>
        <w:tc>
          <w:tcPr>
            <w:tcW w:type="dxa" w:w="5040"/>
            <w:vAlign w:val="center"/>
          </w:tcPr>
          <w:p>
            <w:r>
              <w:t>A reconstructable and independently verifiable record of what the agent checked and why it decided.</w:t>
            </w:r>
          </w:p>
        </w:tc>
      </w:tr>
      <w:tr>
        <w:tc>
          <w:tcPr>
            <w:tcW w:type="dxa" w:w="5040"/>
            <w:vAlign w:val="center"/>
            <w:shd w:fill="F3F4F6"/>
          </w:tcPr>
          <w:p>
            <w:r>
              <w:t>Head of credit / CRO</w:t>
            </w:r>
          </w:p>
        </w:tc>
        <w:tc>
          <w:tcPr>
            <w:tcW w:type="dxa" w:w="5040"/>
            <w:vAlign w:val="center"/>
            <w:shd w:fill="F3F4F6"/>
          </w:tcPr>
          <w:p>
            <w:r>
              <w:t>Confidence that automated monitoring is reliable, explainable, and not a black box.</w:t>
            </w:r>
          </w:p>
        </w:tc>
      </w:tr>
      <w:tr>
        <w:tc>
          <w:tcPr>
            <w:tcW w:type="dxa" w:w="5040"/>
            <w:vAlign w:val="center"/>
          </w:tcPr>
          <w:p>
            <w:r>
              <w:t>Technology / AI governance team</w:t>
            </w:r>
          </w:p>
        </w:tc>
        <w:tc>
          <w:tcPr>
            <w:tcW w:type="dxa" w:w="5040"/>
            <w:vAlign w:val="center"/>
          </w:tcPr>
          <w:p>
            <w:r>
              <w:t>Proof that agent actions, context, memory, and security checks are recorded and reviewable.</w:t>
            </w:r>
          </w:p>
        </w:tc>
      </w:tr>
    </w:tbl>
    <w:p/>
    <w:p>
      <w:pPr>
        <w:pStyle w:val="Heading1"/>
      </w:pPr>
      <w:r>
        <w:t>4. Business goals</w:t>
      </w:r>
    </w:p>
    <w:p>
      <w:pPr>
        <w:pStyle w:val="ListNumber"/>
      </w:pPr>
      <w:r>
        <w:t>Reduce the time and manual effort required to complete covenant monitoring for a borrower facility.</w:t>
      </w:r>
    </w:p>
    <w:p>
      <w:pPr>
        <w:pStyle w:val="ListNumber"/>
      </w:pPr>
      <w:r>
        <w:t>Detect ratios drifting toward breach earlier and more reliably than manual review.</w:t>
      </w:r>
    </w:p>
    <w:p>
      <w:pPr>
        <w:pStyle w:val="ListNumber"/>
      </w:pPr>
      <w:r>
        <w:t>Produce an escalation memo that a credit team can use directly, with citations and recommended next actions.</w:t>
      </w:r>
    </w:p>
    <w:p>
      <w:pPr>
        <w:pStyle w:val="ListNumber"/>
      </w:pPr>
      <w:r>
        <w:t>Make every automated conclusion auditable and independently verifiable through signed evidence/governance receipts.</w:t>
      </w:r>
    </w:p>
    <w:p>
      <w:pPr>
        <w:pStyle w:val="ListNumber"/>
      </w:pPr>
      <w:r>
        <w:t>Surface honest uncertainty by showing which transaction causes were explained versus left unexplained.</w:t>
      </w:r>
    </w:p>
    <w:p>
      <w:pPr>
        <w:pStyle w:val="ListNumber"/>
      </w:pPr>
      <w:r>
        <w:t>Demonstrate a reusable accountability pattern for document-grounded enterprise agents beyond finance.</w:t>
      </w:r>
    </w:p>
    <w:p>
      <w:pPr>
        <w:pStyle w:val="Heading1"/>
      </w:pPr>
      <w:r>
        <w:t>5. Final MVP scope</w:t>
      </w:r>
    </w:p>
    <w:p>
      <w:pPr>
        <w:pStyle w:val="Heading2"/>
      </w:pPr>
      <w:r>
        <w:t>5.1 In scope</w:t>
      </w:r>
    </w:p>
    <w:p>
      <w:pPr>
        <w:pStyle w:val="ListBullet"/>
      </w:pPr>
      <w:r>
        <w:t>Single deep vertical: finance covenant monitoring for a borrower facility.</w:t>
      </w:r>
    </w:p>
    <w:p>
      <w:pPr>
        <w:pStyle w:val="ListBullet"/>
      </w:pPr>
      <w:r>
        <w:t>Real multi-format document ingestion: PDF, DOCX/PDF waiver, XLSX, CSV, and image/OCR where available.</w:t>
      </w:r>
    </w:p>
    <w:p>
      <w:pPr>
        <w:pStyle w:val="ListBullet"/>
      </w:pPr>
      <w:r>
        <w:t>Source-provenance trust scoring across signed agreements, signed waivers, management accounts, transaction exports, borrower notes, and unknown documents.</w:t>
      </w:r>
    </w:p>
    <w:p>
      <w:pPr>
        <w:pStyle w:val="ListBullet"/>
      </w:pPr>
      <w:r>
        <w:t>Agent workflow: plan, retrieve clauses, retrieve financials, calculate ratios, apply waiver, check trend, cross-check transactions, classify risk, and generate memo.</w:t>
      </w:r>
    </w:p>
    <w:p>
      <w:pPr>
        <w:pStyle w:val="ListBullet"/>
      </w:pPr>
      <w:r>
        <w:t>Signed evidence/governance receipt with offline verification and tamper rejection.</w:t>
      </w:r>
    </w:p>
    <w:p>
      <w:pPr>
        <w:pStyle w:val="ListBullet"/>
      </w:pPr>
      <w:r>
        <w:t>TraceMemory persistence, run replay, recovery checkpoint, learning gate, and ablation toggle.</w:t>
      </w:r>
    </w:p>
    <w:p>
      <w:pPr>
        <w:pStyle w:val="ListBullet"/>
      </w:pPr>
      <w:r>
        <w:t>Context integrity checks: freshness, prompt injection, retrieval/source poisoning, authority conflicts, and finance-domain validation.</w:t>
      </w:r>
    </w:p>
    <w:p>
      <w:pPr>
        <w:pStyle w:val="ListBullet"/>
      </w:pPr>
      <w:r>
        <w:t>Vultr-ready deployment with Serverless Inference support and deterministic no-GPU fallback.</w:t>
      </w:r>
    </w:p>
    <w:p>
      <w:pPr>
        <w:pStyle w:val="Heading2"/>
      </w:pPr>
      <w:r>
        <w:t>5.2 Out of scope for hackathon MVP</w:t>
      </w:r>
    </w:p>
    <w:p>
      <w:pPr>
        <w:pStyle w:val="ListBullet"/>
      </w:pPr>
      <w:r>
        <w:t>Live core-banking integration.</w:t>
      </w:r>
    </w:p>
    <w:p>
      <w:pPr>
        <w:pStyle w:val="ListBullet"/>
      </w:pPr>
      <w:r>
        <w:t>Full authentication, multi-tenancy, and enterprise RBAC.</w:t>
      </w:r>
    </w:p>
    <w:p>
      <w:pPr>
        <w:pStyle w:val="ListBullet"/>
      </w:pPr>
      <w:r>
        <w:t>Production client data.</w:t>
      </w:r>
    </w:p>
    <w:p>
      <w:pPr>
        <w:pStyle w:val="ListBullet"/>
      </w:pPr>
      <w:r>
        <w:t>Multiple verticals beyond the finance proof point.</w:t>
      </w:r>
    </w:p>
    <w:p>
      <w:pPr>
        <w:pStyle w:val="Heading1"/>
      </w:pPr>
      <w:r>
        <w:t>6.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7A5B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60"/>
            <w:shd w:fill="1F7A5B"/>
            <w:vAlign w:val="center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60"/>
            <w:shd w:fill="1F7A5B"/>
            <w:vAlign w:val="center"/>
          </w:tcPr>
          <w:p>
            <w:r>
              <w:rPr>
                <w:b/>
              </w:rPr>
              <w:t>Scope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</w:t>
            </w:r>
          </w:p>
        </w:tc>
        <w:tc>
          <w:tcPr>
            <w:tcW w:type="dxa" w:w="3360"/>
            <w:vAlign w:val="center"/>
          </w:tcPr>
          <w:p>
            <w:r>
              <w:t>Retrieve governing covenant clauses from the credit agreement.</w:t>
            </w:r>
          </w:p>
        </w:tc>
        <w:tc>
          <w:tcPr>
            <w:tcW w:type="dxa" w:w="3360"/>
            <w:vAlign w:val="center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FR-2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Retrieve latest and prior financials to establish trend.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FR-3</w:t>
            </w:r>
          </w:p>
        </w:tc>
        <w:tc>
          <w:tcPr>
            <w:tcW w:type="dxa" w:w="3360"/>
            <w:vAlign w:val="center"/>
          </w:tcPr>
          <w:p>
            <w:r>
              <w:t>Recalculate covenant ratios using deterministic tools.</w:t>
            </w:r>
          </w:p>
        </w:tc>
        <w:tc>
          <w:tcPr>
            <w:tcW w:type="dxa" w:w="3360"/>
            <w:vAlign w:val="center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FR-4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Apply any active signed waiver or amendment to determine the effective threshold.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FR-5</w:t>
            </w:r>
          </w:p>
        </w:tc>
        <w:tc>
          <w:tcPr>
            <w:tcW w:type="dxa" w:w="3360"/>
            <w:vAlign w:val="center"/>
          </w:tcPr>
          <w:p>
            <w:r>
              <w:t>Cross-check material transactions to explain deterioration causes.</w:t>
            </w:r>
          </w:p>
        </w:tc>
        <w:tc>
          <w:tcPr>
            <w:tcW w:type="dxa" w:w="3360"/>
            <w:vAlign w:val="center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FR-6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Produce an escalation memo with citations, headroom, causes, unexplained items, and recommendations.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FR-7</w:t>
            </w:r>
          </w:p>
        </w:tc>
        <w:tc>
          <w:tcPr>
            <w:tcW w:type="dxa" w:w="3360"/>
            <w:vAlign w:val="center"/>
          </w:tcPr>
          <w:p>
            <w:r>
              <w:t>Generate an evidence map linking decision to clause, financials, calculation, trend, transactions, waiver status, and context guard.</w:t>
            </w:r>
          </w:p>
        </w:tc>
        <w:tc>
          <w:tcPr>
            <w:tcW w:type="dxa" w:w="3360"/>
            <w:vAlign w:val="center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FR-8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Generate a signed evidence/governance receipt for each completed run.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FR-9</w:t>
            </w:r>
          </w:p>
        </w:tc>
        <w:tc>
          <w:tcPr>
            <w:tcW w:type="dxa" w:w="3360"/>
            <w:vAlign w:val="center"/>
          </w:tcPr>
          <w:p>
            <w:r>
              <w:t>Verify valid receipts offline and reject tampered receipts.</w:t>
            </w:r>
          </w:p>
        </w:tc>
        <w:tc>
          <w:tcPr>
            <w:tcW w:type="dxa" w:w="3360"/>
            <w:vAlign w:val="center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FR-10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Persist TraceMemory events, tool calls, warnings, checkpoints, evaluations, and receipt references.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FR-11</w:t>
            </w:r>
          </w:p>
        </w:tc>
        <w:tc>
          <w:tcPr>
            <w:tcW w:type="dxa" w:w="3360"/>
            <w:vAlign w:val="center"/>
          </w:tcPr>
          <w:p>
            <w:r>
              <w:t>Resume interrupted runs from checkpoint without duplicating completed actions.</w:t>
            </w:r>
          </w:p>
        </w:tc>
        <w:tc>
          <w:tcPr>
            <w:tcW w:type="dxa" w:w="3360"/>
            <w:vAlign w:val="center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FR-12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Detect prompt injection, stale context, source conflicts, retrieval poisoning, and finance-domain issues.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FR-13</w:t>
            </w:r>
          </w:p>
        </w:tc>
        <w:tc>
          <w:tcPr>
            <w:tcW w:type="dxa" w:w="3360"/>
            <w:vAlign w:val="center"/>
          </w:tcPr>
          <w:p>
            <w:r>
              <w:t>Block poisoning-gated learning from flagged, low-confidence, or unsafe runs.</w:t>
            </w:r>
          </w:p>
        </w:tc>
        <w:tc>
          <w:tcPr>
            <w:tcW w:type="dxa" w:w="3360"/>
            <w:vAlign w:val="center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FR-14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Self-evaluate every run against judging-aligned quality gates.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</w:tcPr>
          <w:p>
            <w:r>
              <w:t>FR-15</w:t>
            </w:r>
          </w:p>
        </w:tc>
        <w:tc>
          <w:tcPr>
            <w:tcW w:type="dxa" w:w="3360"/>
            <w:vAlign w:val="center"/>
          </w:tcPr>
          <w:p>
            <w:r>
              <w:t>Route optional LLM/RAG workloads through Vultr Serverless Inference, with deterministic fallback.</w:t>
            </w:r>
          </w:p>
        </w:tc>
        <w:tc>
          <w:tcPr>
            <w:tcW w:type="dxa" w:w="3360"/>
            <w:vAlign w:val="center"/>
          </w:tcPr>
          <w:p>
            <w:r>
              <w:t>MVP</w:t>
            </w:r>
          </w:p>
        </w:tc>
      </w:tr>
      <w:tr>
        <w:tc>
          <w:tcPr>
            <w:tcW w:type="dxa" w:w="3360"/>
            <w:vAlign w:val="center"/>
            <w:shd w:fill="F3F4F6"/>
          </w:tcPr>
          <w:p>
            <w:r>
              <w:t>FR-16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Extend the same verifiable-agent pattern to other document-grounded enterprise workflows.</w:t>
            </w:r>
          </w:p>
        </w:tc>
        <w:tc>
          <w:tcPr>
            <w:tcW w:type="dxa" w:w="3360"/>
            <w:vAlign w:val="center"/>
            <w:shd w:fill="F3F4F6"/>
          </w:tcPr>
          <w:p>
            <w:r>
              <w:t>Vision</w:t>
            </w:r>
          </w:p>
        </w:tc>
      </w:tr>
    </w:tbl>
    <w:p/>
    <w:p>
      <w:pPr>
        <w:pStyle w:val="Heading1"/>
      </w:pPr>
      <w:r>
        <w:t>7. Success criteria</w:t>
      </w:r>
    </w:p>
    <w:p>
      <w:pPr>
        <w:pStyle w:val="ListBullet"/>
      </w:pPr>
      <w:r>
        <w:t>The live browser demo clearly shows planning, repeated retrieval, tool calls, decision checkpoints, and a usable memo.</w:t>
      </w:r>
    </w:p>
    <w:p>
      <w:pPr>
        <w:pStyle w:val="ListBullet"/>
      </w:pPr>
      <w:r>
        <w:t>The memo contains citations, an evidence map, and an honest confidence score based on explained versus unexplained causes.</w:t>
      </w:r>
    </w:p>
    <w:p>
      <w:pPr>
        <w:pStyle w:val="ListBullet"/>
      </w:pPr>
      <w:r>
        <w:t>The signed receipt verifies offline and a tampered receipt fails verification.</w:t>
      </w:r>
    </w:p>
    <w:p>
      <w:pPr>
        <w:pStyle w:val="ListBullet"/>
      </w:pPr>
      <w:r>
        <w:t>The context guard catches a planted prompt-injection attempt in a low-trust document.</w:t>
      </w:r>
    </w:p>
    <w:p>
      <w:pPr>
        <w:pStyle w:val="ListBullet"/>
      </w:pPr>
      <w:r>
        <w:t>The app runs locally through Docker and is deployable on Vultr without requiring GPU access.</w:t>
      </w:r>
    </w:p>
    <w:p>
      <w:pPr>
        <w:pStyle w:val="Heading1"/>
      </w:pPr>
      <w:r>
        <w:t>8. Differentiation</w:t>
      </w:r>
    </w:p>
    <w:p>
      <w:pPr>
        <w:spacing w:after="120"/>
      </w:pPr>
      <w:r>
        <w:t>CovenantOps Agent is not a document chatbot. It is a verifiable enterprise agent: it investigates, calculates, validates context, records its execution, and signs the evidence trail behind every escalation decision. The deliverable is not only an answer; it is a decision record that a credit team can audit, replay, and verify.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CovenantOps Agent - Confidential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