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TECHNICAL REQUIREMENTS DOCUMENT (TRD)</w:t>
      </w:r>
    </w:p>
    <w:p>
      <w:pPr>
        <w:jc w:val="center"/>
      </w:pPr>
      <w:r>
        <w:rPr>
          <w:rFonts w:ascii="Arial" w:hAnsi="Arial"/>
          <w:b/>
          <w:sz w:val="28"/>
        </w:rPr>
        <w:t>CovenantOps Agent</w:t>
      </w:r>
    </w:p>
    <w:p>
      <w:pPr>
        <w:jc w:val="center"/>
      </w:pPr>
      <w:r>
        <w:rPr>
          <w:rFonts w:ascii="Arial" w:hAnsi="Arial"/>
          <w:i/>
          <w:sz w:val="20"/>
        </w:rPr>
        <w:t>Architecture, agent workflow, evidence receipts, TraceMemory, API, and Vultr deployment</w:t>
      </w:r>
    </w:p>
    <w:p/>
    <w:p>
      <w:pPr>
        <w:pStyle w:val="Heading1"/>
      </w:pPr>
      <w:r>
        <w:t>1. Overview</w:t>
      </w:r>
    </w:p>
    <w:p>
      <w:pPr>
        <w:spacing w:after="120"/>
      </w:pPr>
      <w:r>
        <w:t>CovenantOps Agent is a document-grounded covenant-monitoring agent. The final implementation is a FastAPI backend, React/Vite + Tailwind frontend, persistent TraceMemory store, document ingestion layer, deterministic finance tools, context-integrity guard, signed receipt service, and standalone offline verifier. It is deployable through Docker Compose on Vultr.</w:t>
      </w:r>
    </w:p>
    <w:p>
      <w:pPr>
        <w:pStyle w:val="Heading1"/>
      </w:pPr>
      <w:r>
        <w:t>2.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7A5B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  <w:shd w:fill="1F7A5B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Frontend</w:t>
            </w:r>
          </w:p>
        </w:tc>
        <w:tc>
          <w:tcPr>
            <w:tcW w:type="dxa" w:w="5040"/>
            <w:vAlign w:val="center"/>
          </w:tcPr>
          <w:p>
            <w:r>
              <w:t>React/Vite workflow UI for evidence, investigation timeline, memo, receipt verification, evaluation, and run history.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FastAPI backend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API routes for running the agent, ingesting evidence, retrieving receipts, evaluation, Vultr status, and TraceMemory history.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Ingestion layer</w:t>
            </w:r>
          </w:p>
        </w:tc>
        <w:tc>
          <w:tcPr>
            <w:tcW w:type="dxa" w:w="5040"/>
            <w:vAlign w:val="center"/>
          </w:tcPr>
          <w:p>
            <w:r>
              <w:t>PDF, DOCX, XLSX, CSV, and image/OCR extraction with provenance and trust classification.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Agent runner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Plan -&gt; retrieve -&gt; calculate -&gt; apply waiver -&gt; cross-check transactions -&gt; decide -&gt; memo.</w:t>
            </w:r>
          </w:p>
        </w:tc>
      </w:tr>
      <w:tr>
        <w:tc>
          <w:tcPr>
            <w:tcW w:type="dxa" w:w="5040"/>
            <w:vAlign w:val="center"/>
          </w:tcPr>
          <w:p>
            <w:r>
              <w:t>Finance tools</w:t>
            </w:r>
          </w:p>
        </w:tc>
        <w:tc>
          <w:tcPr>
            <w:tcW w:type="dxa" w:w="5040"/>
            <w:vAlign w:val="center"/>
          </w:tcPr>
          <w:p>
            <w:r>
              <w:t>Covenant clause retrieval, ratio calculations, waiver application, transaction cause matching.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Context guard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Freshness, prompt injection, source-authority conflicts, retrieval poisoning, PII/sensitive-data checks, domain validation.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TraceMemory</w:t>
            </w:r>
          </w:p>
        </w:tc>
        <w:tc>
          <w:tcPr>
            <w:tcW w:type="dxa" w:w="5040"/>
            <w:vAlign w:val="center"/>
          </w:tcPr>
          <w:p>
            <w:r>
              <w:t>Persistent runs, events, tool calls, warnings, checkpoints, lessons, evaluations, and receipt references.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Receipt service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Canonical JSON receipt, SHA-256 hash, Ed25519 signature, public key, offline verifier.</w:t>
            </w:r>
          </w:p>
        </w:tc>
      </w:tr>
      <w:tr>
        <w:tc>
          <w:tcPr>
            <w:tcW w:type="dxa" w:w="5040"/>
            <w:vAlign w:val="center"/>
          </w:tcPr>
          <w:p>
            <w:r>
              <w:t>Vultr integration</w:t>
            </w:r>
          </w:p>
        </w:tc>
        <w:tc>
          <w:tcPr>
            <w:tcW w:type="dxa" w:w="5040"/>
            <w:vAlign w:val="center"/>
          </w:tcPr>
          <w:p>
            <w:r>
              <w:t>Optional Serverless Inference and RAG/vector path; deterministic fallback if unconfigured.</w:t>
            </w:r>
          </w:p>
        </w:tc>
      </w:tr>
    </w:tbl>
    <w:p/>
    <w:p>
      <w:pPr>
        <w:pStyle w:val="Heading1"/>
      </w:pPr>
      <w:r>
        <w:t>3. Agent workflow specification</w:t>
      </w:r>
    </w:p>
    <w:p>
      <w:pPr>
        <w:pStyle w:val="ListNumber"/>
      </w:pPr>
      <w:r>
        <w:t>Ingest evidence across formats and assign source-provenance trust levels.</w:t>
      </w:r>
    </w:p>
    <w:p>
      <w:pPr>
        <w:pStyle w:val="ListNumber"/>
      </w:pPr>
      <w:r>
        <w:t>Plan the covenant investigation and identify required evidence.</w:t>
      </w:r>
    </w:p>
    <w:p>
      <w:pPr>
        <w:pStyle w:val="ListNumber"/>
      </w:pPr>
      <w:r>
        <w:t>Retrieve the governing covenant clauses from the credit agreement.</w:t>
      </w:r>
    </w:p>
    <w:p>
      <w:pPr>
        <w:pStyle w:val="ListNumber"/>
      </w:pPr>
      <w:r>
        <w:t>Retrieve current and prior financials to establish trend.</w:t>
      </w:r>
    </w:p>
    <w:p>
      <w:pPr>
        <w:pStyle w:val="ListNumber"/>
      </w:pPr>
      <w:r>
        <w:t>Recalculate leverage, interest-cover, and liquidity ratios with deterministic tools.</w:t>
      </w:r>
    </w:p>
    <w:p>
      <w:pPr>
        <w:pStyle w:val="ListNumber"/>
      </w:pPr>
      <w:r>
        <w:t>Apply active signed waivers or amendments to determine effective thresholds.</w:t>
      </w:r>
    </w:p>
    <w:p>
      <w:pPr>
        <w:pStyle w:val="ListNumber"/>
      </w:pPr>
      <w:r>
        <w:t>Cross-check material transactions only where a covenant is drifting or breached.</w:t>
      </w:r>
    </w:p>
    <w:p>
      <w:pPr>
        <w:pStyle w:val="ListNumber"/>
      </w:pPr>
      <w:r>
        <w:t>Run context-integrity checks and surface warnings.</w:t>
      </w:r>
    </w:p>
    <w:p>
      <w:pPr>
        <w:pStyle w:val="ListNumber"/>
      </w:pPr>
      <w:r>
        <w:t>Classify risk, calculate confidence, and generate the escalation memo.</w:t>
      </w:r>
    </w:p>
    <w:p>
      <w:pPr>
        <w:pStyle w:val="ListNumber"/>
      </w:pPr>
      <w:r>
        <w:t>Persist TraceMemory events and produce a signed evidence/governance receipt.</w:t>
      </w:r>
    </w:p>
    <w:p>
      <w:pPr>
        <w:pStyle w:val="Heading1"/>
      </w:pPr>
      <w:r>
        <w:t>4. Tools and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360"/>
            <w:vAlign w:val="center"/>
          </w:tcPr>
          <w:p>
            <w:r>
              <w:t>ingest_evidence</w:t>
            </w:r>
          </w:p>
        </w:tc>
        <w:tc>
          <w:tcPr>
            <w:tcW w:type="dxa" w:w="3360"/>
            <w:vAlign w:val="center"/>
          </w:tcPr>
          <w:p>
            <w:r>
              <w:t>Uploaded or sample files</w:t>
            </w:r>
          </w:p>
        </w:tc>
        <w:tc>
          <w:tcPr>
            <w:tcW w:type="dxa" w:w="3360"/>
            <w:vAlign w:val="center"/>
          </w:tcPr>
          <w:p>
            <w:r>
              <w:t>Parsed documents, format, trust level, citation/provenance, injection findings.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retrieve_covenant_clauses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Query and borrower context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Ranked clauses with thresholds, direction, covenant type, and citations.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get_financials</w:t>
            </w:r>
          </w:p>
        </w:tc>
        <w:tc>
          <w:tcPr>
            <w:tcW w:type="dxa" w:w="3360"/>
            <w:vAlign w:val="center"/>
          </w:tcPr>
          <w:p>
            <w:r>
              <w:t>Periods and borrower</w:t>
            </w:r>
          </w:p>
        </w:tc>
        <w:tc>
          <w:tcPr>
            <w:tcW w:type="dxa" w:w="3360"/>
            <w:vAlign w:val="center"/>
          </w:tcPr>
          <w:p>
            <w:r>
              <w:t>Current/prior financial values and trend evidence.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calculate_ratio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Covenant type and period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Computed ratio, threshold, headroom, breach/drift flags, waiver status.</w:t>
            </w:r>
          </w:p>
        </w:tc>
      </w:tr>
      <w:tr>
        <w:tc>
          <w:tcPr>
            <w:tcW w:type="dxa" w:w="3360"/>
            <w:vAlign w:val="center"/>
          </w:tcPr>
          <w:p>
            <w:r>
              <w:t>cross_check_transactions</w:t>
            </w:r>
          </w:p>
        </w:tc>
        <w:tc>
          <w:tcPr>
            <w:tcW w:type="dxa" w:w="3360"/>
            <w:vAlign w:val="center"/>
          </w:tcPr>
          <w:p>
            <w:r>
              <w:t>Covenant type and period</w:t>
            </w:r>
          </w:p>
        </w:tc>
        <w:tc>
          <w:tcPr>
            <w:tcW w:type="dxa" w:w="3360"/>
            <w:vAlign w:val="center"/>
          </w:tcPr>
          <w:p>
            <w:r>
              <w:t>Matched transactions, causes, unexplained items, confidence.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build_context_health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Selected evidence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Freshness, injection, source conflict, poisoning, and domain warnings.</w:t>
            </w:r>
          </w:p>
        </w:tc>
      </w:tr>
      <w:tr>
        <w:tc>
          <w:tcPr>
            <w:tcW w:type="dxa" w:w="3360"/>
            <w:vAlign w:val="center"/>
          </w:tcPr>
          <w:p>
            <w:r>
              <w:t>build_receipt</w:t>
            </w:r>
          </w:p>
        </w:tc>
        <w:tc>
          <w:tcPr>
            <w:tcW w:type="dxa" w:w="3360"/>
            <w:vAlign w:val="center"/>
          </w:tcPr>
          <w:p>
            <w:r>
              <w:t>Execution trace and memo</w:t>
            </w:r>
          </w:p>
        </w:tc>
        <w:tc>
          <w:tcPr>
            <w:tcW w:type="dxa" w:w="3360"/>
            <w:vAlign w:val="center"/>
          </w:tcPr>
          <w:p>
            <w:r>
              <w:t>Signed, offline-verifiable evidence/governance receipt.</w:t>
            </w:r>
          </w:p>
        </w:tc>
      </w:tr>
    </w:tbl>
    <w:p/>
    <w:p>
      <w:pPr>
        <w:pStyle w:val="Heading1"/>
      </w:pPr>
      <w:r>
        <w:t>5. Data model</w:t>
      </w:r>
    </w:p>
    <w:p>
      <w:pPr>
        <w:pStyle w:val="ListBullet"/>
      </w:pPr>
      <w:r>
        <w:t>Document: filename, format, source type, trust level, extraction method, provenance, page/sheet/row/cell references, injection findings.</w:t>
      </w:r>
    </w:p>
    <w:p>
      <w:pPr>
        <w:pStyle w:val="ListBullet"/>
      </w:pPr>
      <w:r>
        <w:t>Execution trace: task id, trace id, agent id, status, guard path, tool calls, final memo, metadata, citations, findings, evaluation.</w:t>
      </w:r>
    </w:p>
    <w:p>
      <w:pPr>
        <w:pStyle w:val="ListBullet"/>
      </w:pPr>
      <w:r>
        <w:t>Tool call: tool name, inputs, outputs, guard decision, timestamp, citation link.</w:t>
      </w:r>
    </w:p>
    <w:p>
      <w:pPr>
        <w:pStyle w:val="ListBullet"/>
      </w:pPr>
      <w:r>
        <w:t>Checkpoint: recoverable step state used for idempotent resume.</w:t>
      </w:r>
    </w:p>
    <w:p>
      <w:pPr>
        <w:pStyle w:val="ListBullet"/>
      </w:pPr>
      <w:r>
        <w:t>Lesson: curated cause-attribution memory promoted only when the run is safe, high-confidence, and not poisoned.</w:t>
      </w:r>
    </w:p>
    <w:p>
      <w:pPr>
        <w:pStyle w:val="ListBullet"/>
      </w:pPr>
      <w:r>
        <w:t>Receipt: canonical JSON body, content hash, Ed25519 signature, public key, verification instructions.</w:t>
      </w:r>
    </w:p>
    <w:p>
      <w:pPr>
        <w:pStyle w:val="Heading1"/>
      </w:pPr>
      <w:r>
        <w:t>6. Receipt and verification requirements</w:t>
      </w:r>
    </w:p>
    <w:p>
      <w:pPr>
        <w:pStyle w:val="ListBullet"/>
      </w:pPr>
      <w:r>
        <w:t>Every completed run must be able to produce a signed receipt.</w:t>
      </w:r>
    </w:p>
    <w:p>
      <w:pPr>
        <w:pStyle w:val="ListBullet"/>
      </w:pPr>
      <w:r>
        <w:t>Receipt canonicalization must be deterministic: sorted-key, whitespace-free JSON, UTF-8.</w:t>
      </w:r>
    </w:p>
    <w:p>
      <w:pPr>
        <w:pStyle w:val="ListBullet"/>
      </w:pPr>
      <w:r>
        <w:t>The memo hash must be included so tampering is detectable.</w:t>
      </w:r>
    </w:p>
    <w:p>
      <w:pPr>
        <w:pStyle w:val="ListBullet"/>
      </w:pPr>
      <w:r>
        <w:t>The offline verifier must validate a correct receipt and reject a tampered receipt without contacting the server.</w:t>
      </w:r>
    </w:p>
    <w:p>
      <w:pPr>
        <w:pStyle w:val="ListBullet"/>
      </w:pPr>
      <w:r>
        <w:t>The UI must show receipt verification status and a tamper-test moment for the demo.</w:t>
      </w:r>
    </w:p>
    <w:p>
      <w:pPr>
        <w:pStyle w:val="Heading1"/>
      </w:pPr>
      <w:r>
        <w:t>7. Context integrity and security</w:t>
      </w:r>
    </w:p>
    <w:p>
      <w:pPr>
        <w:pStyle w:val="ListBullet"/>
      </w:pPr>
      <w:r>
        <w:t>Retrieved document content is evidence only; it cannot override system instructions.</w:t>
      </w:r>
    </w:p>
    <w:p>
      <w:pPr>
        <w:pStyle w:val="ListBullet"/>
      </w:pPr>
      <w:r>
        <w:t>Prompt-injection-like text in low-trust or borrower-supplied documents is flagged and ignored as instruction.</w:t>
      </w:r>
    </w:p>
    <w:p>
      <w:pPr>
        <w:pStyle w:val="ListBullet"/>
      </w:pPr>
      <w:r>
        <w:t>Signed agreements and signed waivers outrank borrower summaries or unknown documents.</w:t>
      </w:r>
    </w:p>
    <w:p>
      <w:pPr>
        <w:pStyle w:val="ListBullet"/>
      </w:pPr>
      <w:r>
        <w:t>Freshness checks verify whether amendments, waivers, and accounts apply to the current period.</w:t>
      </w:r>
    </w:p>
    <w:p>
      <w:pPr>
        <w:pStyle w:val="ListBullet"/>
      </w:pPr>
      <w:r>
        <w:t>Learning is poisoning-gated: unsafe, flagged, or low-confidence runs cannot promote lessons.</w:t>
      </w:r>
    </w:p>
    <w:p>
      <w:pPr>
        <w:pStyle w:val="ListBullet"/>
      </w:pPr>
      <w:r>
        <w:t>External governance is optional and fail-safe; if unavailable, deterministic local guard continues the run and records the guard path.</w:t>
      </w:r>
    </w:p>
    <w:p>
      <w:pPr>
        <w:pStyle w:val="Heading1"/>
      </w:pPr>
      <w:r>
        <w:t>8.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</w:t>
            </w:r>
          </w:p>
        </w:tc>
        <w:tc>
          <w:tcPr>
            <w:tcW w:type="dxa" w:w="3360"/>
            <w:vAlign w:val="center"/>
          </w:tcPr>
          <w:p>
            <w:r>
              <w:t>/api/covenant/run</w:t>
            </w:r>
          </w:p>
        </w:tc>
        <w:tc>
          <w:tcPr>
            <w:tcW w:type="dxa" w:w="3360"/>
            <w:vAlign w:val="center"/>
          </w:tcPr>
          <w:p>
            <w:r>
              <w:t>Run the covenant agent. Supports learning, attack, and failure simulation flags.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POST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/api/covenant/resume/{task_id}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Resume an interrupted run from checkpoint.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/api/traces/{trace_id}/receipt</w:t>
            </w:r>
          </w:p>
        </w:tc>
        <w:tc>
          <w:tcPr>
            <w:tcW w:type="dxa" w:w="3360"/>
            <w:vAlign w:val="center"/>
          </w:tcPr>
          <w:p>
            <w:r>
              <w:t>Return the signed evidence/governance receipt.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GET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/api/receipts/public-key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Return the Ed25519 public key.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/api/traces/{trace_id}/evaluation</w:t>
            </w:r>
          </w:p>
        </w:tc>
        <w:tc>
          <w:tcPr>
            <w:tcW w:type="dxa" w:w="3360"/>
            <w:vAlign w:val="center"/>
          </w:tcPr>
          <w:p>
            <w:r>
              <w:t>Return evaluation scores, evidence map, and context health.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GET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/api/evidence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Ingest/list evidence with format, trust level, and injection findings.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/api/runs</w:t>
            </w:r>
          </w:p>
        </w:tc>
        <w:tc>
          <w:tcPr>
            <w:tcW w:type="dxa" w:w="3360"/>
            <w:vAlign w:val="center"/>
          </w:tcPr>
          <w:p>
            <w:r>
              <w:t>List persisted TraceMemory runs.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GET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/api/integrations/vultr/status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Show Vultr Serverless Inference status.</w:t>
            </w:r>
          </w:p>
        </w:tc>
      </w:tr>
      <w:tr>
        <w:tc>
          <w:tcPr>
            <w:tcW w:type="dxa" w:w="3360"/>
            <w:vAlign w:val="center"/>
          </w:tcPr>
          <w:p>
            <w:r>
              <w:t>GET</w:t>
            </w:r>
          </w:p>
        </w:tc>
        <w:tc>
          <w:tcPr>
            <w:tcW w:type="dxa" w:w="3360"/>
            <w:vAlign w:val="center"/>
          </w:tcPr>
          <w:p>
            <w:r>
              <w:t>/api/health</w:t>
            </w:r>
          </w:p>
        </w:tc>
        <w:tc>
          <w:tcPr>
            <w:tcW w:type="dxa" w:w="3360"/>
            <w:vAlign w:val="center"/>
          </w:tcPr>
          <w:p>
            <w:r>
              <w:t>Liveness/readiness including guard path.</w:t>
            </w:r>
          </w:p>
        </w:tc>
      </w:tr>
    </w:tbl>
    <w:p/>
    <w:p>
      <w:pPr>
        <w:pStyle w:val="Heading1"/>
      </w:pPr>
      <w:r>
        <w:t>9. Evaluation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7A5B"/>
            <w:vAlign w:val="center"/>
          </w:tcPr>
          <w:p>
            <w:r>
              <w:rPr>
                <w:b/>
              </w:rPr>
              <w:t>Evaluation area</w:t>
            </w:r>
          </w:p>
        </w:tc>
        <w:tc>
          <w:tcPr>
            <w:tcW w:type="dxa" w:w="5040"/>
            <w:shd w:fill="1F7A5B"/>
            <w:vAlign w:val="center"/>
          </w:tcPr>
          <w:p>
            <w:r>
              <w:rPr>
                <w:b/>
              </w:rPr>
              <w:t>Measures</w:t>
            </w:r>
          </w:p>
        </w:tc>
      </w:tr>
      <w:tr>
        <w:tc>
          <w:tcPr>
            <w:tcW w:type="dxa" w:w="5040"/>
            <w:vAlign w:val="center"/>
          </w:tcPr>
          <w:p>
            <w:r>
              <w:t>Agentic workflow</w:t>
            </w:r>
          </w:p>
        </w:tc>
        <w:tc>
          <w:tcPr>
            <w:tcW w:type="dxa" w:w="5040"/>
            <w:vAlign w:val="center"/>
          </w:tcPr>
          <w:p>
            <w:r>
              <w:t>Plan, repeated retrieval, tool calls, decisions, enterprise output.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Document grounding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Citation coverage, source diversity, provenance precision, source trust.</w:t>
            </w:r>
          </w:p>
        </w:tc>
      </w:tr>
      <w:tr>
        <w:tc>
          <w:tcPr>
            <w:tcW w:type="dxa" w:w="5040"/>
            <w:vAlign w:val="center"/>
          </w:tcPr>
          <w:p>
            <w:r>
              <w:t>Calculation correctness</w:t>
            </w:r>
          </w:p>
        </w:tc>
        <w:tc>
          <w:tcPr>
            <w:tcW w:type="dxa" w:w="5040"/>
            <w:vAlign w:val="center"/>
          </w:tcPr>
          <w:p>
            <w:r>
              <w:t>Ratio formula, cited inputs, waiver threshold, rounding tolerance.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Transaction cause matching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Explained vs unexplained material transactions.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Context health</w:t>
            </w:r>
          </w:p>
        </w:tc>
        <w:tc>
          <w:tcPr>
            <w:tcW w:type="dxa" w:w="5040"/>
            <w:vAlign w:val="center"/>
          </w:tcPr>
          <w:p>
            <w:r>
              <w:t>Freshness, injection, poisoning, source conflict, domain validation.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TraceMemory reliability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Persistence, replay, recovery, tool-call and warning coverage.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Verifiability</w:t>
            </w:r>
          </w:p>
        </w:tc>
        <w:tc>
          <w:tcPr>
            <w:tcW w:type="dxa" w:w="5040"/>
            <w:vAlign w:val="center"/>
          </w:tcPr>
          <w:p>
            <w:r>
              <w:t>Receipt generation, signature validity, hash validity, tamper rejection.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Enterprise usefulness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Memo completeness, recommendations, human-review items, exportability.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Demo readiness</w:t>
            </w:r>
          </w:p>
        </w:tc>
        <w:tc>
          <w:tcPr>
            <w:tcW w:type="dxa" w:w="5040"/>
            <w:vAlign w:val="center"/>
          </w:tcPr>
          <w:p>
            <w:r>
              <w:t>Docker startup, evidence load, agent run, memo, receipt verification.</w:t>
            </w:r>
          </w:p>
        </w:tc>
      </w:tr>
    </w:tbl>
    <w:p/>
    <w:p>
      <w:pPr>
        <w:pStyle w:val="Heading1"/>
      </w:pPr>
      <w:r>
        <w:t>10. Deployment</w:t>
      </w:r>
    </w:p>
    <w:p>
      <w:pPr>
        <w:spacing w:after="120"/>
      </w:pPr>
      <w:r>
        <w:t>The app deploys through Docker Compose on Vultr Compute. Services are API, PostgreSQL, and frontend. Optional LLM/RAG workloads use Vultr Serverless Inference because Vultr GPUs are not available for the event. If Vultr inference is not configured, deterministic local reasoning keeps the demo stable.</w:t>
      </w:r>
    </w:p>
    <w:p>
      <w:pPr>
        <w:spacing w:after="120"/>
      </w:pPr>
      <w:r>
        <w:t>Command: docker compose up --build</w:t>
      </w:r>
    </w:p>
    <w:p>
      <w:pPr>
        <w:pStyle w:val="Heading1"/>
      </w:pPr>
      <w:r>
        <w:t>11. Testing requirements</w:t>
      </w:r>
    </w:p>
    <w:p>
      <w:pPr>
        <w:pStyle w:val="ListBullet"/>
      </w:pPr>
      <w:r>
        <w:t>Backend tests pass before packaging.</w:t>
      </w:r>
    </w:p>
    <w:p>
      <w:pPr>
        <w:pStyle w:val="ListBullet"/>
      </w:pPr>
      <w:r>
        <w:t>Receipt verifier accepts valid receipt and rejects tampered receipt.</w:t>
      </w:r>
    </w:p>
    <w:p>
      <w:pPr>
        <w:pStyle w:val="ListBullet"/>
      </w:pPr>
      <w:r>
        <w:t>Evidence ingestion parses/lists the supported evidence pack.</w:t>
      </w:r>
    </w:p>
    <w:p>
      <w:pPr>
        <w:pStyle w:val="ListBullet"/>
      </w:pPr>
      <w:r>
        <w:t>Run and evaluation endpoints return memo, evidence map, context health, and readiness score.</w:t>
      </w:r>
    </w:p>
    <w:p>
      <w:pPr>
        <w:pStyle w:val="ListBullet"/>
      </w:pPr>
      <w:r>
        <w:t>Recovery simulation resumes without duplicating actions.</w:t>
      </w:r>
    </w:p>
    <w:p>
      <w:pPr>
        <w:pStyle w:val="ListBullet"/>
      </w:pPr>
      <w:r>
        <w:t>Injection demo catches malicious instruction and continues safely.</w:t>
      </w:r>
    </w:p>
    <w:p>
      <w:pPr>
        <w:pStyle w:val="ListBullet"/>
      </w:pPr>
      <w:r>
        <w:t>Vultr status endpoint clearly shows configured/unconfigured/fallback state.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CovenantOps Agent - Confidential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