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机械键盘售后与保修政策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9"/>
        </w:rPr>
        <w:t>青轴客制化键盘店 | RAGFlow PoC 测试知识文档 | 版本 2026-06-29</w:t>
      </w:r>
    </w:p>
    <w:p>
      <w:pPr>
        <w:pStyle w:val="Heading1"/>
      </w:pPr>
      <w:r>
        <w:t>1. 适用范围</w:t>
      </w:r>
    </w:p>
    <w:p>
      <w:r>
        <w:t>本政策适用于青轴客制化键盘店销售的 K87 Pro、K98 Max、K68 Lite 以及店铺随键盘销售的原装轴体、数据线、接收器和拔键拔轴工具。单独销售的键帽套装适用独立键帽售后规则。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本政策用于客服答复、售后初筛和 RAG 检索测试，不代表真实商家最终承诺。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客户咨询涉及金额、赔付、平台争议或投诉时，应引导提供订单号并由人工复核。</w:t>
      </w:r>
    </w:p>
    <w:p>
      <w:pPr>
        <w:pStyle w:val="Heading1"/>
      </w:pPr>
      <w:r>
        <w:t>2. 7 天内质量问题处理</w:t>
      </w:r>
    </w:p>
    <w:p>
      <w:r>
        <w:t>客户签收后 7 天内，如键盘出现非人为质量问题，可根据问题程度安排换新、补发配件、维修或退货。常见非人为质量问题包括：单个按键完全不触发、多个按键连击、蓝牙无法被任何设备搜索到、有线连接无反应、外壳明显破裂且外包装无二次拆封痕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客户需要提供故障视频，视频应包含订单商品、问题按键或连接方式、完整操作过程。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如果只是轴体松动、键帽未按紧或接收器未插稳，客服应先引导客户重新安装和排查。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签收 7 天内确认质量问题且配件可解决时，优先补发轴体、键帽、接收器或数据线。</w:t>
      </w:r>
    </w:p>
    <w:p>
      <w:pPr>
        <w:pStyle w:val="Heading1"/>
      </w:pPr>
      <w:r>
        <w:t>3. 一年有限保修</w:t>
      </w:r>
    </w:p>
    <w:p>
      <w:r>
        <w:t>键盘主体自签收日起享受一年有限保修。有限保修覆盖正常使用下出现的 PCB 故障、无线模块故障、充电异常和非人为按键失灵。保修处理方式包括远程排查、寄回检测、维修、更换同型号或等值型号。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保修期内寄回检测前，客户需先提供订单号、故障视频和当前连接方式。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若检测为非人为质量问题，店铺承担维修费用；寄送运费按平台售后规则和客服确认结果处理。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若检测为人为损坏，可提供有偿维修报价，客户确认后再维修。</w:t>
      </w:r>
    </w:p>
    <w:p>
      <w:pPr>
        <w:pStyle w:val="Heading1"/>
      </w:pPr>
      <w:r>
        <w:t>4. 不属于免费保修的情况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进水、受潮、饮料泼洒、明显腐蚀导致的故障。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摔落、挤压、外壳破裂、接口变形等人为或外力损坏。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自行拆解、改焊、飞线、改电池、改结构棉后产生的问题。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使用非标充电器、过压供电或不合规转接器造成的损坏。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正常使用磨损，例如键帽轻微打油、外壳细小划痕、脚撑橡胶磨损。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客户自行更换第三方轴体或键帽造成的轴座损坏、卫星轴松动或大键异响。</w:t>
      </w:r>
    </w:p>
    <w:p>
      <w:pPr>
        <w:pStyle w:val="Heading1"/>
      </w:pPr>
      <w:r>
        <w:t>5. 售后初筛表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客户描述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优先判断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客服动作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可回复口径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一个键不触发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可能是轴体或轴座问题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让客户换轴测试并提供视频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签收 7 天内确认质量问题可补发轴体或进一步售后。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无线连不上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可能是模式或配对问题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先重置蓝牙/2.4G，换设备测试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请先按说明重置连接，我们会根据排查结果继续处理。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大键有杂音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可能是卫星轴调校差异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确认是否影响正常输入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轻微声音差异不影响使用，明显异常可提供视频核实。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进水后失灵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人为/意外损坏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询问进水时间和现象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进水不属于免费保修，可协助评估有偿维修。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自己拆开改棉后故障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改装风险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确认拆解和改装内容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自行拆解改装导致的问题不在免费保修范围内。</w:t>
            </w:r>
          </w:p>
        </w:tc>
      </w:tr>
    </w:tbl>
    <w:p>
      <w:pPr>
        <w:pStyle w:val="Heading1"/>
      </w:pPr>
      <w:r>
        <w:t>6. 客服回复原则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先确认签收时间、订单号、型号、连接方式和问题复现条件。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涉及质量问题时，不要直接承诺退款或换新，应先要求客户提供视频或照片。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涉及人为损坏、进水、拆改时，应说明可能不属于免费保修，并提供人工核实入口。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语气保持友好，避免使用“肯定不能”“绝对不行”等容易激化争议的表达。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