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rtl w:val="0"/>
        </w:rPr>
      </w:r>
    </w:p>
    <w:tbl>
      <w:tblPr>
        <w:tblStyle w:val="Table1"/>
        <w:tblW w:w="8498.0" w:type="dxa"/>
        <w:jc w:val="center"/>
        <w:tblLayout w:type="fixed"/>
        <w:tblLook w:val="0400"/>
      </w:tblPr>
      <w:tblGrid>
        <w:gridCol w:w="8498"/>
        <w:tblGridChange w:id="0">
          <w:tblGrid>
            <w:gridCol w:w="8498"/>
          </w:tblGrid>
        </w:tblGridChange>
      </w:tblGrid>
      <w:tr>
        <w:trPr>
          <w:trHeight w:val="2880" w:hRule="atLeast"/>
        </w:trPr>
        <w:tc>
          <w:tcPr/>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rtl w:val="0"/>
              </w:rPr>
            </w:r>
          </w:p>
          <w:tbl>
            <w:tblPr>
              <w:tblStyle w:val="Table2"/>
              <w:tblW w:w="8282.0" w:type="dxa"/>
              <w:jc w:val="left"/>
              <w:tblBorders>
                <w:top w:color="000000" w:space="0" w:sz="12" w:val="single"/>
                <w:bottom w:color="000000" w:space="0" w:sz="12" w:val="single"/>
                <w:insideH w:color="000000" w:space="0" w:sz="6" w:val="single"/>
              </w:tblBorders>
              <w:tblLayout w:type="fixed"/>
              <w:tblLook w:val="0400"/>
            </w:tblPr>
            <w:tblGrid>
              <w:gridCol w:w="8282"/>
              <w:tblGridChange w:id="0">
                <w:tblGrid>
                  <w:gridCol w:w="8282"/>
                </w:tblGrid>
              </w:tblGridChange>
            </w:tblGrid>
            <w:tr>
              <w:trPr>
                <w:trHeight w:val="987" w:hRule="atLeast"/>
              </w:trPr>
              <w:tc>
                <w:tcPr>
                  <w:tcBorders>
                    <w:bottom w:color="000000" w:space="0" w:sz="12" w:val="single"/>
                  </w:tcBorders>
                  <w:shd w:fill="auto" w:val="clear"/>
                  <w:vAlign w:val="center"/>
                </w:tcPr>
                <w:p w:rsidR="00000000" w:rsidDel="00000000" w:rsidP="00000000" w:rsidRDefault="00000000" w:rsidRPr="00000000" w14:paraId="0000000E">
                  <w:pPr>
                    <w:shd w:fill="ffffff" w:val="clear"/>
                    <w:spacing w:line="276" w:lineRule="auto"/>
                    <w:ind w:right="13"/>
                    <w:jc w:val="center"/>
                    <w:rPr>
                      <w:b w:val="1"/>
                      <w:sz w:val="22"/>
                      <w:szCs w:val="22"/>
                      <w:u w:val="single"/>
                    </w:rPr>
                  </w:pPr>
                  <w:r w:rsidDel="00000000" w:rsidR="00000000" w:rsidRPr="00000000">
                    <w:rPr>
                      <w:b w:val="1"/>
                      <w:color w:val="000000"/>
                      <w:sz w:val="22"/>
                      <w:szCs w:val="22"/>
                      <w:rtl w:val="0"/>
                    </w:rPr>
                    <w:t xml:space="preserve">PROTOCOLO ADMINISTRATIVO PARA EL MANEJO DE RESIDUOS PELIGROSOS POR COVID EN EL IGP</w:t>
                  </w:r>
                  <w:r w:rsidDel="00000000" w:rsidR="00000000" w:rsidRPr="00000000">
                    <w:rPr>
                      <w:rtl w:val="0"/>
                    </w:rPr>
                  </w:r>
                </w:p>
              </w:tc>
            </w:tr>
          </w:tbl>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line="276" w:lineRule="auto"/>
              <w:jc w:val="center"/>
              <w:rPr>
                <w:smallCaps w:val="1"/>
                <w:sz w:val="22"/>
                <w:szCs w:val="22"/>
              </w:rPr>
            </w:pPr>
            <w:r w:rsidDel="00000000" w:rsidR="00000000" w:rsidRPr="00000000">
              <w:rPr>
                <w:smallCaps w:val="1"/>
                <w:sz w:val="22"/>
                <w:szCs w:val="22"/>
                <w:rtl w:val="0"/>
              </w:rPr>
              <w:t xml:space="preserve"> </w:t>
            </w:r>
          </w:p>
        </w:tc>
      </w:tr>
      <w:tr>
        <w:trPr>
          <w:trHeight w:val="80" w:hRule="atLeast"/>
        </w:trPr>
        <w:tc>
          <w:tcPr>
            <w:tcBorders>
              <w:bottom w:color="5b9bd5" w:space="0" w:sz="4" w:val="single"/>
            </w:tcBorders>
            <w:shd w:fill="auto" w:val="clear"/>
            <w:vAlign w:val="center"/>
          </w:tcPr>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pacing w:line="276" w:lineRule="auto"/>
              <w:jc w:val="center"/>
              <w:rPr>
                <w:sz w:val="22"/>
                <w:szCs w:val="22"/>
              </w:rPr>
            </w:pPr>
            <w:r w:rsidDel="00000000" w:rsidR="00000000" w:rsidRPr="00000000">
              <w:rPr>
                <w:rtl w:val="0"/>
              </w:rPr>
            </w:r>
          </w:p>
        </w:tc>
      </w:tr>
      <w:tr>
        <w:trPr>
          <w:trHeight w:val="720" w:hRule="atLeast"/>
        </w:trPr>
        <w:tc>
          <w:tcPr>
            <w:tcBorders>
              <w:top w:color="5b9bd5" w:space="0" w:sz="4" w:val="single"/>
            </w:tcBorders>
            <w:vAlign w:val="center"/>
          </w:tcPr>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pacing w:line="276" w:lineRule="auto"/>
              <w:jc w:val="center"/>
              <w:rPr>
                <w:sz w:val="22"/>
                <w:szCs w:val="22"/>
              </w:rPr>
            </w:pPr>
            <w:r w:rsidDel="00000000" w:rsidR="00000000" w:rsidRPr="00000000">
              <w:rPr>
                <w:b w:val="1"/>
                <w:sz w:val="22"/>
                <w:szCs w:val="22"/>
                <w:rtl w:val="0"/>
              </w:rPr>
              <w:t xml:space="preserve">     </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pacing w:line="276" w:lineRule="auto"/>
              <w:jc w:val="center"/>
              <w:rPr>
                <w:sz w:val="22"/>
                <w:szCs w:val="22"/>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line="276" w:lineRule="auto"/>
              <w:rPr>
                <w:b w:val="1"/>
                <w:sz w:val="22"/>
                <w:szCs w:val="22"/>
              </w:rPr>
            </w:pPr>
            <w:r w:rsidDel="00000000" w:rsidR="00000000" w:rsidRPr="00000000">
              <w:rPr>
                <w:rtl w:val="0"/>
              </w:rPr>
            </w:r>
          </w:p>
        </w:tc>
      </w:tr>
    </w:tbl>
    <w:p w:rsidR="00000000" w:rsidDel="00000000" w:rsidP="00000000" w:rsidRDefault="00000000" w:rsidRPr="00000000" w14:paraId="00000015">
      <w:pPr>
        <w:spacing w:line="276" w:lineRule="auto"/>
        <w:jc w:val="center"/>
        <w:rPr>
          <w:sz w:val="22"/>
          <w:szCs w:val="22"/>
        </w:rPr>
      </w:pPr>
      <w:r w:rsidDel="00000000" w:rsidR="00000000" w:rsidRPr="00000000">
        <w:rPr>
          <w:sz w:val="22"/>
          <w:szCs w:val="22"/>
          <w:rtl w:val="0"/>
        </w:rPr>
        <w:t xml:space="preserve">Versión 01</w:t>
      </w:r>
    </w:p>
    <w:p w:rsidR="00000000" w:rsidDel="00000000" w:rsidP="00000000" w:rsidRDefault="00000000" w:rsidRPr="00000000" w14:paraId="00000016">
      <w:pPr>
        <w:spacing w:line="276" w:lineRule="auto"/>
        <w:rPr>
          <w:sz w:val="22"/>
          <w:szCs w:val="22"/>
        </w:rPr>
      </w:pPr>
      <w:r w:rsidDel="00000000" w:rsidR="00000000" w:rsidRPr="00000000">
        <w:rPr>
          <w:rtl w:val="0"/>
        </w:rPr>
      </w:r>
    </w:p>
    <w:p w:rsidR="00000000" w:rsidDel="00000000" w:rsidP="00000000" w:rsidRDefault="00000000" w:rsidRPr="00000000" w14:paraId="00000017">
      <w:pPr>
        <w:spacing w:line="276" w:lineRule="auto"/>
        <w:rPr>
          <w:sz w:val="22"/>
          <w:szCs w:val="22"/>
        </w:rPr>
      </w:pPr>
      <w:r w:rsidDel="00000000" w:rsidR="00000000" w:rsidRPr="00000000">
        <w:rPr>
          <w:rtl w:val="0"/>
        </w:rPr>
      </w:r>
    </w:p>
    <w:p w:rsidR="00000000" w:rsidDel="00000000" w:rsidP="00000000" w:rsidRDefault="00000000" w:rsidRPr="00000000" w14:paraId="00000018">
      <w:pPr>
        <w:widowControl w:val="1"/>
        <w:spacing w:after="200"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jc w:val="center"/>
        <w:rPr>
          <w:b w:val="1"/>
          <w:sz w:val="22"/>
          <w:szCs w:val="22"/>
          <w:u w:val="single"/>
        </w:rPr>
      </w:pPr>
      <w:r w:rsidDel="00000000" w:rsidR="00000000" w:rsidRPr="00000000">
        <w:rPr>
          <w:rtl w:val="0"/>
        </w:rPr>
      </w:r>
    </w:p>
    <w:p w:rsidR="00000000" w:rsidDel="00000000" w:rsidP="00000000" w:rsidRDefault="00000000" w:rsidRPr="00000000" w14:paraId="0000001A">
      <w:pPr>
        <w:spacing w:line="276" w:lineRule="auto"/>
        <w:jc w:val="center"/>
        <w:rPr>
          <w:b w:val="1"/>
          <w:sz w:val="22"/>
          <w:szCs w:val="22"/>
        </w:rPr>
      </w:pPr>
      <w:r w:rsidDel="00000000" w:rsidR="00000000" w:rsidRPr="00000000">
        <w:rPr>
          <w:b w:val="1"/>
          <w:sz w:val="22"/>
          <w:szCs w:val="22"/>
          <w:rtl w:val="0"/>
        </w:rPr>
        <w:t xml:space="preserve">PROTOCOLO Nº 005-2020- IGP/OAD</w:t>
      </w:r>
    </w:p>
    <w:p w:rsidR="00000000" w:rsidDel="00000000" w:rsidP="00000000" w:rsidRDefault="00000000" w:rsidRPr="00000000" w14:paraId="0000001B">
      <w:pPr>
        <w:spacing w:line="276" w:lineRule="auto"/>
        <w:jc w:val="center"/>
        <w:rPr>
          <w:b w:val="1"/>
          <w:sz w:val="22"/>
          <w:szCs w:val="22"/>
          <w:u w:val="single"/>
        </w:rPr>
      </w:pPr>
      <w:r w:rsidDel="00000000" w:rsidR="00000000" w:rsidRPr="00000000">
        <w:rPr>
          <w:rtl w:val="0"/>
        </w:rPr>
      </w:r>
    </w:p>
    <w:tbl>
      <w:tblPr>
        <w:tblStyle w:val="Table3"/>
        <w:tblW w:w="8498.0" w:type="dxa"/>
        <w:jc w:val="left"/>
        <w:tblInd w:w="0.0" w:type="dxa"/>
        <w:tblBorders>
          <w:top w:color="000000" w:space="0" w:sz="12" w:val="single"/>
          <w:bottom w:color="000000" w:space="0" w:sz="12" w:val="single"/>
          <w:insideH w:color="000000" w:space="0" w:sz="6" w:val="single"/>
        </w:tblBorders>
        <w:tblLayout w:type="fixed"/>
        <w:tblLook w:val="0400"/>
      </w:tblPr>
      <w:tblGrid>
        <w:gridCol w:w="8498"/>
        <w:tblGridChange w:id="0">
          <w:tblGrid>
            <w:gridCol w:w="8498"/>
          </w:tblGrid>
        </w:tblGridChange>
      </w:tblGrid>
      <w:tr>
        <w:trPr>
          <w:trHeight w:val="987" w:hRule="atLeast"/>
        </w:trPr>
        <w:tc>
          <w:tcPr>
            <w:tcBorders>
              <w:bottom w:color="000000" w:space="0" w:sz="12" w:val="single"/>
            </w:tcBorders>
            <w:shd w:fill="auto" w:val="clear"/>
            <w:vAlign w:val="center"/>
          </w:tcPr>
          <w:p w:rsidR="00000000" w:rsidDel="00000000" w:rsidP="00000000" w:rsidRDefault="00000000" w:rsidRPr="00000000" w14:paraId="0000001C">
            <w:pPr>
              <w:shd w:fill="ffffff" w:val="clear"/>
              <w:spacing w:line="276" w:lineRule="auto"/>
              <w:ind w:right="13"/>
              <w:jc w:val="center"/>
              <w:rPr>
                <w:b w:val="1"/>
                <w:sz w:val="22"/>
                <w:szCs w:val="22"/>
                <w:u w:val="single"/>
              </w:rPr>
            </w:pPr>
            <w:r w:rsidDel="00000000" w:rsidR="00000000" w:rsidRPr="00000000">
              <w:rPr>
                <w:b w:val="1"/>
                <w:color w:val="000000"/>
                <w:sz w:val="22"/>
                <w:szCs w:val="22"/>
                <w:rtl w:val="0"/>
              </w:rPr>
              <w:t xml:space="preserve">PROTOCOLO ADMINISTRATIVO PARA EL MANEJO DE RESIDUOS PELIGROSOS POR COVID EN EL IGP</w:t>
            </w:r>
            <w:r w:rsidDel="00000000" w:rsidR="00000000" w:rsidRPr="00000000">
              <w:rPr>
                <w:rtl w:val="0"/>
              </w:rPr>
            </w:r>
          </w:p>
        </w:tc>
      </w:tr>
    </w:tbl>
    <w:p w:rsidR="00000000" w:rsidDel="00000000" w:rsidP="00000000" w:rsidRDefault="00000000" w:rsidRPr="00000000" w14:paraId="0000001D">
      <w:pPr>
        <w:spacing w:line="276" w:lineRule="auto"/>
        <w:jc w:val="center"/>
        <w:rPr>
          <w:b w:val="1"/>
          <w:sz w:val="22"/>
          <w:szCs w:val="22"/>
          <w:u w:val="single"/>
        </w:rPr>
      </w:pPr>
      <w:r w:rsidDel="00000000" w:rsidR="00000000" w:rsidRPr="00000000">
        <w:rPr>
          <w:rtl w:val="0"/>
        </w:rPr>
      </w:r>
    </w:p>
    <w:p w:rsidR="00000000" w:rsidDel="00000000" w:rsidP="00000000" w:rsidRDefault="00000000" w:rsidRPr="00000000" w14:paraId="0000001E">
      <w:pPr>
        <w:spacing w:line="276" w:lineRule="auto"/>
        <w:jc w:val="center"/>
        <w:rPr>
          <w:b w:val="1"/>
          <w:sz w:val="22"/>
          <w:szCs w:val="22"/>
          <w:u w:val="single"/>
        </w:rPr>
      </w:pPr>
      <w:r w:rsidDel="00000000" w:rsidR="00000000" w:rsidRPr="00000000">
        <w:rPr>
          <w:rtl w:val="0"/>
        </w:rPr>
      </w:r>
    </w:p>
    <w:p w:rsidR="00000000" w:rsidDel="00000000" w:rsidP="00000000" w:rsidRDefault="00000000" w:rsidRPr="00000000" w14:paraId="0000001F">
      <w:pPr>
        <w:spacing w:line="276" w:lineRule="auto"/>
        <w:jc w:val="center"/>
        <w:rPr>
          <w:b w:val="1"/>
          <w:sz w:val="22"/>
          <w:szCs w:val="22"/>
          <w:u w:val="single"/>
        </w:rPr>
      </w:pPr>
      <w:r w:rsidDel="00000000" w:rsidR="00000000" w:rsidRPr="00000000">
        <w:rPr>
          <w:rtl w:val="0"/>
        </w:rPr>
      </w:r>
    </w:p>
    <w:p w:rsidR="00000000" w:rsidDel="00000000" w:rsidP="00000000" w:rsidRDefault="00000000" w:rsidRPr="00000000" w14:paraId="00000020">
      <w:pPr>
        <w:shd w:fill="ffffff" w:val="clear"/>
        <w:spacing w:line="276" w:lineRule="auto"/>
        <w:ind w:right="13"/>
        <w:jc w:val="center"/>
        <w:rPr>
          <w:sz w:val="22"/>
          <w:szCs w:val="22"/>
        </w:rPr>
      </w:pPr>
      <w:r w:rsidDel="00000000" w:rsidR="00000000" w:rsidRPr="00000000">
        <w:rPr>
          <w:rtl w:val="0"/>
        </w:rPr>
      </w:r>
    </w:p>
    <w:tbl>
      <w:tblPr>
        <w:tblStyle w:val="Table4"/>
        <w:tblW w:w="871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3"/>
        <w:gridCol w:w="2977"/>
        <w:gridCol w:w="2798"/>
        <w:tblGridChange w:id="0">
          <w:tblGrid>
            <w:gridCol w:w="2943"/>
            <w:gridCol w:w="2977"/>
            <w:gridCol w:w="2798"/>
          </w:tblGrid>
        </w:tblGridChange>
      </w:tblGrid>
      <w:tr>
        <w:trPr>
          <w:trHeight w:val="322"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1">
            <w:pPr>
              <w:spacing w:line="276" w:lineRule="auto"/>
              <w:jc w:val="center"/>
              <w:rPr>
                <w:b w:val="1"/>
                <w:sz w:val="22"/>
                <w:szCs w:val="22"/>
              </w:rPr>
            </w:pPr>
            <w:r w:rsidDel="00000000" w:rsidR="00000000" w:rsidRPr="00000000">
              <w:rPr>
                <w:b w:val="1"/>
                <w:sz w:val="22"/>
                <w:szCs w:val="22"/>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2">
            <w:pPr>
              <w:spacing w:line="276" w:lineRule="auto"/>
              <w:jc w:val="center"/>
              <w:rPr>
                <w:b w:val="1"/>
                <w:sz w:val="22"/>
                <w:szCs w:val="22"/>
              </w:rPr>
            </w:pPr>
            <w:r w:rsidDel="00000000" w:rsidR="00000000" w:rsidRPr="00000000">
              <w:rPr>
                <w:b w:val="1"/>
                <w:sz w:val="22"/>
                <w:szCs w:val="22"/>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3">
            <w:pPr>
              <w:spacing w:line="276" w:lineRule="auto"/>
              <w:jc w:val="center"/>
              <w:rPr>
                <w:b w:val="1"/>
                <w:sz w:val="22"/>
                <w:szCs w:val="22"/>
              </w:rPr>
            </w:pPr>
            <w:r w:rsidDel="00000000" w:rsidR="00000000" w:rsidRPr="00000000">
              <w:rPr>
                <w:b w:val="1"/>
                <w:sz w:val="22"/>
                <w:szCs w:val="22"/>
                <w:rtl w:val="0"/>
              </w:rPr>
              <w:t xml:space="preserve">DESCRIPCIÓN</w:t>
            </w:r>
          </w:p>
        </w:tc>
      </w:tr>
      <w:tr>
        <w:trPr>
          <w:trHeight w:val="762"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line="276" w:lineRule="auto"/>
              <w:jc w:val="center"/>
              <w:rPr>
                <w:sz w:val="22"/>
                <w:szCs w:val="22"/>
              </w:rPr>
            </w:pPr>
            <w:r w:rsidDel="00000000" w:rsidR="00000000" w:rsidRPr="00000000">
              <w:rPr>
                <w:sz w:val="22"/>
                <w:szCs w:val="22"/>
                <w:rtl w:val="0"/>
              </w:rPr>
              <w:t xml:space="preserve">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line="276" w:lineRule="auto"/>
              <w:jc w:val="center"/>
              <w:rPr>
                <w:sz w:val="22"/>
                <w:szCs w:val="22"/>
              </w:rPr>
            </w:pPr>
            <w:r w:rsidDel="00000000" w:rsidR="00000000" w:rsidRPr="00000000">
              <w:rPr>
                <w:sz w:val="22"/>
                <w:szCs w:val="22"/>
                <w:rtl w:val="0"/>
              </w:rPr>
              <w:t xml:space="preserve">27/07/2020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line="276" w:lineRule="auto"/>
              <w:jc w:val="center"/>
              <w:rPr>
                <w:sz w:val="22"/>
                <w:szCs w:val="22"/>
              </w:rPr>
            </w:pPr>
            <w:r w:rsidDel="00000000" w:rsidR="00000000" w:rsidRPr="00000000">
              <w:rPr>
                <w:sz w:val="22"/>
                <w:szCs w:val="22"/>
                <w:rtl w:val="0"/>
              </w:rPr>
              <w:t xml:space="preserve">Documento Inicial</w:t>
            </w:r>
          </w:p>
        </w:tc>
      </w:tr>
      <w:tr>
        <w:trPr>
          <w:trHeight w:val="762"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line="276" w:lineRule="auto"/>
              <w:rPr>
                <w:sz w:val="22"/>
                <w:szCs w:val="22"/>
              </w:rPr>
            </w:pPr>
            <w:r w:rsidDel="00000000" w:rsidR="00000000" w:rsidRPr="00000000">
              <w:rPr>
                <w:sz w:val="22"/>
                <w:szCs w:val="22"/>
                <w:rtl w:val="0"/>
              </w:rPr>
              <w:t xml:space="preserve">Aprobado con Acta N° 005-2020-CSST</w:t>
            </w:r>
          </w:p>
        </w:tc>
      </w:tr>
      <w:tr>
        <w:trPr>
          <w:trHeight w:val="656"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A">
            <w:pPr>
              <w:spacing w:line="276" w:lineRule="auto"/>
              <w:jc w:val="center"/>
              <w:rPr>
                <w:sz w:val="22"/>
                <w:szCs w:val="22"/>
              </w:rPr>
            </w:pPr>
            <w:r w:rsidDel="00000000" w:rsidR="00000000" w:rsidRPr="00000000">
              <w:rPr>
                <w:sz w:val="22"/>
                <w:szCs w:val="22"/>
                <w:rtl w:val="0"/>
              </w:rPr>
              <w:t xml:space="preserve">FORMULADO</w:t>
              <w:br w:type="textWrapping"/>
            </w:r>
            <w:r w:rsidDel="00000000" w:rsidR="00000000" w:rsidRPr="00000000">
              <w:rPr>
                <w:b w:val="1"/>
                <w:sz w:val="22"/>
                <w:szCs w:val="22"/>
                <w:rtl w:val="0"/>
              </w:rPr>
              <w:t xml:space="preserve">UNIDAD DE RECURSOS HUMANOS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pacing w:after="28" w:line="276" w:lineRule="auto"/>
              <w:ind w:right="48"/>
              <w:jc w:val="center"/>
              <w:rPr>
                <w:b w:val="1"/>
                <w:sz w:val="22"/>
                <w:szCs w:val="22"/>
              </w:rPr>
            </w:pPr>
            <w:r w:rsidDel="00000000" w:rsidR="00000000" w:rsidRPr="00000000">
              <w:rPr>
                <w:sz w:val="22"/>
                <w:szCs w:val="22"/>
                <w:rtl w:val="0"/>
              </w:rPr>
              <w:t xml:space="preserve">APROBADO</w:t>
              <w:br w:type="textWrapping"/>
            </w:r>
            <w:r w:rsidDel="00000000" w:rsidR="00000000" w:rsidRPr="00000000">
              <w:rPr>
                <w:b w:val="1"/>
                <w:sz w:val="22"/>
                <w:szCs w:val="22"/>
                <w:rtl w:val="0"/>
              </w:rPr>
              <w:t xml:space="preserve">COMITÉ DE SEGURIDAD Y SALUD EN TRABAJO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pacing w:after="28" w:line="276" w:lineRule="auto"/>
              <w:ind w:right="48"/>
              <w:jc w:val="center"/>
              <w:rPr>
                <w:sz w:val="22"/>
                <w:szCs w:val="22"/>
              </w:rPr>
            </w:pPr>
            <w:r w:rsidDel="00000000" w:rsidR="00000000" w:rsidRPr="00000000">
              <w:rPr>
                <w:sz w:val="22"/>
                <w:szCs w:val="22"/>
                <w:rtl w:val="0"/>
              </w:rPr>
              <w:t xml:space="preserve">FORMALIZADO</w:t>
              <w:br w:type="textWrapping"/>
            </w:r>
            <w:r w:rsidDel="00000000" w:rsidR="00000000" w:rsidRPr="00000000">
              <w:rPr>
                <w:b w:val="1"/>
                <w:sz w:val="22"/>
                <w:szCs w:val="22"/>
                <w:rtl w:val="0"/>
              </w:rPr>
              <w:t xml:space="preserve">OFICINA DE ADMINISTRACIÓN</w:t>
            </w:r>
            <w:r w:rsidDel="00000000" w:rsidR="00000000" w:rsidRPr="00000000">
              <w:rPr>
                <w:rtl w:val="0"/>
              </w:rPr>
            </w:r>
          </w:p>
        </w:tc>
      </w:tr>
      <w:tr>
        <w:trPr>
          <w:trHeight w:val="414"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pacing w:after="247" w:line="276" w:lineRule="auto"/>
              <w:ind w:right="23"/>
              <w:jc w:val="center"/>
              <w:rPr>
                <w:sz w:val="22"/>
                <w:szCs w:val="22"/>
              </w:rPr>
            </w:pP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pacing w:after="247" w:line="276" w:lineRule="auto"/>
              <w:ind w:right="23"/>
              <w:jc w:val="center"/>
              <w:rPr>
                <w:sz w:val="22"/>
                <w:szCs w:val="22"/>
              </w:rPr>
            </w:pP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pacing w:after="247" w:line="276" w:lineRule="auto"/>
              <w:ind w:right="23"/>
              <w:jc w:val="center"/>
              <w:rPr>
                <w:sz w:val="22"/>
                <w:szCs w:val="22"/>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after="247" w:line="276" w:lineRule="auto"/>
              <w:ind w:right="23"/>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pacing w:after="247" w:line="276" w:lineRule="auto"/>
              <w:ind w:right="23"/>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pacing w:after="247" w:line="276" w:lineRule="auto"/>
              <w:ind w:right="23"/>
              <w:jc w:val="center"/>
              <w:rPr>
                <w:sz w:val="22"/>
                <w:szCs w:val="22"/>
              </w:rPr>
            </w:pPr>
            <w:r w:rsidDel="00000000" w:rsidR="00000000" w:rsidRPr="00000000">
              <w:rPr>
                <w:rtl w:val="0"/>
              </w:rPr>
            </w:r>
          </w:p>
        </w:tc>
      </w:tr>
    </w:tbl>
    <w:p w:rsidR="00000000" w:rsidDel="00000000" w:rsidP="00000000" w:rsidRDefault="00000000" w:rsidRPr="00000000" w14:paraId="00000033">
      <w:pPr>
        <w:shd w:fill="ffffff" w:val="clear"/>
        <w:spacing w:line="276" w:lineRule="auto"/>
        <w:ind w:right="13"/>
        <w:jc w:val="center"/>
        <w:rPr>
          <w:sz w:val="22"/>
          <w:szCs w:val="22"/>
        </w:rPr>
      </w:pPr>
      <w:r w:rsidDel="00000000" w:rsidR="00000000" w:rsidRPr="00000000">
        <w:rPr>
          <w:rtl w:val="0"/>
        </w:rPr>
      </w:r>
    </w:p>
    <w:p w:rsidR="00000000" w:rsidDel="00000000" w:rsidP="00000000" w:rsidRDefault="00000000" w:rsidRPr="00000000" w14:paraId="00000034">
      <w:pPr>
        <w:shd w:fill="ffffff" w:val="clear"/>
        <w:spacing w:line="276" w:lineRule="auto"/>
        <w:ind w:right="13"/>
        <w:jc w:val="center"/>
        <w:rPr>
          <w:sz w:val="22"/>
          <w:szCs w:val="22"/>
        </w:rPr>
      </w:pPr>
      <w:r w:rsidDel="00000000" w:rsidR="00000000" w:rsidRPr="00000000">
        <w:rPr>
          <w:rtl w:val="0"/>
        </w:rPr>
      </w:r>
    </w:p>
    <w:p w:rsidR="00000000" w:rsidDel="00000000" w:rsidP="00000000" w:rsidRDefault="00000000" w:rsidRPr="00000000" w14:paraId="00000035">
      <w:pPr>
        <w:shd w:fill="ffffff" w:val="clear"/>
        <w:spacing w:line="276" w:lineRule="auto"/>
        <w:ind w:right="13"/>
        <w:jc w:val="center"/>
        <w:rPr>
          <w:sz w:val="22"/>
          <w:szCs w:val="22"/>
        </w:rPr>
      </w:pPr>
      <w:r w:rsidDel="00000000" w:rsidR="00000000" w:rsidRPr="00000000">
        <w:rPr>
          <w:rtl w:val="0"/>
        </w:rPr>
      </w:r>
    </w:p>
    <w:p w:rsidR="00000000" w:rsidDel="00000000" w:rsidP="00000000" w:rsidRDefault="00000000" w:rsidRPr="00000000" w14:paraId="00000036">
      <w:pPr>
        <w:shd w:fill="ffffff" w:val="clear"/>
        <w:spacing w:line="276" w:lineRule="auto"/>
        <w:ind w:right="13"/>
        <w:jc w:val="center"/>
        <w:rPr>
          <w:sz w:val="22"/>
          <w:szCs w:val="22"/>
        </w:rPr>
      </w:pPr>
      <w:r w:rsidDel="00000000" w:rsidR="00000000" w:rsidRPr="00000000">
        <w:rPr>
          <w:rtl w:val="0"/>
        </w:rPr>
      </w:r>
    </w:p>
    <w:p w:rsidR="00000000" w:rsidDel="00000000" w:rsidP="00000000" w:rsidRDefault="00000000" w:rsidRPr="00000000" w14:paraId="00000037">
      <w:pPr>
        <w:shd w:fill="ffffff" w:val="clear"/>
        <w:spacing w:line="276" w:lineRule="auto"/>
        <w:ind w:right="13"/>
        <w:jc w:val="center"/>
        <w:rPr>
          <w:sz w:val="22"/>
          <w:szCs w:val="22"/>
        </w:rPr>
      </w:pPr>
      <w:r w:rsidDel="00000000" w:rsidR="00000000" w:rsidRPr="00000000">
        <w:rPr>
          <w:rtl w:val="0"/>
        </w:rPr>
      </w:r>
    </w:p>
    <w:p w:rsidR="00000000" w:rsidDel="00000000" w:rsidP="00000000" w:rsidRDefault="00000000" w:rsidRPr="00000000" w14:paraId="00000038">
      <w:pPr>
        <w:shd w:fill="ffffff" w:val="clear"/>
        <w:spacing w:line="276" w:lineRule="auto"/>
        <w:ind w:right="13"/>
        <w:jc w:val="center"/>
        <w:rPr>
          <w:sz w:val="22"/>
          <w:szCs w:val="22"/>
        </w:rPr>
        <w:sectPr>
          <w:headerReference r:id="rId7" w:type="default"/>
          <w:headerReference r:id="rId8" w:type="first"/>
          <w:footerReference r:id="rId9" w:type="default"/>
          <w:footerReference r:id="rId10" w:type="first"/>
          <w:pgSz w:h="16820" w:w="11900"/>
          <w:pgMar w:bottom="709" w:top="1418" w:left="1701" w:right="1701" w:header="720" w:footer="720"/>
          <w:pgNumType w:start="0"/>
          <w:cols w:equalWidth="0"/>
          <w:titlePg w:val="1"/>
        </w:sectPr>
      </w:pPr>
      <w:r w:rsidDel="00000000" w:rsidR="00000000" w:rsidRPr="00000000">
        <w:rPr>
          <w:rtl w:val="0"/>
        </w:rPr>
      </w:r>
    </w:p>
    <w:p w:rsidR="00000000" w:rsidDel="00000000" w:rsidP="00000000" w:rsidRDefault="00000000" w:rsidRPr="00000000" w14:paraId="00000039">
      <w:pPr>
        <w:shd w:fill="ffffff" w:val="clear"/>
        <w:spacing w:line="276" w:lineRule="auto"/>
        <w:ind w:right="13"/>
        <w:jc w:val="center"/>
        <w:rPr>
          <w:sz w:val="22"/>
          <w:szCs w:val="22"/>
        </w:rPr>
      </w:pPr>
      <w:r w:rsidDel="00000000" w:rsidR="00000000" w:rsidRPr="00000000">
        <w:rPr>
          <w:rtl w:val="0"/>
        </w:rPr>
      </w:r>
    </w:p>
    <w:p w:rsidR="00000000" w:rsidDel="00000000" w:rsidP="00000000" w:rsidRDefault="00000000" w:rsidRPr="00000000" w14:paraId="0000003A">
      <w:pPr>
        <w:shd w:fill="ffffff" w:val="clear"/>
        <w:spacing w:line="276" w:lineRule="auto"/>
        <w:ind w:right="13"/>
        <w:jc w:val="center"/>
        <w:rPr>
          <w:sz w:val="22"/>
          <w:szCs w:val="22"/>
        </w:rPr>
      </w:pPr>
      <w:r w:rsidDel="00000000" w:rsidR="00000000" w:rsidRPr="00000000">
        <w:rPr>
          <w:rtl w:val="0"/>
        </w:rPr>
      </w:r>
    </w:p>
    <w:p w:rsidR="00000000" w:rsidDel="00000000" w:rsidP="00000000" w:rsidRDefault="00000000" w:rsidRPr="00000000" w14:paraId="0000003B">
      <w:pPr>
        <w:shd w:fill="ffffff" w:val="clear"/>
        <w:spacing w:line="276" w:lineRule="auto"/>
        <w:ind w:right="13"/>
        <w:jc w:val="center"/>
        <w:rPr>
          <w:sz w:val="22"/>
          <w:szCs w:val="22"/>
        </w:rPr>
      </w:pPr>
      <w:r w:rsidDel="00000000" w:rsidR="00000000" w:rsidRPr="00000000">
        <w:rPr>
          <w:rtl w:val="0"/>
        </w:rPr>
      </w:r>
    </w:p>
    <w:p w:rsidR="00000000" w:rsidDel="00000000" w:rsidP="00000000" w:rsidRDefault="00000000" w:rsidRPr="00000000" w14:paraId="0000003C">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03D">
      <w:pPr>
        <w:spacing w:line="276" w:lineRule="auto"/>
        <w:jc w:val="center"/>
        <w:rPr>
          <w:b w:val="1"/>
          <w:color w:val="000000"/>
          <w:sz w:val="22"/>
          <w:szCs w:val="22"/>
        </w:rPr>
      </w:pPr>
      <w:r w:rsidDel="00000000" w:rsidR="00000000" w:rsidRPr="00000000">
        <w:rPr>
          <w:b w:val="1"/>
          <w:color w:val="000000"/>
          <w:sz w:val="22"/>
          <w:szCs w:val="22"/>
          <w:rtl w:val="0"/>
        </w:rPr>
        <w:t xml:space="preserve">CONTENIDO </w:t>
      </w:r>
    </w:p>
    <w:p w:rsidR="00000000" w:rsidDel="00000000" w:rsidP="00000000" w:rsidRDefault="00000000" w:rsidRPr="00000000" w14:paraId="0000003E">
      <w:pPr>
        <w:spacing w:line="276" w:lineRule="auto"/>
        <w:rPr>
          <w:b w:val="1"/>
          <w:color w:val="000000"/>
          <w:sz w:val="22"/>
          <w:szCs w:val="22"/>
        </w:rPr>
      </w:pPr>
      <w:r w:rsidDel="00000000" w:rsidR="00000000" w:rsidRPr="00000000">
        <w:rPr>
          <w:rtl w:val="0"/>
        </w:rPr>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pacing w:before="480" w:line="276" w:lineRule="auto"/>
        <w:rPr>
          <w:b w:val="1"/>
          <w:color w:val="000000"/>
          <w:sz w:val="22"/>
          <w:szCs w:val="22"/>
        </w:rPr>
      </w:pPr>
      <w:r w:rsidDel="00000000" w:rsidR="00000000" w:rsidRPr="00000000">
        <w:rPr>
          <w:b w:val="1"/>
          <w:color w:val="000000"/>
          <w:sz w:val="22"/>
          <w:szCs w:val="2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tab/>
              <w:t xml:space="preserve">OBJETIVO</w:t>
              <w:tab/>
              <w:t xml:space="preserve">1</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w:t>
              <w:tab/>
              <w:t xml:space="preserve">FINALIDAD</w:t>
              <w:tab/>
              <w:t xml:space="preserve">1</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w:t>
              <w:tab/>
              <w:t xml:space="preserve">ÁMBITO DE APLICACIÓN</w:t>
              <w:tab/>
              <w:t xml:space="preserve">1</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w:t>
              <w:tab/>
              <w:t xml:space="preserve">BASE LEGAL</w:t>
              <w:tab/>
              <w:t xml:space="preserve">1</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w:t>
              <w:tab/>
              <w:t xml:space="preserve">APROBACIÓN Y VIGENCIA</w:t>
              <w:tab/>
              <w:t xml:space="preserve">2</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w:t>
              <w:tab/>
              <w:t xml:space="preserve">RESPONSABILIDADES</w:t>
              <w:tab/>
              <w:t xml:space="preserve">2</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w:t>
              <w:tab/>
              <w:t xml:space="preserve">DISPOSICIONES GENERALES</w:t>
              <w:tab/>
              <w:t xml:space="preserve">2</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DISPOSICIONES ESPECÍFICAS</w:t>
              <w:tab/>
              <w:t xml:space="preserve">3</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88"/>
            </w:tabs>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w:t>
              <w:tab/>
              <w:t xml:space="preserve">ANEXOS</w:t>
              <w:tab/>
              <w:t xml:space="preserve">5</w:t>
            </w:r>
          </w:hyperlink>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276" w:lineRule="auto"/>
        <w:jc w:val="center"/>
        <w:rPr>
          <w:b w:val="1"/>
          <w:sz w:val="22"/>
          <w:szCs w:val="22"/>
        </w:rPr>
      </w:pPr>
      <w:r w:rsidDel="00000000" w:rsidR="00000000" w:rsidRPr="00000000">
        <w:rPr>
          <w:rtl w:val="0"/>
        </w:rPr>
      </w:r>
    </w:p>
    <w:p w:rsidR="00000000" w:rsidDel="00000000" w:rsidP="00000000" w:rsidRDefault="00000000" w:rsidRPr="00000000" w14:paraId="0000004B">
      <w:pPr>
        <w:widowControl w:val="1"/>
        <w:spacing w:after="200" w:line="276"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PROTOCOLO ADMINISTRATIVO PARA EL MANEJO DE RESIDUOS PELIGROSOS POR COVID EN EL IGP</w:t>
      </w:r>
    </w:p>
    <w:p w:rsidR="00000000" w:rsidDel="00000000" w:rsidP="00000000" w:rsidRDefault="00000000" w:rsidRPr="00000000" w14:paraId="0000004D">
      <w:pPr>
        <w:pStyle w:val="Heading1"/>
        <w:numPr>
          <w:ilvl w:val="0"/>
          <w:numId w:val="1"/>
        </w:numPr>
        <w:ind w:left="720" w:hanging="360"/>
        <w:rPr>
          <w:color w:val="000000"/>
          <w:sz w:val="22"/>
          <w:szCs w:val="22"/>
        </w:rPr>
      </w:pPr>
      <w:bookmarkStart w:colFirst="0" w:colLast="0" w:name="_heading=h.3dy6vkm" w:id="1"/>
      <w:bookmarkEnd w:id="1"/>
      <w:r w:rsidDel="00000000" w:rsidR="00000000" w:rsidRPr="00000000">
        <w:rPr>
          <w:color w:val="000000"/>
          <w:sz w:val="22"/>
          <w:szCs w:val="22"/>
          <w:rtl w:val="0"/>
        </w:rPr>
        <w:t xml:space="preserve">OBJETIVO</w:t>
      </w:r>
    </w:p>
    <w:p w:rsidR="00000000" w:rsidDel="00000000" w:rsidP="00000000" w:rsidRDefault="00000000" w:rsidRPr="00000000" w14:paraId="0000004E">
      <w:pPr>
        <w:tabs>
          <w:tab w:val="left" w:pos="0"/>
          <w:tab w:val="left" w:pos="540"/>
        </w:tabs>
        <w:spacing w:line="276" w:lineRule="auto"/>
        <w:ind w:left="709" w:firstLine="0"/>
        <w:jc w:val="both"/>
        <w:rPr>
          <w:color w:val="000000"/>
          <w:sz w:val="22"/>
          <w:szCs w:val="22"/>
        </w:rPr>
      </w:pPr>
      <w:bookmarkStart w:colFirst="0" w:colLast="0" w:name="_heading=h.1fob9te" w:id="2"/>
      <w:bookmarkEnd w:id="2"/>
      <w:r w:rsidDel="00000000" w:rsidR="00000000" w:rsidRPr="00000000">
        <w:rPr>
          <w:color w:val="000000"/>
          <w:sz w:val="22"/>
          <w:szCs w:val="22"/>
          <w:rtl w:val="0"/>
        </w:rPr>
        <w:t xml:space="preserve">El presente documento tiene por objeto establecer orientaciones para el adecuado manejo de los residuos sólidos durante las operaciones y los procesos de dichos residuos en las instalaciones del Instituto Geofísico del Perú, en adelante IGP, en el marco del Estado de Emergencia Nacional, a fin de contribuir con la disminución de la propagación del COVID -19 y minimizar los riesgos de afectación a la salud de las personas y el ambiente.</w:t>
      </w:r>
    </w:p>
    <w:p w:rsidR="00000000" w:rsidDel="00000000" w:rsidP="00000000" w:rsidRDefault="00000000" w:rsidRPr="00000000" w14:paraId="0000004F">
      <w:pPr>
        <w:pStyle w:val="Heading1"/>
        <w:numPr>
          <w:ilvl w:val="0"/>
          <w:numId w:val="1"/>
        </w:numPr>
        <w:ind w:left="720" w:hanging="360"/>
        <w:rPr>
          <w:color w:val="000000"/>
          <w:sz w:val="22"/>
          <w:szCs w:val="22"/>
        </w:rPr>
      </w:pPr>
      <w:bookmarkStart w:colFirst="0" w:colLast="0" w:name="_heading=h.lnxbz9" w:id="3"/>
      <w:bookmarkEnd w:id="3"/>
      <w:r w:rsidDel="00000000" w:rsidR="00000000" w:rsidRPr="00000000">
        <w:rPr>
          <w:color w:val="000000"/>
          <w:sz w:val="22"/>
          <w:szCs w:val="22"/>
          <w:rtl w:val="0"/>
        </w:rPr>
        <w:t xml:space="preserve">FINALIDAD</w:t>
      </w:r>
    </w:p>
    <w:p w:rsidR="00000000" w:rsidDel="00000000" w:rsidP="00000000" w:rsidRDefault="00000000" w:rsidRPr="00000000" w14:paraId="00000050">
      <w:pPr>
        <w:tabs>
          <w:tab w:val="left" w:pos="0"/>
          <w:tab w:val="left" w:pos="540"/>
        </w:tabs>
        <w:spacing w:line="276" w:lineRule="auto"/>
        <w:ind w:left="709" w:firstLine="0"/>
        <w:jc w:val="both"/>
        <w:rPr>
          <w:color w:val="000000"/>
          <w:sz w:val="22"/>
          <w:szCs w:val="22"/>
        </w:rPr>
      </w:pPr>
      <w:r w:rsidDel="00000000" w:rsidR="00000000" w:rsidRPr="00000000">
        <w:rPr>
          <w:color w:val="000000"/>
          <w:sz w:val="22"/>
          <w:szCs w:val="22"/>
          <w:rtl w:val="0"/>
        </w:rPr>
        <w:t xml:space="preserve">Manejo adecuado de los Residuos Peligrosos generados por el COVID.</w:t>
      </w:r>
    </w:p>
    <w:p w:rsidR="00000000" w:rsidDel="00000000" w:rsidP="00000000" w:rsidRDefault="00000000" w:rsidRPr="00000000" w14:paraId="00000051">
      <w:pPr>
        <w:pStyle w:val="Heading1"/>
        <w:numPr>
          <w:ilvl w:val="0"/>
          <w:numId w:val="1"/>
        </w:numPr>
        <w:ind w:left="720" w:hanging="360"/>
        <w:rPr>
          <w:color w:val="000000"/>
          <w:sz w:val="22"/>
          <w:szCs w:val="22"/>
        </w:rPr>
      </w:pPr>
      <w:bookmarkStart w:colFirst="0" w:colLast="0" w:name="_heading=h.35nkun2" w:id="4"/>
      <w:bookmarkEnd w:id="4"/>
      <w:r w:rsidDel="00000000" w:rsidR="00000000" w:rsidRPr="00000000">
        <w:rPr>
          <w:color w:val="000000"/>
          <w:sz w:val="22"/>
          <w:szCs w:val="22"/>
          <w:rtl w:val="0"/>
        </w:rPr>
        <w:t xml:space="preserve">ÁMBITO DE APLICACIÓN</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pacing w:line="276" w:lineRule="auto"/>
        <w:ind w:left="709" w:firstLine="0"/>
        <w:jc w:val="both"/>
        <w:rPr>
          <w:color w:val="000000"/>
          <w:sz w:val="22"/>
          <w:szCs w:val="22"/>
        </w:rPr>
      </w:pPr>
      <w:r w:rsidDel="00000000" w:rsidR="00000000" w:rsidRPr="00000000">
        <w:rPr>
          <w:color w:val="000000"/>
          <w:sz w:val="22"/>
          <w:szCs w:val="22"/>
          <w:rtl w:val="0"/>
        </w:rPr>
        <w:t xml:space="preserve">Las orientaciones desarrolladas en el presente protocolo son de obligatorio cumplimiento del personal de Limpieza, quienes acopiaran los residuos sólidos peligrosos en contenedores primarios y secundarios hasta su correcta segregación</w:t>
      </w:r>
    </w:p>
    <w:p w:rsidR="00000000" w:rsidDel="00000000" w:rsidP="00000000" w:rsidRDefault="00000000" w:rsidRPr="00000000" w14:paraId="00000053">
      <w:pPr>
        <w:pStyle w:val="Heading1"/>
        <w:numPr>
          <w:ilvl w:val="0"/>
          <w:numId w:val="1"/>
        </w:numPr>
        <w:ind w:left="720" w:hanging="360"/>
        <w:rPr>
          <w:color w:val="000000"/>
          <w:sz w:val="22"/>
          <w:szCs w:val="22"/>
        </w:rPr>
      </w:pPr>
      <w:bookmarkStart w:colFirst="0" w:colLast="0" w:name="_heading=h.1ksv4uv" w:id="5"/>
      <w:bookmarkEnd w:id="5"/>
      <w:r w:rsidDel="00000000" w:rsidR="00000000" w:rsidRPr="00000000">
        <w:rPr>
          <w:color w:val="000000"/>
          <w:sz w:val="22"/>
          <w:szCs w:val="22"/>
          <w:rtl w:val="0"/>
        </w:rPr>
        <w:t xml:space="preserve">BASE LEGAL</w:t>
      </w:r>
    </w:p>
    <w:p w:rsidR="00000000" w:rsidDel="00000000" w:rsidP="00000000" w:rsidRDefault="00000000" w:rsidRPr="00000000" w14:paraId="00000054">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Ley N° 30884, Ley que regula el plástico de un solo uso y los recipientes o envases descartables.</w:t>
      </w:r>
    </w:p>
    <w:p w:rsidR="00000000" w:rsidDel="00000000" w:rsidP="00000000" w:rsidRDefault="00000000" w:rsidRPr="00000000" w14:paraId="00000055">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Legislativo N° 1278, que aprueba la Ley de Gestión Integral de Residuos Sólidos (en adelante, Ley de Gestión Integral de Residuos Sólidos).</w:t>
      </w:r>
    </w:p>
    <w:p w:rsidR="00000000" w:rsidDel="00000000" w:rsidP="00000000" w:rsidRDefault="00000000" w:rsidRPr="00000000" w14:paraId="00000056">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de Urgencia N° 026-2020, que establece diversas medidas excepcionales y temporales para prevenir la propagación del coronavirus (COVID-19) en el territorio nacional.</w:t>
      </w:r>
    </w:p>
    <w:p w:rsidR="00000000" w:rsidDel="00000000" w:rsidP="00000000" w:rsidRDefault="00000000" w:rsidRPr="00000000" w14:paraId="00000057">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de Urgencia N° 0292020, que dicta medidas complementarias para la reducción del impacto del COVID-19 en la economía peruana.</w:t>
      </w:r>
    </w:p>
    <w:p w:rsidR="00000000" w:rsidDel="00000000" w:rsidP="00000000" w:rsidRDefault="00000000" w:rsidRPr="00000000" w14:paraId="00000058">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Supremo N° 008-2020SA, que declara en Emergencia Sanitaria a nivel nacional por el plazo de noventa (90) días calendario y dicta medidas de prevención y control del COVID-19.</w:t>
      </w:r>
    </w:p>
    <w:p w:rsidR="00000000" w:rsidDel="00000000" w:rsidP="00000000" w:rsidRDefault="00000000" w:rsidRPr="00000000" w14:paraId="00000059">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Supremo N° 013-2018-MINAM, que aprueba la reducción del plástico de un solo uso y promueve el consumo responsable del plástico en las entidades del poder ejecutivo</w:t>
      </w:r>
    </w:p>
    <w:p w:rsidR="00000000" w:rsidDel="00000000" w:rsidP="00000000" w:rsidRDefault="00000000" w:rsidRPr="00000000" w14:paraId="0000005A">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Supremo N° 006-2019-MINAM, que aprueba el Reglamento de la Ley que regula el plástico de un solo uso y los recipientes o envases descartables, entidades del Poder Ejecutivo.</w:t>
      </w:r>
    </w:p>
    <w:p w:rsidR="00000000" w:rsidDel="00000000" w:rsidP="00000000" w:rsidRDefault="00000000" w:rsidRPr="00000000" w14:paraId="0000005B">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Supremo N° 014-2017-MINAM, que aprueba el Reglamento de la Ley de Gestión Integral de Residuos Sólidos (en adelante, Reglamento de la Ley de Gestión Integral de Residuos Sólidos).</w:t>
      </w:r>
    </w:p>
    <w:p w:rsidR="00000000" w:rsidDel="00000000" w:rsidP="00000000" w:rsidRDefault="00000000" w:rsidRPr="00000000" w14:paraId="0000005C">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Supremo N° 017-2015-PRODUCE, que aprueba el Reglamento de Gestión Ambiental para la Industria Manufacturera y Comercio Interno.</w:t>
      </w:r>
    </w:p>
    <w:p w:rsidR="00000000" w:rsidDel="00000000" w:rsidP="00000000" w:rsidRDefault="00000000" w:rsidRPr="00000000" w14:paraId="0000005D">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Decreto Supremo N° 044-</w:t>
      </w:r>
      <w:r w:rsidDel="00000000" w:rsidR="00000000" w:rsidRPr="00000000">
        <w:rPr>
          <w:sz w:val="22"/>
          <w:szCs w:val="22"/>
          <w:rtl w:val="0"/>
        </w:rPr>
        <w:t xml:space="preserve">2020 PCM</w:t>
      </w:r>
      <w:r w:rsidDel="00000000" w:rsidR="00000000" w:rsidRPr="00000000">
        <w:rPr>
          <w:color w:val="000000"/>
          <w:sz w:val="22"/>
          <w:szCs w:val="22"/>
          <w:rtl w:val="0"/>
        </w:rPr>
        <w:t xml:space="preserve">, precisado por los Decretos Supremos N° 045-2020-PCM y N° 046-2020-PCM, y modificado por los Decretos Supremos N° 058-2020-PCM y N° 063-</w:t>
      </w:r>
      <w:r w:rsidDel="00000000" w:rsidR="00000000" w:rsidRPr="00000000">
        <w:rPr>
          <w:sz w:val="22"/>
          <w:szCs w:val="22"/>
          <w:rtl w:val="0"/>
        </w:rPr>
        <w:t xml:space="preserve">2020 PCM</w:t>
      </w:r>
      <w:r w:rsidDel="00000000" w:rsidR="00000000" w:rsidRPr="00000000">
        <w:rPr>
          <w:color w:val="000000"/>
          <w:sz w:val="22"/>
          <w:szCs w:val="22"/>
          <w:rtl w:val="0"/>
        </w:rPr>
        <w:t xml:space="preserve">, que declara el Estado de Emergencia Nacional por las graves circunstancias que afectan la vida de la Nación a consecuencia del brote del COVID-19, el cual fue prorrogado mediante el Decreto Supremo N° 051-2020-PCM, modificado por los Decretos Supremos N° 0532020-PCM, N° 057-2020-PCM y N° 061-2020-PCM; y, por los Decretos Supremos N° 064-2020PCM y N° 075-2020-PCM.</w:t>
      </w:r>
    </w:p>
    <w:p w:rsidR="00000000" w:rsidDel="00000000" w:rsidP="00000000" w:rsidRDefault="00000000" w:rsidRPr="00000000" w14:paraId="0000005E">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Resolución Ministerial N° 099-2020-MINAM, Protocolo Para El Manejo De Residuos Sólidos Durante la Emergencia Sanitaria por Covid-19 y el Estado de Emergencia Nacional.</w:t>
      </w:r>
    </w:p>
    <w:p w:rsidR="00000000" w:rsidDel="00000000" w:rsidP="00000000" w:rsidRDefault="00000000" w:rsidRPr="00000000" w14:paraId="0000005F">
      <w:pPr>
        <w:widowControl w:val="1"/>
        <w:numPr>
          <w:ilvl w:val="0"/>
          <w:numId w:val="2"/>
        </w:numPr>
        <w:pBdr>
          <w:top w:space="0" w:sz="0" w:val="nil"/>
          <w:left w:space="0" w:sz="0" w:val="nil"/>
          <w:bottom w:space="0" w:sz="0" w:val="nil"/>
          <w:right w:space="0" w:sz="0" w:val="nil"/>
          <w:between w:space="0" w:sz="0" w:val="nil"/>
        </w:pBdr>
        <w:spacing w:after="80" w:lineRule="auto"/>
        <w:ind w:left="1077" w:hanging="357"/>
        <w:jc w:val="both"/>
        <w:rPr>
          <w:color w:val="000000"/>
          <w:sz w:val="22"/>
          <w:szCs w:val="22"/>
        </w:rPr>
      </w:pPr>
      <w:r w:rsidDel="00000000" w:rsidR="00000000" w:rsidRPr="00000000">
        <w:rPr>
          <w:color w:val="000000"/>
          <w:sz w:val="22"/>
          <w:szCs w:val="22"/>
          <w:rtl w:val="0"/>
        </w:rPr>
        <w:t xml:space="preserve">Resolución Directoral N° 003-2020-INACAL/DN, que aprueba la Guía para la Limpieza y Desinfección de manos y superficies.</w:t>
      </w:r>
    </w:p>
    <w:p w:rsidR="00000000" w:rsidDel="00000000" w:rsidP="00000000" w:rsidRDefault="00000000" w:rsidRPr="00000000" w14:paraId="00000060">
      <w:pPr>
        <w:pStyle w:val="Heading1"/>
        <w:numPr>
          <w:ilvl w:val="0"/>
          <w:numId w:val="1"/>
        </w:numPr>
        <w:spacing w:after="0" w:before="360" w:lineRule="auto"/>
        <w:ind w:left="714" w:hanging="357"/>
        <w:rPr>
          <w:color w:val="000000"/>
          <w:sz w:val="22"/>
          <w:szCs w:val="22"/>
        </w:rPr>
      </w:pPr>
      <w:bookmarkStart w:colFirst="0" w:colLast="0" w:name="_heading=h.44sinio" w:id="6"/>
      <w:bookmarkEnd w:id="6"/>
      <w:r w:rsidDel="00000000" w:rsidR="00000000" w:rsidRPr="00000000">
        <w:rPr>
          <w:color w:val="000000"/>
          <w:sz w:val="22"/>
          <w:szCs w:val="22"/>
          <w:rtl w:val="0"/>
        </w:rPr>
        <w:t xml:space="preserve">APROBACIÓN Y VIGENCIA</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widowControl w:val="1"/>
        <w:tabs>
          <w:tab w:val="left" w:pos="709"/>
        </w:tabs>
        <w:spacing w:line="276" w:lineRule="auto"/>
        <w:ind w:left="709" w:right="23" w:firstLine="0"/>
        <w:jc w:val="both"/>
        <w:rPr>
          <w:color w:val="000000"/>
          <w:sz w:val="22"/>
          <w:szCs w:val="22"/>
        </w:rPr>
      </w:pPr>
      <w:r w:rsidDel="00000000" w:rsidR="00000000" w:rsidRPr="00000000">
        <w:rPr>
          <w:color w:val="000000"/>
          <w:sz w:val="22"/>
          <w:szCs w:val="22"/>
          <w:rtl w:val="0"/>
        </w:rPr>
        <w:t xml:space="preserve">Su aplicación es a partir del día siguiente de su publicación en el Portal Institucional del IGP, hasta su modificación o derogación por otra norma del mismo rango, prevaleciendo las normas de alcance nacional.</w:t>
      </w:r>
    </w:p>
    <w:p w:rsidR="00000000" w:rsidDel="00000000" w:rsidP="00000000" w:rsidRDefault="00000000" w:rsidRPr="00000000" w14:paraId="00000063">
      <w:pPr>
        <w:pStyle w:val="Heading1"/>
        <w:numPr>
          <w:ilvl w:val="0"/>
          <w:numId w:val="1"/>
        </w:numPr>
        <w:ind w:left="720" w:hanging="360"/>
        <w:jc w:val="both"/>
        <w:rPr>
          <w:color w:val="000000"/>
          <w:sz w:val="22"/>
          <w:szCs w:val="22"/>
        </w:rPr>
      </w:pPr>
      <w:bookmarkStart w:colFirst="0" w:colLast="0" w:name="_heading=h.2jxsxqh" w:id="7"/>
      <w:bookmarkEnd w:id="7"/>
      <w:r w:rsidDel="00000000" w:rsidR="00000000" w:rsidRPr="00000000">
        <w:rPr>
          <w:color w:val="000000"/>
          <w:sz w:val="22"/>
          <w:szCs w:val="22"/>
          <w:rtl w:val="0"/>
        </w:rPr>
        <w:t xml:space="preserve">RESPONSABILIDADES </w:t>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shd w:fill="ffffff" w:val="clear"/>
        <w:spacing w:line="276" w:lineRule="auto"/>
        <w:ind w:left="1080" w:hanging="720"/>
        <w:jc w:val="both"/>
        <w:rPr>
          <w:color w:val="000000"/>
          <w:sz w:val="22"/>
          <w:szCs w:val="22"/>
        </w:rPr>
      </w:pPr>
      <w:r w:rsidDel="00000000" w:rsidR="00000000" w:rsidRPr="00000000">
        <w:rPr>
          <w:color w:val="000000"/>
          <w:sz w:val="22"/>
          <w:szCs w:val="22"/>
          <w:rtl w:val="0"/>
        </w:rPr>
        <w:t xml:space="preserve">Es responsabilidad de la Oficina de Administración a través de la Unidad de Logística, comunicar sobre las pautas del presente Protocolo a todo el personal del IGP, independientemente de su régimen laboral o contractual.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spacing w:line="276" w:lineRule="auto"/>
        <w:ind w:left="1080" w:firstLine="0"/>
        <w:jc w:val="both"/>
        <w:rPr>
          <w:color w:val="000000"/>
          <w:sz w:val="22"/>
          <w:szCs w:val="22"/>
        </w:rPr>
      </w:pPr>
      <w:r w:rsidDel="00000000" w:rsidR="00000000" w:rsidRPr="00000000">
        <w:rPr>
          <w:rtl w:val="0"/>
        </w:rPr>
      </w:r>
    </w:p>
    <w:p w:rsidR="00000000" w:rsidDel="00000000" w:rsidP="00000000" w:rsidRDefault="00000000" w:rsidRPr="00000000" w14:paraId="00000066">
      <w:pPr>
        <w:numPr>
          <w:ilvl w:val="1"/>
          <w:numId w:val="5"/>
        </w:numPr>
        <w:pBdr>
          <w:top w:space="0" w:sz="0" w:val="nil"/>
          <w:left w:space="0" w:sz="0" w:val="nil"/>
          <w:bottom w:space="0" w:sz="0" w:val="nil"/>
          <w:right w:space="0" w:sz="0" w:val="nil"/>
          <w:between w:space="0" w:sz="0" w:val="nil"/>
        </w:pBdr>
        <w:shd w:fill="ffffff" w:val="clear"/>
        <w:spacing w:line="276" w:lineRule="auto"/>
        <w:ind w:left="1080" w:hanging="720"/>
        <w:jc w:val="both"/>
        <w:rPr>
          <w:color w:val="000000"/>
          <w:sz w:val="22"/>
          <w:szCs w:val="22"/>
        </w:rPr>
      </w:pPr>
      <w:r w:rsidDel="00000000" w:rsidR="00000000" w:rsidRPr="00000000">
        <w:rPr>
          <w:color w:val="000000"/>
          <w:sz w:val="22"/>
          <w:szCs w:val="22"/>
          <w:rtl w:val="0"/>
        </w:rPr>
        <w:t xml:space="preserve">Es responsabilidad de la Oficina de Administración a través de la Unidad de Logística, el seguimiento y verificación de las disposiciones adoptadas en el presente Protocolo. Así como de la implementación de las medidas necesarias para el desarrollo del Protocolo.</w:t>
      </w:r>
    </w:p>
    <w:p w:rsidR="00000000" w:rsidDel="00000000" w:rsidP="00000000" w:rsidRDefault="00000000" w:rsidRPr="00000000" w14:paraId="00000067">
      <w:pPr>
        <w:pStyle w:val="Heading1"/>
        <w:numPr>
          <w:ilvl w:val="0"/>
          <w:numId w:val="1"/>
        </w:numPr>
        <w:ind w:left="720" w:hanging="360"/>
        <w:jc w:val="both"/>
        <w:rPr>
          <w:color w:val="000000"/>
          <w:sz w:val="22"/>
          <w:szCs w:val="22"/>
        </w:rPr>
      </w:pPr>
      <w:bookmarkStart w:colFirst="0" w:colLast="0" w:name="_heading=h.z337ya" w:id="8"/>
      <w:bookmarkEnd w:id="8"/>
      <w:r w:rsidDel="00000000" w:rsidR="00000000" w:rsidRPr="00000000">
        <w:rPr>
          <w:color w:val="000000"/>
          <w:sz w:val="22"/>
          <w:szCs w:val="22"/>
          <w:rtl w:val="0"/>
        </w:rPr>
        <w:t xml:space="preserve">DISPOSICIONES GENERALES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line="276" w:lineRule="auto"/>
        <w:ind w:left="709" w:firstLine="10.999999999999943"/>
        <w:jc w:val="both"/>
        <w:rPr>
          <w:color w:val="000000"/>
          <w:sz w:val="22"/>
          <w:szCs w:val="22"/>
        </w:rPr>
      </w:pPr>
      <w:bookmarkStart w:colFirst="0" w:colLast="0" w:name="_heading=h.3j2qqm3" w:id="9"/>
      <w:bookmarkEnd w:id="9"/>
      <w:r w:rsidDel="00000000" w:rsidR="00000000" w:rsidRPr="00000000">
        <w:rPr>
          <w:color w:val="000000"/>
          <w:sz w:val="22"/>
          <w:szCs w:val="22"/>
          <w:rtl w:val="0"/>
        </w:rPr>
        <w:t xml:space="preserve">Se considera residuos sólidos peligrosos a todos aquellos elementos, sustancias, compuestos, residuos o mezclas de ellos que, al finalizar su vida útil adquieren la condición de residuos o desechos y que independientemente de su estado físico, </w:t>
      </w:r>
      <w:r w:rsidDel="00000000" w:rsidR="00000000" w:rsidRPr="00000000">
        <w:rPr>
          <w:sz w:val="22"/>
          <w:szCs w:val="22"/>
          <w:rtl w:val="0"/>
        </w:rPr>
        <w:t xml:space="preserve">representen</w:t>
      </w:r>
      <w:r w:rsidDel="00000000" w:rsidR="00000000" w:rsidRPr="00000000">
        <w:rPr>
          <w:color w:val="000000"/>
          <w:sz w:val="22"/>
          <w:szCs w:val="22"/>
          <w:rtl w:val="0"/>
        </w:rPr>
        <w:t xml:space="preserve"> un riesgo para la salud o el ambiente, por sus características corrosivas, reactivas, explosivas, tóxicas, inflamables o biológico-infecciosas.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spacing w:line="276" w:lineRule="auto"/>
        <w:ind w:left="709" w:hanging="425"/>
        <w:jc w:val="both"/>
        <w:rPr>
          <w:color w:val="000000"/>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line="276" w:lineRule="auto"/>
        <w:ind w:left="709" w:hanging="425"/>
        <w:jc w:val="both"/>
        <w:rPr>
          <w:color w:val="000000"/>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line="276" w:lineRule="auto"/>
        <w:ind w:left="709" w:hanging="425"/>
        <w:jc w:val="both"/>
        <w:rPr>
          <w:color w:val="000000"/>
          <w:sz w:val="22"/>
          <w:szCs w:val="22"/>
        </w:rPr>
      </w:pPr>
      <w:r w:rsidDel="00000000" w:rsidR="00000000" w:rsidRPr="00000000">
        <w:rPr>
          <w:rtl w:val="0"/>
        </w:rPr>
      </w:r>
    </w:p>
    <w:p w:rsidR="00000000" w:rsidDel="00000000" w:rsidP="00000000" w:rsidRDefault="00000000" w:rsidRPr="00000000" w14:paraId="0000006C">
      <w:pPr>
        <w:pStyle w:val="Heading1"/>
        <w:numPr>
          <w:ilvl w:val="0"/>
          <w:numId w:val="1"/>
        </w:numPr>
        <w:ind w:left="720" w:hanging="360"/>
        <w:jc w:val="both"/>
        <w:rPr>
          <w:color w:val="000000"/>
          <w:sz w:val="22"/>
          <w:szCs w:val="22"/>
        </w:rPr>
      </w:pPr>
      <w:bookmarkStart w:colFirst="0" w:colLast="0" w:name="_heading=h.1y810tw" w:id="10"/>
      <w:bookmarkEnd w:id="10"/>
      <w:r w:rsidDel="00000000" w:rsidR="00000000" w:rsidRPr="00000000">
        <w:rPr>
          <w:color w:val="000000"/>
          <w:sz w:val="22"/>
          <w:szCs w:val="22"/>
          <w:rtl w:val="0"/>
        </w:rPr>
        <w:t xml:space="preserve">DISPOSICIONES ESPECÍFICAS </w:t>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EL MANEJO DE RESIDUOS SÓLIDOS PELIGROSOS EN LAS INSTALACIONES DEL IGP.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numPr>
          <w:ilvl w:val="2"/>
          <w:numId w:val="3"/>
        </w:numPr>
        <w:pBdr>
          <w:top w:space="0" w:sz="0" w:val="nil"/>
          <w:left w:space="0" w:sz="0" w:val="nil"/>
          <w:bottom w:space="0" w:sz="0" w:val="nil"/>
          <w:right w:space="0" w:sz="0" w:val="nil"/>
          <w:between w:space="0" w:sz="0" w:val="nil"/>
        </w:pBdr>
        <w:shd w:fill="ffffff" w:val="clear"/>
        <w:spacing w:after="0" w:before="0" w:line="276" w:lineRule="auto"/>
        <w:ind w:left="18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sedes del IGP deben contar con recipientes rígidos y rotulados de residuos sólidos, con tapa tipo vaivén o accionada con pedal, cuya capacidad debe estar acorde con la frecuencia de recolección y el volumen de generación diario. En su interior contendrá una bolsa plástica de polietileno cuya capacidad sea igual a la del recipiente y que permita el retiro adecuado de los residuos sólidos generados en estas instalaciones.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numPr>
          <w:ilvl w:val="2"/>
          <w:numId w:val="3"/>
        </w:numPr>
        <w:pBdr>
          <w:top w:space="0" w:sz="0" w:val="nil"/>
          <w:left w:space="0" w:sz="0" w:val="nil"/>
          <w:bottom w:space="0" w:sz="0" w:val="nil"/>
          <w:right w:space="0" w:sz="0" w:val="nil"/>
          <w:between w:space="0" w:sz="0" w:val="nil"/>
        </w:pBdr>
        <w:shd w:fill="ffffff" w:val="clear"/>
        <w:spacing w:after="0" w:before="0" w:line="276" w:lineRule="auto"/>
        <w:ind w:left="18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contenedores deben ubicarse en zonas estratégicas, de manera que no obstaculicen el paso de las personas, además deberán estar señalizados. Se recomienda establecer un plano con la ubicación de estos contenedores.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line="276" w:lineRule="auto"/>
        <w:jc w:val="both"/>
        <w:rPr>
          <w:color w:val="000000"/>
          <w:sz w:val="22"/>
          <w:szCs w:val="22"/>
        </w:rPr>
      </w:pPr>
      <w:r w:rsidDel="00000000" w:rsidR="00000000" w:rsidRPr="00000000">
        <w:rPr>
          <w:rtl w:val="0"/>
        </w:rPr>
      </w:r>
    </w:p>
    <w:p w:rsidR="00000000" w:rsidDel="00000000" w:rsidP="00000000" w:rsidRDefault="00000000" w:rsidRPr="00000000" w14:paraId="00000074">
      <w:pPr>
        <w:keepNext w:val="0"/>
        <w:keepLines w:val="0"/>
        <w:widowControl w:val="0"/>
        <w:numPr>
          <w:ilvl w:val="2"/>
          <w:numId w:val="3"/>
        </w:numPr>
        <w:pBdr>
          <w:top w:space="0" w:sz="0" w:val="nil"/>
          <w:left w:space="0" w:sz="0" w:val="nil"/>
          <w:bottom w:space="0" w:sz="0" w:val="nil"/>
          <w:right w:space="0" w:sz="0" w:val="nil"/>
          <w:between w:space="0" w:sz="0" w:val="nil"/>
        </w:pBdr>
        <w:shd w:fill="ffffff" w:val="clear"/>
        <w:spacing w:after="0" w:before="0" w:line="276" w:lineRule="auto"/>
        <w:ind w:left="18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bolsas que se encuentren llenas hasta las ¾ partes de su capacidad deben ser amarradas con doble nudo por el personal de limpieza, de manera que se encuentren cerradas herméticamente y asegurándose que no presenten ningún rasguño u orificio. Se recomienda desinfectar las bolsas antes de ser llevadas al área de almacenamiento temporal con solución de hipoclorito de sodio (lejía) al 0.5 % de dilución, la cual debe contar con autorización de la DIGESA.</w:t>
      </w:r>
    </w:p>
    <w:p w:rsidR="00000000" w:rsidDel="00000000" w:rsidP="00000000" w:rsidRDefault="00000000" w:rsidRPr="00000000" w14:paraId="00000075">
      <w:pPr>
        <w:shd w:fill="ffffff" w:val="clear"/>
        <w:spacing w:line="276" w:lineRule="auto"/>
        <w:jc w:val="both"/>
        <w:rPr>
          <w:color w:val="000000"/>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line="276" w:lineRule="auto"/>
        <w:ind w:left="2160" w:firstLine="0"/>
        <w:jc w:val="both"/>
        <w:rPr>
          <w:color w:val="000000"/>
          <w:sz w:val="22"/>
          <w:szCs w:val="22"/>
        </w:rPr>
      </w:pPr>
      <w:r w:rsidDel="00000000" w:rsidR="00000000" w:rsidRPr="00000000">
        <w:rPr>
          <w:b w:val="1"/>
          <w:color w:val="000000"/>
          <w:sz w:val="22"/>
          <w:szCs w:val="22"/>
          <w:rtl w:val="0"/>
        </w:rPr>
        <w:t xml:space="preserve">Nota 1:</w:t>
      </w:r>
      <w:r w:rsidDel="00000000" w:rsidR="00000000" w:rsidRPr="00000000">
        <w:rPr>
          <w:color w:val="000000"/>
          <w:sz w:val="22"/>
          <w:szCs w:val="22"/>
          <w:rtl w:val="0"/>
        </w:rPr>
        <w:t xml:space="preserve"> En el caso las bolsas que contengan residuos aprovechables, el personal de limpieza deberá evitar su manipulación, procediendo al cierre con nudo doble.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line="276" w:lineRule="auto"/>
        <w:ind w:left="2160" w:firstLine="0"/>
        <w:jc w:val="both"/>
        <w:rPr>
          <w:color w:val="000000"/>
          <w:sz w:val="22"/>
          <w:szCs w:val="22"/>
        </w:rPr>
      </w:pPr>
      <w:r w:rsidDel="00000000" w:rsidR="00000000" w:rsidRPr="00000000">
        <w:rPr>
          <w:rtl w:val="0"/>
        </w:rPr>
      </w:r>
    </w:p>
    <w:p w:rsidR="00000000" w:rsidDel="00000000" w:rsidP="00000000" w:rsidRDefault="00000000" w:rsidRPr="00000000" w14:paraId="00000078">
      <w:pPr>
        <w:keepNext w:val="0"/>
        <w:keepLines w:val="0"/>
        <w:widowControl w:val="0"/>
        <w:numPr>
          <w:ilvl w:val="2"/>
          <w:numId w:val="3"/>
        </w:numPr>
        <w:pBdr>
          <w:top w:space="0" w:sz="0" w:val="nil"/>
          <w:left w:space="0" w:sz="0" w:val="nil"/>
          <w:bottom w:space="0" w:sz="0" w:val="nil"/>
          <w:right w:space="0" w:sz="0" w:val="nil"/>
          <w:between w:space="0" w:sz="0" w:val="nil"/>
        </w:pBdr>
        <w:shd w:fill="ffffff" w:val="clear"/>
        <w:spacing w:after="0" w:before="0" w:line="276" w:lineRule="auto"/>
        <w:ind w:left="18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cerrada la(s) bolsas, se procederá con su rotulación y etiquetado, indicando el día de cerrado (día/mes/año); además deberá de rociar solución de hipoclorito de sodio (lejía) al 0.5 % de dilución o de acuerdo con las indicaciones de desinfección del etiquetado del producto (lejía).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numPr>
          <w:ilvl w:val="2"/>
          <w:numId w:val="3"/>
        </w:numPr>
        <w:pBdr>
          <w:top w:space="0" w:sz="0" w:val="nil"/>
          <w:left w:space="0" w:sz="0" w:val="nil"/>
          <w:bottom w:space="0" w:sz="0" w:val="nil"/>
          <w:right w:space="0" w:sz="0" w:val="nil"/>
          <w:between w:space="0" w:sz="0" w:val="nil"/>
        </w:pBdr>
        <w:shd w:fill="ffffff" w:val="clear"/>
        <w:spacing w:after="0" w:before="0" w:line="276" w:lineRule="auto"/>
        <w:ind w:left="18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Unidad de Logística, a través del encargado(a) de Servicios Generales, establecerá la frecuencia y horario para el recojo interno de los residuos sólidos peligrosos para su traslado hacia el área de almacenamiento temporal. Asimismo, deberá asegurarse que el personal de limpieza cuente y utilice adecuadamente los EPP respectivos.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ffff" w:val="clear"/>
        <w:spacing w:line="276" w:lineRule="auto"/>
        <w:jc w:val="both"/>
        <w:rPr>
          <w:color w:val="000000"/>
          <w:sz w:val="22"/>
          <w:szCs w:val="22"/>
        </w:rPr>
      </w:pPr>
      <w:r w:rsidDel="00000000" w:rsidR="00000000" w:rsidRPr="00000000">
        <w:rPr>
          <w:rtl w:val="0"/>
        </w:rPr>
      </w:r>
    </w:p>
    <w:p w:rsidR="00000000" w:rsidDel="00000000" w:rsidP="00000000" w:rsidRDefault="00000000" w:rsidRPr="00000000" w14:paraId="0000007C">
      <w:pPr>
        <w:keepNext w:val="0"/>
        <w:keepLines w:val="0"/>
        <w:widowControl w:val="0"/>
        <w:numPr>
          <w:ilvl w:val="2"/>
          <w:numId w:val="3"/>
        </w:numPr>
        <w:pBdr>
          <w:top w:space="0" w:sz="0" w:val="nil"/>
          <w:left w:space="0" w:sz="0" w:val="nil"/>
          <w:bottom w:space="0" w:sz="0" w:val="nil"/>
          <w:right w:space="0" w:sz="0" w:val="nil"/>
          <w:between w:space="0" w:sz="0" w:val="nil"/>
        </w:pBdr>
        <w:shd w:fill="ffffff" w:val="clear"/>
        <w:spacing w:after="0" w:before="0" w:line="276" w:lineRule="auto"/>
        <w:ind w:left="18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área de almacenamiento temporal deberá estar señalizada y tener acceso restringido únicamente para el personal autorizado. Se recomienda que esta área no se ubique cerca de lugares donde se almacenen productos de consumo, a fin de evitar la contaminación cruzada. Asimismo, dicha área deberá tener un contenedor o recipiente de gran volumen o varios contenedores de menor, capacidad, que cuenten con tapa, en los cuales se colocarán las bolsas con residuos recolectadas internamente en las instalaciones. El suelo deberá ser impermeable y lavable, para facilitar su limpieza y desinfección diaria.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line="276" w:lineRule="auto"/>
        <w:jc w:val="both"/>
        <w:rPr>
          <w:color w:val="000000"/>
          <w:sz w:val="22"/>
          <w:szCs w:val="22"/>
        </w:rPr>
      </w:pPr>
      <w:r w:rsidDel="00000000" w:rsidR="00000000" w:rsidRPr="00000000">
        <w:rPr>
          <w:rtl w:val="0"/>
        </w:rPr>
      </w:r>
    </w:p>
    <w:p w:rsidR="00000000" w:rsidDel="00000000" w:rsidP="00000000" w:rsidRDefault="00000000" w:rsidRPr="00000000" w14:paraId="0000007E">
      <w:pPr>
        <w:keepNext w:val="0"/>
        <w:keepLines w:val="0"/>
        <w:widowControl w:val="0"/>
        <w:numPr>
          <w:ilvl w:val="2"/>
          <w:numId w:val="3"/>
        </w:numPr>
        <w:pBdr>
          <w:top w:space="0" w:sz="0" w:val="nil"/>
          <w:left w:space="0" w:sz="0" w:val="nil"/>
          <w:bottom w:space="0" w:sz="0" w:val="nil"/>
          <w:right w:space="0" w:sz="0" w:val="nil"/>
          <w:between w:space="0" w:sz="0" w:val="nil"/>
        </w:pBdr>
        <w:shd w:fill="ffffff" w:val="clear"/>
        <w:spacing w:after="0" w:before="0" w:line="276" w:lineRule="auto"/>
        <w:ind w:left="18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personal de limpieza deberá entregar los residuos en el día y horario establecido, al personal encargado de la recolección de los residuos sólidos.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line="276" w:lineRule="auto"/>
        <w:jc w:val="both"/>
        <w:rPr>
          <w:color w:val="000000"/>
          <w:sz w:val="22"/>
          <w:szCs w:val="22"/>
        </w:rPr>
      </w:pPr>
      <w:r w:rsidDel="00000000" w:rsidR="00000000" w:rsidRPr="00000000">
        <w:rPr>
          <w:rtl w:val="0"/>
        </w:rPr>
      </w:r>
    </w:p>
    <w:p w:rsidR="00000000" w:rsidDel="00000000" w:rsidP="00000000" w:rsidRDefault="00000000" w:rsidRPr="00000000" w14:paraId="00000080">
      <w:pPr>
        <w:keepNext w:val="0"/>
        <w:keepLines w:val="0"/>
        <w:widowControl w:val="0"/>
        <w:numPr>
          <w:ilvl w:val="2"/>
          <w:numId w:val="3"/>
        </w:numPr>
        <w:pBdr>
          <w:top w:space="0" w:sz="0" w:val="nil"/>
          <w:left w:space="0" w:sz="0" w:val="nil"/>
          <w:bottom w:space="0" w:sz="0" w:val="nil"/>
          <w:right w:space="0" w:sz="0" w:val="nil"/>
          <w:between w:space="0" w:sz="0" w:val="nil"/>
        </w:pBdr>
        <w:shd w:fill="ffffff" w:val="clear"/>
        <w:spacing w:after="0" w:before="0" w:line="276" w:lineRule="auto"/>
        <w:ind w:left="180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programas de segregación en fuente y recolección selectiva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reiniciarán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progresivamente, al culminar el aislamiento social obligatorio decretado por el Estado de Emergencia Nacional, aplicando las medidas de seguridad. </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rPr>
          <w:color w:val="000000"/>
          <w:sz w:val="22"/>
          <w:szCs w:val="22"/>
        </w:rPr>
      </w:pPr>
      <w:r w:rsidDel="00000000" w:rsidR="00000000" w:rsidRPr="00000000">
        <w:rPr>
          <w:rtl w:val="0"/>
        </w:rPr>
      </w:r>
    </w:p>
    <w:p w:rsidR="00000000" w:rsidDel="00000000" w:rsidP="00000000" w:rsidRDefault="00000000" w:rsidRPr="00000000" w14:paraId="0000008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26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LA LIMPIEZA Y DESINFECCIÓN EN EL MANEJO DE LOS RESIDUOS SÓLIDOS PELIGROSOS </w:t>
      </w:r>
    </w:p>
    <w:p w:rsidR="00000000" w:rsidDel="00000000" w:rsidP="00000000" w:rsidRDefault="00000000" w:rsidRPr="00000000" w14:paraId="00000083">
      <w:pPr>
        <w:numPr>
          <w:ilvl w:val="2"/>
          <w:numId w:val="3"/>
        </w:numPr>
        <w:pBdr>
          <w:top w:space="0" w:sz="0" w:val="nil"/>
          <w:left w:space="0" w:sz="0" w:val="nil"/>
          <w:bottom w:space="0" w:sz="0" w:val="nil"/>
          <w:right w:space="0" w:sz="0" w:val="nil"/>
          <w:between w:space="0" w:sz="0" w:val="nil"/>
        </w:pBdr>
        <w:shd w:fill="ffffff" w:val="clear"/>
        <w:spacing w:line="276" w:lineRule="auto"/>
        <w:ind w:left="1418" w:hanging="709"/>
        <w:jc w:val="both"/>
        <w:rPr>
          <w:color w:val="000000"/>
          <w:sz w:val="22"/>
          <w:szCs w:val="22"/>
        </w:rPr>
      </w:pPr>
      <w:r w:rsidDel="00000000" w:rsidR="00000000" w:rsidRPr="00000000">
        <w:rPr>
          <w:color w:val="000000"/>
          <w:sz w:val="22"/>
          <w:szCs w:val="22"/>
          <w:rtl w:val="0"/>
        </w:rPr>
        <w:t xml:space="preserve">Las personas que realicen la manipulación de los residuos sólidos generados en las sedes del IGP deben hacerlo utilizando guantes, mascarilla quirúrgica y EPPs (botas, mamelucos, lentes y protector fácil).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line="276" w:lineRule="auto"/>
        <w:ind w:left="1418" w:firstLine="0"/>
        <w:jc w:val="both"/>
        <w:rPr>
          <w:color w:val="000000"/>
          <w:sz w:val="22"/>
          <w:szCs w:val="22"/>
        </w:rPr>
      </w:pPr>
      <w:r w:rsidDel="00000000" w:rsidR="00000000" w:rsidRPr="00000000">
        <w:rPr>
          <w:rtl w:val="0"/>
        </w:rPr>
      </w:r>
    </w:p>
    <w:p w:rsidR="00000000" w:rsidDel="00000000" w:rsidP="00000000" w:rsidRDefault="00000000" w:rsidRPr="00000000" w14:paraId="00000085">
      <w:pPr>
        <w:numPr>
          <w:ilvl w:val="2"/>
          <w:numId w:val="3"/>
        </w:numPr>
        <w:pBdr>
          <w:top w:space="0" w:sz="0" w:val="nil"/>
          <w:left w:space="0" w:sz="0" w:val="nil"/>
          <w:bottom w:space="0" w:sz="0" w:val="nil"/>
          <w:right w:space="0" w:sz="0" w:val="nil"/>
          <w:between w:space="0" w:sz="0" w:val="nil"/>
        </w:pBdr>
        <w:shd w:fill="ffffff" w:val="clear"/>
        <w:spacing w:line="276" w:lineRule="auto"/>
        <w:ind w:left="1418" w:hanging="709"/>
        <w:jc w:val="both"/>
        <w:rPr>
          <w:color w:val="000000"/>
          <w:sz w:val="22"/>
          <w:szCs w:val="22"/>
        </w:rPr>
      </w:pPr>
      <w:r w:rsidDel="00000000" w:rsidR="00000000" w:rsidRPr="00000000">
        <w:rPr>
          <w:color w:val="000000"/>
          <w:sz w:val="22"/>
          <w:szCs w:val="22"/>
          <w:rtl w:val="0"/>
        </w:rPr>
        <w:t xml:space="preserve">El tacho o recipiente en el que se disponga la bolsa con los residuos sólidos debe ser lavado con detergente y desinfectado diariamente, con una solución de hipoclorito de sodio (lejía) diluida al 1 % o según las instrucciones de desinfección señaladas en la etiqueta del producto, el cual debe contar con autorización sanitaria de la Digesa, y dejar actuar durante cinco (5) minutos, como mínimo. De igual manera, se recomienda la limpieza y desinfección de las áreas donde estarán dispuestos los contenedores de estos residuos, de conformidad con las disposiciones establecidas en la Guía de Limpieza y Desinfección de Manos y Superficies aprobada por el Inacal.</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720" w:firstLine="0"/>
        <w:rPr>
          <w:color w:val="000000"/>
          <w:sz w:val="22"/>
          <w:szCs w:val="22"/>
        </w:rPr>
      </w:pPr>
      <w:r w:rsidDel="00000000" w:rsidR="00000000" w:rsidRPr="00000000">
        <w:rPr>
          <w:rtl w:val="0"/>
        </w:rPr>
      </w:r>
    </w:p>
    <w:p w:rsidR="00000000" w:rsidDel="00000000" w:rsidP="00000000" w:rsidRDefault="00000000" w:rsidRPr="00000000" w14:paraId="00000087">
      <w:pPr>
        <w:numPr>
          <w:ilvl w:val="2"/>
          <w:numId w:val="3"/>
        </w:numPr>
        <w:pBdr>
          <w:top w:space="0" w:sz="0" w:val="nil"/>
          <w:left w:space="0" w:sz="0" w:val="nil"/>
          <w:bottom w:space="0" w:sz="0" w:val="nil"/>
          <w:right w:space="0" w:sz="0" w:val="nil"/>
          <w:between w:space="0" w:sz="0" w:val="nil"/>
        </w:pBdr>
        <w:shd w:fill="ffffff" w:val="clear"/>
        <w:spacing w:line="276" w:lineRule="auto"/>
        <w:ind w:left="1418" w:hanging="709"/>
        <w:jc w:val="both"/>
        <w:rPr>
          <w:color w:val="000000"/>
          <w:sz w:val="22"/>
          <w:szCs w:val="22"/>
        </w:rPr>
      </w:pPr>
      <w:r w:rsidDel="00000000" w:rsidR="00000000" w:rsidRPr="00000000">
        <w:rPr>
          <w:color w:val="000000"/>
          <w:sz w:val="22"/>
          <w:szCs w:val="22"/>
          <w:rtl w:val="0"/>
        </w:rPr>
        <w:t xml:space="preserve">Para la limpieza y desinfección de superficies, se recomienda el uso de guantes descartables. En caso de contar con guantes reutilizables, estos deben ser utilizados de manera exclusiva para tal fin y deben ser limpiados luego de cada uso, de acuerdo con las instrucciones del fabricante.</w:t>
      </w:r>
    </w:p>
    <w:p w:rsidR="00000000" w:rsidDel="00000000" w:rsidP="00000000" w:rsidRDefault="00000000" w:rsidRPr="00000000" w14:paraId="00000088">
      <w:pPr>
        <w:shd w:fill="ffffff" w:val="clear"/>
        <w:spacing w:line="276" w:lineRule="auto"/>
        <w:jc w:val="both"/>
        <w:rPr>
          <w:color w:val="000000"/>
          <w:sz w:val="22"/>
          <w:szCs w:val="22"/>
        </w:rPr>
      </w:pPr>
      <w:r w:rsidDel="00000000" w:rsidR="00000000" w:rsidRPr="00000000">
        <w:rPr>
          <w:rtl w:val="0"/>
        </w:rPr>
      </w:r>
    </w:p>
    <w:p w:rsidR="00000000" w:rsidDel="00000000" w:rsidP="00000000" w:rsidRDefault="00000000" w:rsidRPr="00000000" w14:paraId="00000089">
      <w:pPr>
        <w:numPr>
          <w:ilvl w:val="2"/>
          <w:numId w:val="3"/>
        </w:numPr>
        <w:pBdr>
          <w:top w:space="0" w:sz="0" w:val="nil"/>
          <w:left w:space="0" w:sz="0" w:val="nil"/>
          <w:bottom w:space="0" w:sz="0" w:val="nil"/>
          <w:right w:space="0" w:sz="0" w:val="nil"/>
          <w:between w:space="0" w:sz="0" w:val="nil"/>
        </w:pBdr>
        <w:shd w:fill="ffffff" w:val="clear"/>
        <w:spacing w:line="276" w:lineRule="auto"/>
        <w:ind w:left="1418" w:hanging="709"/>
        <w:jc w:val="both"/>
        <w:rPr>
          <w:color w:val="000000"/>
          <w:sz w:val="22"/>
          <w:szCs w:val="22"/>
        </w:rPr>
      </w:pPr>
      <w:r w:rsidDel="00000000" w:rsidR="00000000" w:rsidRPr="00000000">
        <w:rPr>
          <w:color w:val="000000"/>
          <w:sz w:val="22"/>
          <w:szCs w:val="22"/>
          <w:rtl w:val="0"/>
        </w:rPr>
        <w:t xml:space="preserve">La limpieza y desinfección de superficies (pisos, paredes, ventanas, manijas de puertas, entre otras de mayor contacto) se debe realizar en húmedo (no barrer ni sacudir), utilizando paños, trapeadores, mopas u otros, con detergente o con una solución de hipoclorito de sodio (lejía) diluida al 0.1 % o según las instrucciones de desinfección señaladas en la etiqueta del producto. Todos los productos que se utilicen deben contar con el registro, la autorización o notificación sanitarias obligatoria correspondiente.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line="276" w:lineRule="auto"/>
        <w:ind w:left="1418" w:firstLine="0"/>
        <w:jc w:val="both"/>
        <w:rPr>
          <w:color w:val="000000"/>
          <w:sz w:val="22"/>
          <w:szCs w:val="22"/>
        </w:rPr>
      </w:pPr>
      <w:r w:rsidDel="00000000" w:rsidR="00000000" w:rsidRPr="00000000">
        <w:rPr>
          <w:rtl w:val="0"/>
        </w:rPr>
      </w:r>
    </w:p>
    <w:p w:rsidR="00000000" w:rsidDel="00000000" w:rsidP="00000000" w:rsidRDefault="00000000" w:rsidRPr="00000000" w14:paraId="0000008B">
      <w:pPr>
        <w:numPr>
          <w:ilvl w:val="2"/>
          <w:numId w:val="3"/>
        </w:numPr>
        <w:pBdr>
          <w:top w:space="0" w:sz="0" w:val="nil"/>
          <w:left w:space="0" w:sz="0" w:val="nil"/>
          <w:bottom w:space="0" w:sz="0" w:val="nil"/>
          <w:right w:space="0" w:sz="0" w:val="nil"/>
          <w:between w:space="0" w:sz="0" w:val="nil"/>
        </w:pBdr>
        <w:shd w:fill="ffffff" w:val="clear"/>
        <w:spacing w:line="276" w:lineRule="auto"/>
        <w:ind w:left="1418" w:hanging="709"/>
        <w:jc w:val="both"/>
        <w:rPr>
          <w:color w:val="000000"/>
          <w:sz w:val="22"/>
          <w:szCs w:val="22"/>
        </w:rPr>
      </w:pPr>
      <w:r w:rsidDel="00000000" w:rsidR="00000000" w:rsidRPr="00000000">
        <w:rPr>
          <w:color w:val="000000"/>
          <w:sz w:val="22"/>
          <w:szCs w:val="22"/>
          <w:rtl w:val="0"/>
        </w:rPr>
        <w:t xml:space="preserve">Después de realizar las actividades de limpieza y desinfección, se debe proceder con el lavado de los artículos con agua y detergente, para posteriormente desinfectarlos con solución de hipoclorito de sodio; y, luego se debe proceder con el descarte de los guantes y las mascarillas, para proseguir con el lavado de manos por veinte (20) segundos.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line="276" w:lineRule="auto"/>
        <w:ind w:left="1418" w:firstLine="0"/>
        <w:jc w:val="both"/>
        <w:rPr>
          <w:color w:val="000000"/>
          <w:sz w:val="22"/>
          <w:szCs w:val="22"/>
        </w:rPr>
      </w:pPr>
      <w:r w:rsidDel="00000000" w:rsidR="00000000" w:rsidRPr="00000000">
        <w:rPr>
          <w:rtl w:val="0"/>
        </w:rPr>
      </w:r>
    </w:p>
    <w:p w:rsidR="00000000" w:rsidDel="00000000" w:rsidP="00000000" w:rsidRDefault="00000000" w:rsidRPr="00000000" w14:paraId="0000008D">
      <w:pPr>
        <w:numPr>
          <w:ilvl w:val="2"/>
          <w:numId w:val="3"/>
        </w:numPr>
        <w:pBdr>
          <w:top w:space="0" w:sz="0" w:val="nil"/>
          <w:left w:space="0" w:sz="0" w:val="nil"/>
          <w:bottom w:space="0" w:sz="0" w:val="nil"/>
          <w:right w:space="0" w:sz="0" w:val="nil"/>
          <w:between w:space="0" w:sz="0" w:val="nil"/>
        </w:pBdr>
        <w:shd w:fill="ffffff" w:val="clear"/>
        <w:spacing w:line="276" w:lineRule="auto"/>
        <w:ind w:left="1418" w:hanging="709"/>
        <w:jc w:val="both"/>
        <w:rPr>
          <w:color w:val="000000"/>
          <w:sz w:val="22"/>
          <w:szCs w:val="22"/>
        </w:rPr>
      </w:pPr>
      <w:r w:rsidDel="00000000" w:rsidR="00000000" w:rsidRPr="00000000">
        <w:rPr>
          <w:color w:val="000000"/>
          <w:sz w:val="22"/>
          <w:szCs w:val="22"/>
          <w:rtl w:val="0"/>
        </w:rPr>
        <w:t xml:space="preserve">Antes de retirarse las mascarillas o EPPs, se debe lavar las manos con agua y jabón, por al menos 20 segundos. En caso de usar guantes, luego de retirárselos, se debe proceder son el lavado de manos con agua y jabón por al menos 20 segundos. En caso de no tener la disponibilidad de agua y jabón, se debe proceder con la desinfección de manos con una solución de alcohol al 70%. </w:t>
      </w:r>
    </w:p>
    <w:p w:rsidR="00000000" w:rsidDel="00000000" w:rsidP="00000000" w:rsidRDefault="00000000" w:rsidRPr="00000000" w14:paraId="0000008E">
      <w:pPr>
        <w:pStyle w:val="Heading1"/>
        <w:numPr>
          <w:ilvl w:val="0"/>
          <w:numId w:val="1"/>
        </w:numPr>
        <w:ind w:left="720" w:hanging="360"/>
        <w:jc w:val="both"/>
        <w:rPr>
          <w:color w:val="000000"/>
          <w:sz w:val="22"/>
          <w:szCs w:val="22"/>
        </w:rPr>
      </w:pPr>
      <w:bookmarkStart w:colFirst="0" w:colLast="0" w:name="_heading=h.4i7ojhp" w:id="11"/>
      <w:bookmarkEnd w:id="11"/>
      <w:r w:rsidDel="00000000" w:rsidR="00000000" w:rsidRPr="00000000">
        <w:rPr>
          <w:color w:val="000000"/>
          <w:sz w:val="22"/>
          <w:szCs w:val="22"/>
          <w:rtl w:val="0"/>
        </w:rPr>
        <w:t xml:space="preserve">ANEXOS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before="73" w:lineRule="auto"/>
        <w:ind w:left="714" w:right="1072" w:firstLine="0"/>
        <w:jc w:val="both"/>
        <w:rPr>
          <w:b w:val="1"/>
          <w:color w:val="000000"/>
          <w:sz w:val="22"/>
          <w:szCs w:val="2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73" w:lineRule="auto"/>
        <w:ind w:left="714" w:right="1072" w:firstLine="0"/>
        <w:jc w:val="both"/>
        <w:rPr>
          <w:b w:val="1"/>
          <w:color w:val="000000"/>
          <w:sz w:val="22"/>
          <w:szCs w:val="22"/>
        </w:rPr>
      </w:pPr>
      <w:bookmarkStart w:colFirst="0" w:colLast="0" w:name="_heading=h.26in1rg" w:id="12"/>
      <w:bookmarkEnd w:id="12"/>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1195705</wp:posOffset>
            </wp:positionH>
            <wp:positionV relativeFrom="paragraph">
              <wp:posOffset>359410</wp:posOffset>
            </wp:positionV>
            <wp:extent cx="2809875" cy="2209439"/>
            <wp:effectExtent b="0" l="0" r="0" t="0"/>
            <wp:wrapSquare wrapText="bothSides" distB="0" distT="0" distL="0" distR="0"/>
            <wp:docPr descr="Cómo gestionar en casa los residuos, guantes y mascarillas del ..." id="53" name="image2.jpg"/>
            <a:graphic>
              <a:graphicData uri="http://schemas.openxmlformats.org/drawingml/2006/picture">
                <pic:pic>
                  <pic:nvPicPr>
                    <pic:cNvPr descr="Cómo gestionar en casa los residuos, guantes y mascarillas del ..." id="0" name="image2.jpg"/>
                    <pic:cNvPicPr preferRelativeResize="0"/>
                  </pic:nvPicPr>
                  <pic:blipFill>
                    <a:blip r:embed="rId11"/>
                    <a:srcRect b="16200" l="0" r="0" t="0"/>
                    <a:stretch>
                      <a:fillRect/>
                    </a:stretch>
                  </pic:blipFill>
                  <pic:spPr>
                    <a:xfrm>
                      <a:off x="0" y="0"/>
                      <a:ext cx="2809875" cy="220943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415290</wp:posOffset>
            </wp:positionH>
            <wp:positionV relativeFrom="paragraph">
              <wp:posOffset>3084195</wp:posOffset>
            </wp:positionV>
            <wp:extent cx="4227050" cy="3068200"/>
            <wp:effectExtent b="0" l="0" r="0" t="0"/>
            <wp:wrapSquare wrapText="bothSides" distB="0" distT="0" distL="0" distR="0"/>
            <wp:docPr descr="Resultado de imagen para señaletica manejo de residuos biologicos ..." id="56" name="image1.png"/>
            <a:graphic>
              <a:graphicData uri="http://schemas.openxmlformats.org/drawingml/2006/picture">
                <pic:pic>
                  <pic:nvPicPr>
                    <pic:cNvPr descr="Resultado de imagen para señaletica manejo de residuos biologicos ..." id="0" name="image1.png"/>
                    <pic:cNvPicPr preferRelativeResize="0"/>
                  </pic:nvPicPr>
                  <pic:blipFill>
                    <a:blip r:embed="rId12"/>
                    <a:srcRect b="0" l="0" r="0" t="0"/>
                    <a:stretch>
                      <a:fillRect/>
                    </a:stretch>
                  </pic:blipFill>
                  <pic:spPr>
                    <a:xfrm>
                      <a:off x="0" y="0"/>
                      <a:ext cx="4227050" cy="3068200"/>
                    </a:xfrm>
                    <a:prstGeom prst="rect"/>
                    <a:ln/>
                  </pic:spPr>
                </pic:pic>
              </a:graphicData>
            </a:graphic>
          </wp:anchor>
        </w:drawing>
      </w:r>
    </w:p>
    <w:sectPr>
      <w:type w:val="nextPage"/>
      <w:pgSz w:h="16820" w:w="11900"/>
      <w:pgMar w:bottom="709" w:top="1418" w:left="1701" w:right="1701" w:header="720" w:footer="72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ind w:right="260"/>
      <w:rPr>
        <w:color w:val="222a35"/>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color w:val="000000"/>
        <w:rtl w:val="0"/>
      </w:rPr>
      <w:t xml:space="preserve">Página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5"/>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6"/>
      <w:gridCol w:w="4812"/>
      <w:gridCol w:w="2020"/>
      <w:tblGridChange w:id="0">
        <w:tblGrid>
          <w:gridCol w:w="1656"/>
          <w:gridCol w:w="4812"/>
          <w:gridCol w:w="2020"/>
        </w:tblGrid>
      </w:tblGridChange>
    </w:tblGrid>
    <w:tr>
      <w:trPr>
        <w:trHeight w:val="174" w:hRule="atLeast"/>
      </w:trPr>
      <w:tc>
        <w:tcPr>
          <w:vMerge w:val="restart"/>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419"/>
              <w:tab w:val="right" w:pos="8838"/>
            </w:tabs>
            <w:jc w:val="center"/>
            <w:rPr>
              <w:color w:val="000000"/>
            </w:rPr>
          </w:pPr>
          <w:r w:rsidDel="00000000" w:rsidR="00000000" w:rsidRPr="00000000">
            <w:rPr>
              <w:color w:val="000000"/>
            </w:rPr>
            <w:drawing>
              <wp:inline distB="0" distT="0" distL="0" distR="0">
                <wp:extent cx="983460" cy="287230"/>
                <wp:effectExtent b="0" l="0" r="0" t="0"/>
                <wp:docPr descr="C:\Users\emuer\Downloads\Logo IGP 2020 (5).png" id="54" name="image3.png"/>
                <a:graphic>
                  <a:graphicData uri="http://schemas.openxmlformats.org/drawingml/2006/picture">
                    <pic:pic>
                      <pic:nvPicPr>
                        <pic:cNvPr descr="C:\Users\emuer\Downloads\Logo IGP 2020 (5).png" id="0" name="image3.png"/>
                        <pic:cNvPicPr preferRelativeResize="0"/>
                      </pic:nvPicPr>
                      <pic:blipFill>
                        <a:blip r:embed="rId1"/>
                        <a:srcRect b="0" l="0" r="0" t="0"/>
                        <a:stretch>
                          <a:fillRect/>
                        </a:stretch>
                      </pic:blipFill>
                      <pic:spPr>
                        <a:xfrm>
                          <a:off x="0" y="0"/>
                          <a:ext cx="983460" cy="2872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419"/>
              <w:tab w:val="right" w:pos="8838"/>
            </w:tabs>
            <w:jc w:val="center"/>
            <w:rPr>
              <w:color w:val="000000"/>
              <w:sz w:val="14"/>
              <w:szCs w:val="14"/>
            </w:rPr>
          </w:pPr>
          <w:r w:rsidDel="00000000" w:rsidR="00000000" w:rsidRPr="00000000">
            <w:rPr>
              <w:color w:val="000000"/>
              <w:sz w:val="14"/>
              <w:szCs w:val="14"/>
              <w:rtl w:val="0"/>
            </w:rPr>
            <w:t xml:space="preserve">PROTOCOLO </w:t>
          </w:r>
        </w:p>
      </w:tc>
      <w:tc>
        <w:tcPr>
          <w:vMerge w:val="restart"/>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419"/>
              <w:tab w:val="right" w:pos="8838"/>
            </w:tabs>
            <w:jc w:val="center"/>
            <w:rPr>
              <w:color w:val="000000"/>
              <w:sz w:val="16"/>
              <w:szCs w:val="16"/>
            </w:rPr>
          </w:pPr>
          <w:r w:rsidDel="00000000" w:rsidR="00000000" w:rsidRPr="00000000">
            <w:rPr>
              <w:color w:val="000000"/>
              <w:sz w:val="16"/>
              <w:szCs w:val="16"/>
              <w:rtl w:val="0"/>
            </w:rPr>
            <w:t xml:space="preserve">Código: </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419"/>
              <w:tab w:val="right" w:pos="8838"/>
            </w:tabs>
            <w:jc w:val="center"/>
            <w:rPr>
              <w:color w:val="000000"/>
              <w:sz w:val="16"/>
              <w:szCs w:val="16"/>
            </w:rPr>
          </w:pPr>
          <w:r w:rsidDel="00000000" w:rsidR="00000000" w:rsidRPr="00000000">
            <w:rPr>
              <w:color w:val="000000"/>
              <w:sz w:val="16"/>
              <w:szCs w:val="16"/>
              <w:rtl w:val="0"/>
            </w:rPr>
            <w:t xml:space="preserve">PRO-005-2020-IGP/OAD</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419"/>
              <w:tab w:val="right" w:pos="8838"/>
            </w:tabs>
            <w:jc w:val="center"/>
            <w:rPr>
              <w:color w:val="000000"/>
            </w:rPr>
          </w:pPr>
          <w:r w:rsidDel="00000000" w:rsidR="00000000" w:rsidRPr="00000000">
            <w:rPr>
              <w:color w:val="000000"/>
              <w:sz w:val="16"/>
              <w:szCs w:val="16"/>
              <w:rtl w:val="0"/>
            </w:rPr>
            <w:t xml:space="preserve">Versión: 01</w:t>
          </w:r>
          <w:r w:rsidDel="00000000" w:rsidR="00000000" w:rsidRPr="00000000">
            <w:rPr>
              <w:rtl w:val="0"/>
            </w:rPr>
          </w:r>
        </w:p>
      </w:tc>
    </w:tr>
    <w:tr>
      <w:trPr>
        <w:trHeight w:val="209" w:hRule="atLeast"/>
      </w:trPr>
      <w:tc>
        <w:tcPr>
          <w:vMerge w:val="continue"/>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419"/>
              <w:tab w:val="right" w:pos="8838"/>
            </w:tabs>
            <w:jc w:val="center"/>
            <w:rPr>
              <w:b w:val="1"/>
              <w:color w:val="000000"/>
              <w:sz w:val="14"/>
              <w:szCs w:val="14"/>
            </w:rPr>
          </w:pPr>
          <w:r w:rsidDel="00000000" w:rsidR="00000000" w:rsidRPr="00000000">
            <w:rPr>
              <w:b w:val="1"/>
              <w:color w:val="000000"/>
              <w:sz w:val="14"/>
              <w:szCs w:val="14"/>
              <w:rtl w:val="0"/>
            </w:rPr>
            <w:t xml:space="preserve">PROTOCOLO ADMINISTRATIVO PARA EL MANEJO DE RESIDUOS PELIGROSOS POR COVID EN EL IGP</w:t>
          </w:r>
        </w:p>
      </w:tc>
      <w:tc>
        <w:tcPr>
          <w:vMerge w:val="continue"/>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4"/>
              <w:szCs w:val="14"/>
            </w:rPr>
          </w:pP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6"/>
      <w:gridCol w:w="4812"/>
      <w:gridCol w:w="2020"/>
      <w:tblGridChange w:id="0">
        <w:tblGrid>
          <w:gridCol w:w="1656"/>
          <w:gridCol w:w="4812"/>
          <w:gridCol w:w="2020"/>
        </w:tblGrid>
      </w:tblGridChange>
    </w:tblGrid>
    <w:tr>
      <w:trPr>
        <w:trHeight w:val="174" w:hRule="atLeast"/>
      </w:trPr>
      <w:tc>
        <w:tcPr>
          <w:vMerge w:val="restart"/>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419"/>
              <w:tab w:val="right" w:pos="8838"/>
            </w:tabs>
            <w:jc w:val="center"/>
            <w:rPr>
              <w:color w:val="000000"/>
            </w:rPr>
          </w:pPr>
          <w:r w:rsidDel="00000000" w:rsidR="00000000" w:rsidRPr="00000000">
            <w:rPr>
              <w:color w:val="000000"/>
            </w:rPr>
            <w:drawing>
              <wp:inline distB="0" distT="0" distL="0" distR="0">
                <wp:extent cx="983460" cy="287230"/>
                <wp:effectExtent b="0" l="0" r="0" t="0"/>
                <wp:docPr descr="C:\Users\emuer\Downloads\Logo IGP 2020 (5).png" id="55" name="image3.png"/>
                <a:graphic>
                  <a:graphicData uri="http://schemas.openxmlformats.org/drawingml/2006/picture">
                    <pic:pic>
                      <pic:nvPicPr>
                        <pic:cNvPr descr="C:\Users\emuer\Downloads\Logo IGP 2020 (5).png" id="0" name="image3.png"/>
                        <pic:cNvPicPr preferRelativeResize="0"/>
                      </pic:nvPicPr>
                      <pic:blipFill>
                        <a:blip r:embed="rId1"/>
                        <a:srcRect b="0" l="0" r="0" t="0"/>
                        <a:stretch>
                          <a:fillRect/>
                        </a:stretch>
                      </pic:blipFill>
                      <pic:spPr>
                        <a:xfrm>
                          <a:off x="0" y="0"/>
                          <a:ext cx="983460" cy="2872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419"/>
              <w:tab w:val="right" w:pos="8838"/>
            </w:tabs>
            <w:jc w:val="center"/>
            <w:rPr>
              <w:color w:val="000000"/>
              <w:sz w:val="14"/>
              <w:szCs w:val="14"/>
            </w:rPr>
          </w:pPr>
          <w:r w:rsidDel="00000000" w:rsidR="00000000" w:rsidRPr="00000000">
            <w:rPr>
              <w:color w:val="000000"/>
              <w:sz w:val="14"/>
              <w:szCs w:val="14"/>
              <w:rtl w:val="0"/>
            </w:rPr>
            <w:t xml:space="preserve">PROTOCOLO </w:t>
          </w:r>
        </w:p>
      </w:tc>
      <w:tc>
        <w:tcPr>
          <w:vMerge w:val="restart"/>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419"/>
              <w:tab w:val="right" w:pos="8838"/>
            </w:tabs>
            <w:jc w:val="center"/>
            <w:rPr>
              <w:color w:val="000000"/>
              <w:sz w:val="16"/>
              <w:szCs w:val="16"/>
            </w:rPr>
          </w:pPr>
          <w:r w:rsidDel="00000000" w:rsidR="00000000" w:rsidRPr="00000000">
            <w:rPr>
              <w:color w:val="000000"/>
              <w:sz w:val="16"/>
              <w:szCs w:val="16"/>
              <w:rtl w:val="0"/>
            </w:rPr>
            <w:t xml:space="preserve">Código: </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419"/>
              <w:tab w:val="right" w:pos="8838"/>
            </w:tabs>
            <w:jc w:val="center"/>
            <w:rPr>
              <w:color w:val="000000"/>
              <w:sz w:val="16"/>
              <w:szCs w:val="16"/>
            </w:rPr>
          </w:pPr>
          <w:r w:rsidDel="00000000" w:rsidR="00000000" w:rsidRPr="00000000">
            <w:rPr>
              <w:color w:val="000000"/>
              <w:sz w:val="16"/>
              <w:szCs w:val="16"/>
              <w:rtl w:val="0"/>
            </w:rPr>
            <w:t xml:space="preserve">PRO-005-2020-IGP/OAD</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419"/>
              <w:tab w:val="right" w:pos="8838"/>
            </w:tabs>
            <w:jc w:val="center"/>
            <w:rPr>
              <w:color w:val="000000"/>
            </w:rPr>
          </w:pPr>
          <w:r w:rsidDel="00000000" w:rsidR="00000000" w:rsidRPr="00000000">
            <w:rPr>
              <w:color w:val="000000"/>
              <w:sz w:val="16"/>
              <w:szCs w:val="16"/>
              <w:rtl w:val="0"/>
            </w:rPr>
            <w:t xml:space="preserve">Versión: 01</w:t>
          </w:r>
          <w:r w:rsidDel="00000000" w:rsidR="00000000" w:rsidRPr="00000000">
            <w:rPr>
              <w:rtl w:val="0"/>
            </w:rPr>
          </w:r>
        </w:p>
      </w:tc>
    </w:tr>
    <w:tr>
      <w:trPr>
        <w:trHeight w:val="209" w:hRule="atLeast"/>
      </w:trPr>
      <w:tc>
        <w:tcPr>
          <w:vMerge w:val="continue"/>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419"/>
              <w:tab w:val="right" w:pos="8838"/>
            </w:tabs>
            <w:jc w:val="center"/>
            <w:rPr>
              <w:b w:val="1"/>
              <w:color w:val="000000"/>
              <w:sz w:val="14"/>
              <w:szCs w:val="14"/>
            </w:rPr>
          </w:pPr>
          <w:r w:rsidDel="00000000" w:rsidR="00000000" w:rsidRPr="00000000">
            <w:rPr>
              <w:b w:val="1"/>
              <w:color w:val="000000"/>
              <w:sz w:val="14"/>
              <w:szCs w:val="14"/>
              <w:rtl w:val="0"/>
            </w:rPr>
            <w:t xml:space="preserve">PROTOCOLO ADMINISTRATIVO PARA EL MANEJO DE RESIDUOS PELIGROSOS POR COVID EN EL IGP</w:t>
          </w:r>
        </w:p>
      </w:tc>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4"/>
              <w:szCs w:val="14"/>
            </w:rPr>
          </w:pP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8"/>
      <w:numFmt w:val="decimal"/>
      <w:lvlText w:val="%1."/>
      <w:lvlJc w:val="left"/>
      <w:pPr>
        <w:ind w:left="540" w:hanging="540"/>
      </w:pPr>
      <w:rPr/>
    </w:lvl>
    <w:lvl w:ilvl="1">
      <w:start w:val="1"/>
      <w:numFmt w:val="decimal"/>
      <w:lvlText w:val="%1.%2."/>
      <w:lvlJc w:val="left"/>
      <w:pPr>
        <w:ind w:left="1260" w:hanging="720"/>
      </w:pPr>
      <w:rPr/>
    </w:lvl>
    <w:lvl w:ilvl="2">
      <w:start w:val="1"/>
      <w:numFmt w:val="decimal"/>
      <w:lvlText w:val="%1.%2.%3."/>
      <w:lvlJc w:val="left"/>
      <w:pPr>
        <w:ind w:left="1800" w:hanging="720"/>
      </w:pPr>
      <w:rPr/>
    </w:lvl>
    <w:lvl w:ilvl="3">
      <w:start w:val="1"/>
      <w:numFmt w:val="decimal"/>
      <w:lvlText w:val="%1.%2.%3.%4."/>
      <w:lvlJc w:val="left"/>
      <w:pPr>
        <w:ind w:left="2700" w:hanging="1080"/>
      </w:pPr>
      <w:rPr/>
    </w:lvl>
    <w:lvl w:ilvl="4">
      <w:start w:val="1"/>
      <w:numFmt w:val="decimal"/>
      <w:lvlText w:val="%1.%2.%3.%4.%5."/>
      <w:lvlJc w:val="left"/>
      <w:pPr>
        <w:ind w:left="3240" w:hanging="1080"/>
      </w:pPr>
      <w:rPr/>
    </w:lvl>
    <w:lvl w:ilvl="5">
      <w:start w:val="1"/>
      <w:numFmt w:val="decimal"/>
      <w:lvlText w:val="%1.%2.%3.%4.%5.%6."/>
      <w:lvlJc w:val="left"/>
      <w:pPr>
        <w:ind w:left="4140" w:hanging="1440"/>
      </w:pPr>
      <w:rPr/>
    </w:lvl>
    <w:lvl w:ilvl="6">
      <w:start w:val="1"/>
      <w:numFmt w:val="decimal"/>
      <w:lvlText w:val="%1.%2.%3.%4.%5.%6.%7."/>
      <w:lvlJc w:val="left"/>
      <w:pPr>
        <w:ind w:left="4680" w:hanging="1440"/>
      </w:pPr>
      <w:rPr/>
    </w:lvl>
    <w:lvl w:ilvl="7">
      <w:start w:val="1"/>
      <w:numFmt w:val="decimal"/>
      <w:lvlText w:val="%1.%2.%3.%4.%5.%6.%7.%8."/>
      <w:lvlJc w:val="left"/>
      <w:pPr>
        <w:ind w:left="5580" w:hanging="1800"/>
      </w:pPr>
      <w:rPr/>
    </w:lvl>
    <w:lvl w:ilvl="8">
      <w:start w:val="1"/>
      <w:numFmt w:val="decimal"/>
      <w:lvlText w:val="%1.%2.%3.%4.%5.%6.%7.%8.%9."/>
      <w:lvlJc w:val="left"/>
      <w:pPr>
        <w:ind w:left="6120" w:hanging="1800"/>
      </w:pPr>
      <w:rPr/>
    </w:lvl>
  </w:abstractNum>
  <w:abstractNum w:abstractNumId="4">
    <w:lvl w:ilvl="0">
      <w:start w:val="8"/>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5">
    <w:lvl w:ilvl="0">
      <w:start w:val="6"/>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15.0" w:type="dxa"/>
        <w:right w:w="115.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08.0" w:type="dxa"/>
        <w:right w:w="108.0" w:type="dxa"/>
      </w:tblCellMar>
    </w:tblPr>
  </w:style>
  <w:style w:type="table" w:styleId="a3" w:customStyle="1">
    <w:basedOn w:val="TableNormal2"/>
    <w:tblPr>
      <w:tblStyleRowBandSize w:val="1"/>
      <w:tblStyleColBandSize w:val="1"/>
      <w:tblCellMar>
        <w:left w:w="108.0" w:type="dxa"/>
        <w:right w:w="108.0" w:type="dxa"/>
      </w:tblCellMar>
    </w:tblPr>
  </w:style>
  <w:style w:type="table" w:styleId="a4" w:customStyle="1">
    <w:basedOn w:val="TableNormal2"/>
    <w:tblPr>
      <w:tblStyleRowBandSize w:val="1"/>
      <w:tblStyleColBandSize w:val="1"/>
      <w:tblCellMar>
        <w:left w:w="108.0" w:type="dxa"/>
        <w:right w:w="108.0" w:type="dxa"/>
      </w:tblCellMar>
    </w:tblPr>
  </w:style>
  <w:style w:type="table" w:styleId="a5" w:customStyle="1">
    <w:basedOn w:val="TableNormal2"/>
    <w:tblPr>
      <w:tblStyleRowBandSize w:val="1"/>
      <w:tblStyleColBandSize w:val="1"/>
      <w:tblCellMar>
        <w:left w:w="108.0" w:type="dxa"/>
        <w:right w:w="108.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left w:w="108.0" w:type="dxa"/>
        <w:right w:w="108.0" w:type="dxa"/>
      </w:tblCellMar>
    </w:tblPr>
  </w:style>
  <w:style w:type="table" w:styleId="ab" w:customStyle="1">
    <w:basedOn w:val="TableNormal2"/>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4F55A1"/>
    <w:pPr>
      <w:tabs>
        <w:tab w:val="center" w:pos="4252"/>
        <w:tab w:val="right" w:pos="8504"/>
      </w:tabs>
    </w:pPr>
  </w:style>
  <w:style w:type="character" w:styleId="EncabezadoCar" w:customStyle="1">
    <w:name w:val="Encabezado Car"/>
    <w:basedOn w:val="Fuentedeprrafopredeter"/>
    <w:link w:val="Encabezado"/>
    <w:uiPriority w:val="99"/>
    <w:rsid w:val="004F55A1"/>
  </w:style>
  <w:style w:type="paragraph" w:styleId="Piedepgina">
    <w:name w:val="footer"/>
    <w:basedOn w:val="Normal"/>
    <w:link w:val="PiedepginaCar"/>
    <w:uiPriority w:val="99"/>
    <w:unhideWhenUsed w:val="1"/>
    <w:rsid w:val="004F55A1"/>
    <w:pPr>
      <w:tabs>
        <w:tab w:val="center" w:pos="4252"/>
        <w:tab w:val="right" w:pos="8504"/>
      </w:tabs>
    </w:pPr>
  </w:style>
  <w:style w:type="character" w:styleId="PiedepginaCar" w:customStyle="1">
    <w:name w:val="Pie de página Car"/>
    <w:basedOn w:val="Fuentedeprrafopredeter"/>
    <w:link w:val="Piedepgina"/>
    <w:uiPriority w:val="99"/>
    <w:rsid w:val="004F55A1"/>
  </w:style>
  <w:style w:type="paragraph" w:styleId="Prrafodelista">
    <w:name w:val="List Paragraph"/>
    <w:basedOn w:val="Normal"/>
    <w:uiPriority w:val="34"/>
    <w:qFormat w:val="1"/>
    <w:rsid w:val="00FA365D"/>
    <w:pPr>
      <w:ind w:left="720"/>
      <w:contextualSpacing w:val="1"/>
    </w:pPr>
  </w:style>
  <w:style w:type="table" w:styleId="ac" w:customStyle="1">
    <w:basedOn w:val="TableNormal1"/>
    <w:tblPr>
      <w:tblStyleRowBandSize w:val="1"/>
      <w:tblStyleColBandSize w:val="1"/>
      <w:tblCellMar>
        <w:top w:w="100.0" w:type="dxa"/>
        <w:left w:w="108.0" w:type="dxa"/>
        <w:bottom w:w="100.0" w:type="dxa"/>
        <w:right w:w="108.0" w:type="dxa"/>
      </w:tblCellMar>
    </w:tblPr>
  </w:style>
  <w:style w:type="table" w:styleId="ad" w:customStyle="1">
    <w:basedOn w:val="TableNormal1"/>
    <w:tblPr>
      <w:tblStyleRowBandSize w:val="1"/>
      <w:tblStyleColBandSize w:val="1"/>
      <w:tblCellMar>
        <w:top w:w="100.0" w:type="dxa"/>
        <w:left w:w="108.0" w:type="dxa"/>
        <w:bottom w:w="100.0" w:type="dxa"/>
        <w:right w:w="108.0" w:type="dxa"/>
      </w:tblCellMar>
    </w:tblPr>
  </w:style>
  <w:style w:type="table" w:styleId="ae" w:customStyle="1">
    <w:basedOn w:val="TableNormal1"/>
    <w:tblPr>
      <w:tblStyleRowBandSize w:val="1"/>
      <w:tblStyleColBandSize w:val="1"/>
      <w:tblCellMar>
        <w:top w:w="100.0" w:type="dxa"/>
        <w:left w:w="108.0" w:type="dxa"/>
        <w:bottom w:w="100.0" w:type="dxa"/>
        <w:right w:w="108.0" w:type="dxa"/>
      </w:tblCellMar>
    </w:tblPr>
  </w:style>
  <w:style w:type="table" w:styleId="af" w:customStyle="1">
    <w:basedOn w:val="TableNormal1"/>
    <w:tblPr>
      <w:tblStyleRowBandSize w:val="1"/>
      <w:tblStyleColBandSize w:val="1"/>
      <w:tblCellMar>
        <w:top w:w="100.0" w:type="dxa"/>
        <w:left w:w="108.0" w:type="dxa"/>
        <w:bottom w:w="100.0" w:type="dxa"/>
        <w:right w:w="108.0" w:type="dxa"/>
      </w:tblCellMar>
    </w:tblPr>
  </w:style>
  <w:style w:type="table" w:styleId="af0" w:customStyle="1">
    <w:basedOn w:val="TableNormal1"/>
    <w:tblPr>
      <w:tblStyleRowBandSize w:val="1"/>
      <w:tblStyleColBandSize w:val="1"/>
      <w:tblCellMar>
        <w:top w:w="100.0" w:type="dxa"/>
        <w:left w:w="108.0" w:type="dxa"/>
        <w:bottom w:w="100.0" w:type="dxa"/>
        <w:right w:w="108.0" w:type="dxa"/>
      </w:tblCellMar>
    </w:tblPr>
  </w:style>
  <w:style w:type="table" w:styleId="af1" w:customStyle="1">
    <w:basedOn w:val="TableNormal1"/>
    <w:tblPr>
      <w:tblStyleRowBandSize w:val="1"/>
      <w:tblStyleColBandSize w:val="1"/>
      <w:tblCellMar>
        <w:top w:w="100.0" w:type="dxa"/>
        <w:left w:w="108.0" w:type="dxa"/>
        <w:bottom w:w="100.0" w:type="dxa"/>
        <w:right w:w="108.0" w:type="dxa"/>
      </w:tblCellMar>
    </w:tblPr>
  </w:style>
  <w:style w:type="table" w:styleId="af2" w:customStyle="1">
    <w:basedOn w:val="TableNormal1"/>
    <w:tblPr>
      <w:tblStyleRowBandSize w:val="1"/>
      <w:tblStyleColBandSize w:val="1"/>
      <w:tblCellMar>
        <w:top w:w="100.0" w:type="dxa"/>
        <w:left w:w="108.0" w:type="dxa"/>
        <w:bottom w:w="100.0" w:type="dxa"/>
        <w:right w:w="108.0" w:type="dxa"/>
      </w:tblCellMar>
    </w:tblPr>
  </w:style>
  <w:style w:type="paragraph" w:styleId="Textocomentario">
    <w:name w:val="annotation text"/>
    <w:basedOn w:val="Normal"/>
    <w:link w:val="TextocomentarioCar"/>
    <w:uiPriority w:val="99"/>
    <w:semiHidden w:val="1"/>
    <w:unhideWhenUsed w:val="1"/>
  </w:style>
  <w:style w:type="character" w:styleId="TextocomentarioCar" w:customStyle="1">
    <w:name w:val="Texto comentario Car"/>
    <w:basedOn w:val="Fuentedeprrafopredeter"/>
    <w:link w:val="Textocomentario"/>
    <w:uiPriority w:val="99"/>
    <w:semiHidden w:val="1"/>
  </w:style>
  <w:style w:type="character" w:styleId="Refdecomentario">
    <w:name w:val="annotation reference"/>
    <w:basedOn w:val="Fuentedeprrafopredeter"/>
    <w:uiPriority w:val="99"/>
    <w:semiHidden w:val="1"/>
    <w:unhideWhenUsed w:val="1"/>
    <w:rPr>
      <w:sz w:val="16"/>
      <w:szCs w:val="16"/>
    </w:rPr>
  </w:style>
  <w:style w:type="paragraph" w:styleId="Textodeglobo">
    <w:name w:val="Balloon Text"/>
    <w:basedOn w:val="Normal"/>
    <w:link w:val="TextodegloboCar"/>
    <w:uiPriority w:val="99"/>
    <w:semiHidden w:val="1"/>
    <w:unhideWhenUsed w:val="1"/>
    <w:rsid w:val="00123E8F"/>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23E8F"/>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610495"/>
    <w:rPr>
      <w:b w:val="1"/>
      <w:bCs w:val="1"/>
    </w:rPr>
  </w:style>
  <w:style w:type="character" w:styleId="AsuntodelcomentarioCar" w:customStyle="1">
    <w:name w:val="Asunto del comentario Car"/>
    <w:basedOn w:val="TextocomentarioCar"/>
    <w:link w:val="Asuntodelcomentario"/>
    <w:uiPriority w:val="99"/>
    <w:semiHidden w:val="1"/>
    <w:rsid w:val="00610495"/>
    <w:rPr>
      <w:b w:val="1"/>
      <w:bCs w:val="1"/>
    </w:rPr>
  </w:style>
  <w:style w:type="character" w:styleId="Hipervnculo">
    <w:name w:val="Hyperlink"/>
    <w:basedOn w:val="Fuentedeprrafopredeter"/>
    <w:uiPriority w:val="99"/>
    <w:unhideWhenUsed w:val="1"/>
    <w:rsid w:val="002B6AC1"/>
    <w:rPr>
      <w:color w:val="0000ff"/>
      <w:u w:val="single"/>
    </w:rPr>
  </w:style>
  <w:style w:type="character" w:styleId="Mencinsinresolver1" w:customStyle="1">
    <w:name w:val="Mención sin resolver1"/>
    <w:basedOn w:val="Fuentedeprrafopredeter"/>
    <w:uiPriority w:val="99"/>
    <w:semiHidden w:val="1"/>
    <w:unhideWhenUsed w:val="1"/>
    <w:rsid w:val="00746423"/>
    <w:rPr>
      <w:color w:val="605e5c"/>
      <w:shd w:color="auto" w:fill="e1dfdd" w:val="clear"/>
    </w:rPr>
  </w:style>
  <w:style w:type="paragraph" w:styleId="TtulodeTDC">
    <w:name w:val="TOC Heading"/>
    <w:basedOn w:val="Ttulo1"/>
    <w:next w:val="Normal"/>
    <w:uiPriority w:val="39"/>
    <w:unhideWhenUsed w:val="1"/>
    <w:qFormat w:val="1"/>
    <w:rsid w:val="00D823C0"/>
    <w:pPr>
      <w:widowControl w:val="1"/>
      <w:spacing w:after="0" w:line="276" w:lineRule="auto"/>
      <w:outlineLvl w:val="9"/>
    </w:pPr>
    <w:rPr>
      <w:rFonts w:asciiTheme="majorHAnsi" w:cstheme="majorBidi" w:eastAsiaTheme="majorEastAsia" w:hAnsiTheme="majorHAnsi"/>
      <w:bCs w:val="1"/>
      <w:color w:val="365f91" w:themeColor="accent1" w:themeShade="0000BF"/>
      <w:sz w:val="28"/>
      <w:szCs w:val="28"/>
      <w:lang w:eastAsia="es-ES_tradnl"/>
    </w:rPr>
  </w:style>
  <w:style w:type="paragraph" w:styleId="TDC1">
    <w:name w:val="toc 1"/>
    <w:basedOn w:val="Normal"/>
    <w:next w:val="Normal"/>
    <w:autoRedefine w:val="1"/>
    <w:uiPriority w:val="39"/>
    <w:unhideWhenUsed w:val="1"/>
    <w:rsid w:val="00D823C0"/>
    <w:pPr>
      <w:spacing w:before="120"/>
    </w:pPr>
    <w:rPr>
      <w:rFonts w:asciiTheme="minorHAnsi" w:hAnsiTheme="minorHAnsi"/>
      <w:b w:val="1"/>
      <w:bCs w:val="1"/>
      <w:i w:val="1"/>
      <w:iCs w:val="1"/>
      <w:sz w:val="24"/>
      <w:szCs w:val="24"/>
    </w:rPr>
  </w:style>
  <w:style w:type="paragraph" w:styleId="TDC2">
    <w:name w:val="toc 2"/>
    <w:basedOn w:val="Normal"/>
    <w:next w:val="Normal"/>
    <w:autoRedefine w:val="1"/>
    <w:uiPriority w:val="39"/>
    <w:semiHidden w:val="1"/>
    <w:unhideWhenUsed w:val="1"/>
    <w:rsid w:val="00D823C0"/>
    <w:pPr>
      <w:spacing w:before="120"/>
      <w:ind w:left="200"/>
    </w:pPr>
    <w:rPr>
      <w:rFonts w:asciiTheme="minorHAnsi" w:hAnsiTheme="minorHAnsi"/>
      <w:b w:val="1"/>
      <w:bCs w:val="1"/>
      <w:sz w:val="22"/>
      <w:szCs w:val="22"/>
    </w:rPr>
  </w:style>
  <w:style w:type="paragraph" w:styleId="TDC3">
    <w:name w:val="toc 3"/>
    <w:basedOn w:val="Normal"/>
    <w:next w:val="Normal"/>
    <w:autoRedefine w:val="1"/>
    <w:uiPriority w:val="39"/>
    <w:semiHidden w:val="1"/>
    <w:unhideWhenUsed w:val="1"/>
    <w:rsid w:val="00D823C0"/>
    <w:pPr>
      <w:ind w:left="400"/>
    </w:pPr>
    <w:rPr>
      <w:rFonts w:asciiTheme="minorHAnsi" w:hAnsiTheme="minorHAnsi"/>
    </w:rPr>
  </w:style>
  <w:style w:type="paragraph" w:styleId="TDC4">
    <w:name w:val="toc 4"/>
    <w:basedOn w:val="Normal"/>
    <w:next w:val="Normal"/>
    <w:autoRedefine w:val="1"/>
    <w:uiPriority w:val="39"/>
    <w:semiHidden w:val="1"/>
    <w:unhideWhenUsed w:val="1"/>
    <w:rsid w:val="00D823C0"/>
    <w:pPr>
      <w:ind w:left="600"/>
    </w:pPr>
    <w:rPr>
      <w:rFonts w:asciiTheme="minorHAnsi" w:hAnsiTheme="minorHAnsi"/>
    </w:rPr>
  </w:style>
  <w:style w:type="paragraph" w:styleId="TDC5">
    <w:name w:val="toc 5"/>
    <w:basedOn w:val="Normal"/>
    <w:next w:val="Normal"/>
    <w:autoRedefine w:val="1"/>
    <w:uiPriority w:val="39"/>
    <w:semiHidden w:val="1"/>
    <w:unhideWhenUsed w:val="1"/>
    <w:rsid w:val="00D823C0"/>
    <w:pPr>
      <w:ind w:left="800"/>
    </w:pPr>
    <w:rPr>
      <w:rFonts w:asciiTheme="minorHAnsi" w:hAnsiTheme="minorHAnsi"/>
    </w:rPr>
  </w:style>
  <w:style w:type="paragraph" w:styleId="TDC6">
    <w:name w:val="toc 6"/>
    <w:basedOn w:val="Normal"/>
    <w:next w:val="Normal"/>
    <w:autoRedefine w:val="1"/>
    <w:uiPriority w:val="39"/>
    <w:semiHidden w:val="1"/>
    <w:unhideWhenUsed w:val="1"/>
    <w:rsid w:val="00D823C0"/>
    <w:pPr>
      <w:ind w:left="1000"/>
    </w:pPr>
    <w:rPr>
      <w:rFonts w:asciiTheme="minorHAnsi" w:hAnsiTheme="minorHAnsi"/>
    </w:rPr>
  </w:style>
  <w:style w:type="paragraph" w:styleId="TDC7">
    <w:name w:val="toc 7"/>
    <w:basedOn w:val="Normal"/>
    <w:next w:val="Normal"/>
    <w:autoRedefine w:val="1"/>
    <w:uiPriority w:val="39"/>
    <w:semiHidden w:val="1"/>
    <w:unhideWhenUsed w:val="1"/>
    <w:rsid w:val="00D823C0"/>
    <w:pPr>
      <w:ind w:left="1200"/>
    </w:pPr>
    <w:rPr>
      <w:rFonts w:asciiTheme="minorHAnsi" w:hAnsiTheme="minorHAnsi"/>
    </w:rPr>
  </w:style>
  <w:style w:type="paragraph" w:styleId="TDC8">
    <w:name w:val="toc 8"/>
    <w:basedOn w:val="Normal"/>
    <w:next w:val="Normal"/>
    <w:autoRedefine w:val="1"/>
    <w:uiPriority w:val="39"/>
    <w:semiHidden w:val="1"/>
    <w:unhideWhenUsed w:val="1"/>
    <w:rsid w:val="00D823C0"/>
    <w:pPr>
      <w:ind w:left="1400"/>
    </w:pPr>
    <w:rPr>
      <w:rFonts w:asciiTheme="minorHAnsi" w:hAnsiTheme="minorHAnsi"/>
    </w:rPr>
  </w:style>
  <w:style w:type="paragraph" w:styleId="TDC9">
    <w:name w:val="toc 9"/>
    <w:basedOn w:val="Normal"/>
    <w:next w:val="Normal"/>
    <w:autoRedefine w:val="1"/>
    <w:uiPriority w:val="39"/>
    <w:semiHidden w:val="1"/>
    <w:unhideWhenUsed w:val="1"/>
    <w:rsid w:val="00D823C0"/>
    <w:pPr>
      <w:ind w:left="1600"/>
    </w:pPr>
    <w:rPr>
      <w:rFonts w:asciiTheme="minorHAnsi" w:hAnsiTheme="minorHAnsi"/>
    </w:rPr>
  </w:style>
  <w:style w:type="character" w:styleId="Hipervnculovisitado">
    <w:name w:val="FollowedHyperlink"/>
    <w:basedOn w:val="Fuentedeprrafopredeter"/>
    <w:uiPriority w:val="99"/>
    <w:semiHidden w:val="1"/>
    <w:unhideWhenUsed w:val="1"/>
    <w:rsid w:val="00D86484"/>
    <w:rPr>
      <w:color w:val="800080" w:themeColor="followedHyperlink"/>
      <w:u w:val="single"/>
    </w:rPr>
  </w:style>
  <w:style w:type="character" w:styleId="Ttulo1Car" w:customStyle="1">
    <w:name w:val="Título 1 Car"/>
    <w:basedOn w:val="Fuentedeprrafopredeter"/>
    <w:link w:val="Ttulo1"/>
    <w:uiPriority w:val="9"/>
    <w:rsid w:val="00FC25C7"/>
    <w:rPr>
      <w:b w:val="1"/>
      <w:sz w:val="48"/>
      <w:szCs w:val="48"/>
    </w:rPr>
  </w:style>
  <w:style w:type="table" w:styleId="af3" w:customStyle="1">
    <w:basedOn w:val="TableNormal0"/>
    <w:tblPr>
      <w:tblStyleRowBandSize w:val="1"/>
      <w:tblStyleColBandSize w:val="1"/>
      <w:tblCellMar>
        <w:top w:w="100.0" w:type="dxa"/>
        <w:left w:w="108.0" w:type="dxa"/>
        <w:bottom w:w="100.0" w:type="dxa"/>
        <w:right w:w="108.0" w:type="dxa"/>
      </w:tblCellMar>
    </w:tblPr>
  </w:style>
  <w:style w:type="table" w:styleId="af4" w:customStyle="1">
    <w:basedOn w:val="TableNormal0"/>
    <w:tblPr>
      <w:tblStyleRowBandSize w:val="1"/>
      <w:tblStyleColBandSize w:val="1"/>
      <w:tblCellMar>
        <w:top w:w="100.0" w:type="dxa"/>
        <w:left w:w="108.0" w:type="dxa"/>
        <w:bottom w:w="100.0" w:type="dxa"/>
        <w:right w:w="108.0" w:type="dxa"/>
      </w:tblCellMar>
    </w:tblPr>
  </w:style>
  <w:style w:type="table" w:styleId="af5" w:customStyle="1">
    <w:basedOn w:val="TableNormal0"/>
    <w:tblPr>
      <w:tblStyleRowBandSize w:val="1"/>
      <w:tblStyleColBandSize w:val="1"/>
      <w:tblCellMar>
        <w:top w:w="100.0" w:type="dxa"/>
        <w:left w:w="108.0" w:type="dxa"/>
        <w:bottom w:w="100.0" w:type="dxa"/>
        <w:right w:w="108.0" w:type="dxa"/>
      </w:tblCellMar>
    </w:tblPr>
  </w:style>
  <w:style w:type="table" w:styleId="af6" w:customStyle="1">
    <w:basedOn w:val="TableNormal0"/>
    <w:tblPr>
      <w:tblStyleRowBandSize w:val="1"/>
      <w:tblStyleColBandSize w:val="1"/>
      <w:tblCellMar>
        <w:top w:w="100.0" w:type="dxa"/>
        <w:left w:w="108.0" w:type="dxa"/>
        <w:bottom w:w="100.0" w:type="dxa"/>
        <w:right w:w="108.0" w:type="dxa"/>
      </w:tblCellMar>
    </w:tblPr>
  </w:style>
  <w:style w:type="table" w:styleId="af7" w:customStyle="1">
    <w:basedOn w:val="TableNormal0"/>
    <w:tblPr>
      <w:tblStyleRowBandSize w:val="1"/>
      <w:tblStyleColBandSize w:val="1"/>
      <w:tblCellMar>
        <w:top w:w="100.0" w:type="dxa"/>
        <w:left w:w="108.0" w:type="dxa"/>
        <w:bottom w:w="100.0" w:type="dxa"/>
        <w:right w:w="108.0" w:type="dxa"/>
      </w:tblCellMar>
    </w:tblPr>
  </w:style>
  <w:style w:type="table" w:styleId="5" w:customStyle="1">
    <w:name w:val="5"/>
    <w:basedOn w:val="Tablanormal"/>
    <w:rsid w:val="00005DD1"/>
    <w:tblPr>
      <w:tblStyleRowBandSize w:val="1"/>
      <w:tblStyleColBandSize w:val="1"/>
      <w:tblInd w:w="0.0" w:type="nil"/>
      <w:tblCellMar>
        <w:top w:w="100.0" w:type="dxa"/>
        <w:bottom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8QDPpKcQFpJ/NNKeg1SRGnWlwg==">AMUW2mWvaW+OzR4VyxmupfeyQQm/qeQYXUn+KKLW9fxk1k25PMWDWgl74iOpVnHLPu6uD28r0U2pJVlmhF5RZJ60kX5dUJ6CqSZRIgpAIinSDJz/zmFL+XSh9BtkCV6S5XWcOMWZa4O3ptsUixB+NXkLVCk4LQCDh4xcf9QsPGMqTch/mZERk0EKWMpfBENtoFAo2X15958yepgEoF9wN7oJStihtOXgM7PNBh3fU38/HEQSwgremSSoBD3pK37Y9CM6kyftqP5D+44EFlBZORFhTYZY52RORja7zL57M352jb5oExtv16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2020-08-18T17:34:00Z</dcterms:created>
  <dc:creator>fiore</dc:creator>
</cp:coreProperties>
</file>