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B2545"/>
          <w:sz w:val="44"/>
        </w:rPr>
        <w:t>Code Reference: robots.txt</w:t>
      </w:r>
    </w:p>
    <w:p>
      <w:r>
        <w:t>A source-level explanation with function details, file communication, variables, endpoints, and debugging notes.</w:t>
      </w:r>
    </w:p>
    <w:p>
      <w:r>
        <w:t>Generated from repository state at C:\Users\otien\OneDrive\Documents\omb-portfolio-builder.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7128"/>
      </w:tblGrid>
      <w:tr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Item</w:t>
            </w:r>
          </w:p>
        </w:tc>
        <w:tc>
          <w:tcPr>
            <w:tcW w:type="dxa" w:w="5184"/>
            <w:vAlign w:val="center"/>
            <w:shd w:fill="E8EEF5"/>
          </w:tcPr>
          <w:p>
            <w:r/>
            <w:r>
              <w:rPr>
                <w:rFonts w:ascii="Calibri" w:hAnsi="Calibri"/>
                <w:b/>
                <w:sz w:val="18"/>
              </w:rPr>
              <w:t>Explanation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File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robots.txt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Crawler instruction file for search engines.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Lines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Size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23 bytes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Talks to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Mostly local to its own feature area.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Functions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Variables/constants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API mentions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232"/>
            <w:vAlign w:val="center"/>
          </w:tcPr>
          <w:p>
            <w:r/>
            <w:r>
              <w:rPr>
                <w:rFonts w:ascii="Calibri" w:hAnsi="Calibri"/>
                <w:b/>
                <w:sz w:val="18"/>
              </w:rPr>
              <w:t>Signals</w:t>
            </w:r>
          </w:p>
        </w:tc>
        <w:tc>
          <w:tcPr>
            <w:tcW w:type="dxa" w:w="7128"/>
            <w:vAlign w:val="center"/>
          </w:tcPr>
          <w:p>
            <w:r/>
            <w:r>
              <w:rPr>
                <w:rFonts w:ascii="Calibri" w:hAnsi="Calibri"/>
                <w:b w:val="0"/>
                <w:sz w:val="18"/>
              </w:rPr>
              <w:t>0</w:t>
            </w:r>
          </w:p>
        </w:tc>
      </w:tr>
    </w:tbl>
    <w:p>
      <w:pPr>
        <w:pStyle w:val="Heading2"/>
      </w:pPr>
      <w:r>
        <w:t>How this file participates in the system</w:t>
      </w:r>
    </w:p>
    <w:p>
      <w:r>
        <w:t>This generated section reads the actual file and points out how it communicates with other pieces of the app. It is intentionally concrete: line numbers, declarations, endpoints, events, source excerpts, and debugging cues.</w:t>
      </w:r>
    </w:p>
    <w:p>
      <w:pPr>
        <w:pStyle w:val="Heading2"/>
      </w:pPr>
      <w:r>
        <w:t>Representative opening snippet</w:t>
      </w:r>
    </w:p>
    <w:p>
      <w:pPr>
        <w:pStyle w:val="CodeBlock"/>
      </w:pPr>
      <w:r>
        <w:rPr>
          <w:rFonts w:ascii="Consolas" w:hAnsi="Consolas" w:eastAsia="Consolas"/>
        </w:rPr>
        <w:t xml:space="preserve">    1: User-agent: *</w:t>
        <w:br/>
        <w:t xml:space="preserve">    2: Allow: /</w:t>
      </w:r>
    </w:p>
    <w:p>
      <w:pPr>
        <w:pStyle w:val="Heading2"/>
      </w:pPr>
      <w:r>
        <w:t>Beginner debugging checklist for this file</w:t>
      </w:r>
    </w:p>
    <w:p>
      <w:pPr>
        <w:pStyle w:val="ListNumber"/>
      </w:pPr>
      <w:r>
        <w:t>Name the user action, command, or workflow that reaches this file.</w:t>
      </w:r>
    </w:p>
    <w:p>
      <w:pPr>
        <w:pStyle w:val="ListNumber"/>
      </w:pPr>
      <w:r>
        <w:t>Find the exact function or route that owns the behavior.</w:t>
      </w:r>
    </w:p>
    <w:p>
      <w:pPr>
        <w:pStyle w:val="ListNumber"/>
      </w:pPr>
      <w:r>
        <w:t>Check the inputs: DOM state, request body, file path, local storage value, compiler source, or Git branch.</w:t>
      </w:r>
    </w:p>
    <w:p>
      <w:pPr>
        <w:pStyle w:val="ListNumber"/>
      </w:pPr>
      <w:r>
        <w:t>Check the outputs: returned JSON, updated DOM, written file, terminal output, generated project catalog, or published website asset.</w:t>
      </w:r>
    </w:p>
    <w:p>
      <w:pPr>
        <w:pStyle w:val="ListNumber"/>
      </w:pPr>
      <w:r>
        <w:t>If the issue crosses a boundary, test the boundary directly: browser console for frontend, endpoint call for backend, command line for Git/compiler, Cloudflare logs for Worker behavior.</w:t>
      </w:r>
    </w:p>
    <w:sectPr w:rsidR="00FC693F" w:rsidRPr="0006063C" w:rsidSect="00034616">
      <w:headerReference w:type="default" r:id="rId9"/>
      <w:pgSz w:w="12240" w:h="15840"/>
      <w:pgMar w:top="936" w:right="936" w:bottom="864" w:left="936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OMB Portfolio Builder and Website Complete Guide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40" w:after="60" w:line="240" w:lineRule="auto"/>
    </w:pPr>
    <w:rPr>
      <w:rFonts w:ascii="Consolas" w:hAnsi="Consolas" w:eastAsia="Consolas"/>
      <w:sz w:val="1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