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File Reference: .nojekyll</w:t>
      </w:r>
    </w:p>
    <w:p>
      <w:r>
        <w:t>A file-specific explanation covering purpose, owner layer, metadata, source details, implementation signals, source excerpts, and safe-change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.nojekyll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Documentation or text control file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root. Usually an entry file, app config, public website file, package manifest, or top-level documentation.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(none)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unknown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Tells GitHub Pages not to process the site with Jekyll, so folders and static files publish exactly as generated.</w:t>
      </w:r>
    </w:p>
    <w:p>
      <w:pPr>
        <w:pStyle w:val="ListBullet"/>
      </w:pPr>
      <w:r>
        <w:t>This makes GitHub Pages serve static files directly without Jekyll filtering.</w:t>
      </w:r>
    </w:p>
    <w:p>
      <w:pPr>
        <w:pStyle w:val="Heading2"/>
      </w:pPr>
      <w:r>
        <w:t>How it is used</w:t>
      </w:r>
    </w:p>
    <w:p>
      <w:r>
        <w:t>Repository root. Usually an entry file, app config, public website file, package manifest, or top-level documentation.</w:t>
      </w:r>
    </w:p>
    <w:p>
      <w:pPr>
        <w:pStyle w:val="Heading2"/>
      </w:pPr>
      <w:r>
        <w:t>Readable content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