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File Reference: portfolio-README.md</w:t>
      </w:r>
    </w:p>
    <w:p>
      <w:r>
        <w:t>A file-specific explanation covering purpose, owner layer, metadata, source details, implementation signals, source excerpts, and safe-change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portfolio-README.md</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2,893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text/markdown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67</w:t>
            </w:r>
          </w:p>
        </w:tc>
      </w:tr>
    </w:tbl>
    <w:p>
      <w:pPr>
        <w:pStyle w:val="Heading2"/>
      </w:pPr>
      <w:r>
        <w:t>Why this file exists</w:t>
      </w:r>
    </w:p>
    <w:p>
      <w:pPr>
        <w:pStyle w:val="ListBullet"/>
      </w:pPr>
      <w:r>
        <w:t>README for the generated public portfolio website rather than the builder application.</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47.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5</w:t>
            </w:r>
          </w:p>
        </w:tc>
        <w:tc>
          <w:tcPr>
            <w:tcW w:type="dxa" w:w="7128"/>
            <w:vAlign w:val="center"/>
          </w:tcPr>
          <w:p>
            <w:r/>
            <w:r>
              <w:rPr>
                <w:rFonts w:ascii="Calibri" w:hAnsi="Calibri"/>
                <w:b w:val="0"/>
                <w:sz w:val="18"/>
              </w:rPr>
              <w:t>Public AI assistant, Worker deployment, or model-provider fallback behavior. Evidence: For the full beginner explanation of how the builder creates this website, how the files communicate, how GitHub/Cloudflare publishing works, and what each build tool does, open:</w:t>
            </w:r>
          </w:p>
        </w:tc>
      </w:tr>
      <w:tr>
        <w:tc>
          <w:tcPr>
            <w:tcW w:type="dxa" w:w="2232"/>
            <w:vAlign w:val="center"/>
          </w:tcPr>
          <w:p>
            <w:r/>
            <w:r>
              <w:rPr>
                <w:rFonts w:ascii="Calibri" w:hAnsi="Calibri"/>
                <w:b/>
                <w:sz w:val="18"/>
              </w:rPr>
              <w:t>Installer at line 26</w:t>
            </w:r>
          </w:p>
        </w:tc>
        <w:tc>
          <w:tcPr>
            <w:tcW w:type="dxa" w:w="7128"/>
            <w:vAlign w:val="center"/>
          </w:tcPr>
          <w:p>
            <w:r/>
            <w:r>
              <w:rPr>
                <w:rFonts w:ascii="Calibri" w:hAnsi="Calibri"/>
                <w:b w:val="0"/>
                <w:sz w:val="18"/>
              </w:rPr>
              <w:t>Windows setup, update, shortcut, or installation behavior. Evidence: - Installer scripts or app release artifacts.</w:t>
            </w:r>
          </w:p>
        </w:tc>
      </w:tr>
      <w:tr>
        <w:tc>
          <w:tcPr>
            <w:tcW w:type="dxa" w:w="2232"/>
            <w:vAlign w:val="center"/>
          </w:tcPr>
          <w:p>
            <w:r/>
            <w:r>
              <w:rPr>
                <w:rFonts w:ascii="Calibri" w:hAnsi="Calibri"/>
                <w:b/>
                <w:sz w:val="18"/>
              </w:rPr>
              <w:t>Security or auth at line 28</w:t>
            </w:r>
          </w:p>
        </w:tc>
        <w:tc>
          <w:tcPr>
            <w:tcW w:type="dxa" w:w="7128"/>
            <w:vAlign w:val="center"/>
          </w:tcPr>
          <w:p>
            <w:r/>
            <w:r>
              <w:rPr>
                <w:rFonts w:ascii="Calibri" w:hAnsi="Calibri"/>
                <w:b w:val="0"/>
                <w:sz w:val="18"/>
              </w:rPr>
              <w:t>Publishing protection, API key safety, HTTP security, or user authorization. Evidence: - Private credentials, tokens, or authentication cache files.</w:t>
            </w:r>
          </w:p>
        </w:tc>
      </w:tr>
      <w:tr>
        <w:tc>
          <w:tcPr>
            <w:tcW w:type="dxa" w:w="2232"/>
            <w:vAlign w:val="center"/>
          </w:tcPr>
          <w:p>
            <w:r/>
            <w:r>
              <w:rPr>
                <w:rFonts w:ascii="Calibri" w:hAnsi="Calibri"/>
                <w:b/>
                <w:sz w:val="18"/>
              </w:rPr>
              <w:t>Cloudflare or AI at line 42</w:t>
            </w:r>
          </w:p>
        </w:tc>
        <w:tc>
          <w:tcPr>
            <w:tcW w:type="dxa" w:w="7128"/>
            <w:vAlign w:val="center"/>
          </w:tcPr>
          <w:p>
            <w:r/>
            <w:r>
              <w:rPr>
                <w:rFonts w:ascii="Calibri" w:hAnsi="Calibri"/>
                <w:b w:val="0"/>
                <w:sz w:val="18"/>
              </w:rPr>
              <w:t>Public AI assistant, Worker deployment, or model-provider fallback behavior. Evidence: If the website uses the AI assistant, its backend belongs to the Cloudflare Worker in `cloudflare/`. That Worker is part of the website runtime. It is separate from the Windows builder application.</w:t>
            </w:r>
          </w:p>
        </w:tc>
      </w:tr>
      <w:tr>
        <w:tc>
          <w:tcPr>
            <w:tcW w:type="dxa" w:w="2232"/>
            <w:vAlign w:val="center"/>
          </w:tcPr>
          <w:p>
            <w:r/>
            <w:r>
              <w:rPr>
                <w:rFonts w:ascii="Calibri" w:hAnsi="Calibri"/>
                <w:b/>
                <w:sz w:val="18"/>
              </w:rPr>
              <w:t>Cloudflare or AI at line 47</w:t>
            </w:r>
          </w:p>
        </w:tc>
        <w:tc>
          <w:tcPr>
            <w:tcW w:type="dxa" w:w="7128"/>
            <w:vAlign w:val="center"/>
          </w:tcPr>
          <w:p>
            <w:r/>
            <w:r>
              <w:rPr>
                <w:rFonts w:ascii="Calibri" w:hAnsi="Calibri"/>
                <w:b w:val="0"/>
                <w:sz w:val="18"/>
              </w:rPr>
              <w:t>Public AI assistant, Worker deployment, or model-provider fallback behavior. Evidence: &lt;meta name="portfolio-ai-endpoint" content="/api/portfolio-ai" /&gt;</w:t>
            </w:r>
          </w:p>
        </w:tc>
      </w:tr>
      <w:tr>
        <w:tc>
          <w:tcPr>
            <w:tcW w:type="dxa" w:w="2232"/>
            <w:vAlign w:val="center"/>
          </w:tcPr>
          <w:p>
            <w:r/>
            <w:r>
              <w:rPr>
                <w:rFonts w:ascii="Calibri" w:hAnsi="Calibri"/>
                <w:b/>
                <w:sz w:val="18"/>
              </w:rPr>
              <w:t>Cloudflare or AI at line 50</w:t>
            </w:r>
          </w:p>
        </w:tc>
        <w:tc>
          <w:tcPr>
            <w:tcW w:type="dxa" w:w="7128"/>
            <w:vAlign w:val="center"/>
          </w:tcPr>
          <w:p>
            <w:r/>
            <w:r>
              <w:rPr>
                <w:rFonts w:ascii="Calibri" w:hAnsi="Calibri"/>
                <w:b w:val="0"/>
                <w:sz w:val="18"/>
              </w:rPr>
              <w:t>Public AI assistant, Worker deployment, or model-provider fallback behavior. Evidence: For `mauriceotieno.com`, deploy the Worker from `cloudflare/` and keep DNS proxied through Cloudflare so the route `mauriceotieno.com/api/portfolio-ai` reaches the Worker. Configure the Worker secret with:</w:t>
            </w:r>
          </w:p>
        </w:tc>
      </w:tr>
      <w:tr>
        <w:tc>
          <w:tcPr>
            <w:tcW w:type="dxa" w:w="2232"/>
            <w:vAlign w:val="center"/>
          </w:tcPr>
          <w:p>
            <w:r/>
            <w:r>
              <w:rPr>
                <w:rFonts w:ascii="Calibri" w:hAnsi="Calibri"/>
                <w:b/>
                <w:sz w:val="18"/>
              </w:rPr>
              <w:t>Cloudflare or AI at line 53</w:t>
            </w:r>
          </w:p>
        </w:tc>
        <w:tc>
          <w:tcPr>
            <w:tcW w:type="dxa" w:w="7128"/>
            <w:vAlign w:val="center"/>
          </w:tcPr>
          <w:p>
            <w:r/>
            <w:r>
              <w:rPr>
                <w:rFonts w:ascii="Calibri" w:hAnsi="Calibri"/>
                <w:b w:val="0"/>
                <w:sz w:val="18"/>
              </w:rPr>
              <w:t>Public AI assistant, Worker deployment, or model-provider fallback behavior. Evidence: npx wrangler secret put OPENAI_API_KEY</w:t>
            </w:r>
          </w:p>
        </w:tc>
      </w:tr>
      <w:tr>
        <w:tc>
          <w:tcPr>
            <w:tcW w:type="dxa" w:w="2232"/>
            <w:vAlign w:val="center"/>
          </w:tcPr>
          <w:p>
            <w:r/>
            <w:r>
              <w:rPr>
                <w:rFonts w:ascii="Calibri" w:hAnsi="Calibri"/>
                <w:b/>
                <w:sz w:val="18"/>
              </w:rPr>
              <w:t>Cloudflare or AI at line 59</w:t>
            </w:r>
          </w:p>
        </w:tc>
        <w:tc>
          <w:tcPr>
            <w:tcW w:type="dxa" w:w="7128"/>
            <w:vAlign w:val="center"/>
          </w:tcPr>
          <w:p>
            <w:r/>
            <w:r>
              <w:rPr>
                <w:rFonts w:ascii="Calibri" w:hAnsi="Calibri"/>
                <w:b w:val="0"/>
                <w:sz w:val="18"/>
              </w:rPr>
              <w:t>Public AI assistant, Worker deployment, or model-provider fallback behavior. Evidence: cd cloudflare</w:t>
            </w:r>
          </w:p>
        </w:tc>
      </w:tr>
      <w:tr>
        <w:tc>
          <w:tcPr>
            <w:tcW w:type="dxa" w:w="2232"/>
            <w:vAlign w:val="center"/>
          </w:tcPr>
          <w:p>
            <w:r/>
            <w:r>
              <w:rPr>
                <w:rFonts w:ascii="Calibri" w:hAnsi="Calibri"/>
                <w:b/>
                <w:sz w:val="18"/>
              </w:rPr>
              <w:t>Cloudflare or AI at line 60</w:t>
            </w:r>
          </w:p>
        </w:tc>
        <w:tc>
          <w:tcPr>
            <w:tcW w:type="dxa" w:w="7128"/>
            <w:vAlign w:val="center"/>
          </w:tcPr>
          <w:p>
            <w:r/>
            <w:r>
              <w:rPr>
                <w:rFonts w:ascii="Calibri" w:hAnsi="Calibri"/>
                <w:b w:val="0"/>
                <w:sz w:val="18"/>
              </w:rPr>
              <w:t>Public AI assistant, Worker deployment, or model-provider fallback behavior. Evidence: npx wrangler deploy</w:t>
            </w:r>
          </w:p>
        </w:tc>
      </w:tr>
      <w:tr>
        <w:tc>
          <w:tcPr>
            <w:tcW w:type="dxa" w:w="2232"/>
            <w:vAlign w:val="center"/>
          </w:tcPr>
          <w:p>
            <w:r/>
            <w:r>
              <w:rPr>
                <w:rFonts w:ascii="Calibri" w:hAnsi="Calibri"/>
                <w:b/>
                <w:sz w:val="18"/>
              </w:rPr>
              <w:t>Cloudflare or AI at line 63</w:t>
            </w:r>
          </w:p>
        </w:tc>
        <w:tc>
          <w:tcPr>
            <w:tcW w:type="dxa" w:w="7128"/>
            <w:vAlign w:val="center"/>
          </w:tcPr>
          <w:p>
            <w:r/>
            <w:r>
              <w:rPr>
                <w:rFonts w:ascii="Calibri" w:hAnsi="Calibri"/>
                <w:b w:val="0"/>
                <w:sz w:val="18"/>
              </w:rPr>
              <w:t>Public AI assistant, Worker deployment, or model-provider fallback behavior. Evidence: If the AI widget falls back to local/canned answers on the public site, check three things first: the meta endpoint exists in `index.html`, the Cloudflare Worker route exists for `/api/portfolio-ai`, and the Worker has t</w:t>
            </w:r>
          </w:p>
        </w:tc>
      </w:tr>
    </w:tbl>
    <w:p>
      <w:pPr>
        <w:pStyle w:val="Heading2"/>
      </w:pPr>
      <w:r>
        <w:t>Representative opening snippet</w:t>
      </w:r>
    </w:p>
    <w:p>
      <w:pPr>
        <w:pStyle w:val="CodeBlock"/>
      </w:pPr>
      <w:r>
        <w:rPr>
          <w:rFonts w:ascii="Consolas" w:hAnsi="Consolas" w:eastAsia="Consolas"/>
        </w:rPr>
        <w:t xml:space="preserve">    1: # Portfolio Website</w:t>
        <w:br/>
        <w:t xml:space="preserve">    2: </w:t>
        <w:br/>
        <w:t xml:space="preserve">    3: This repository/folder contains the generated portfolio website files. It is the public site output, not the Windows builder application source.</w:t>
        <w:br/>
        <w:t xml:space="preserve">    4: </w:t>
        <w:br/>
        <w:t xml:space="preserve">    5: For the full beginner explanation of how the builder creates this website, how the files communicate, how GitHub/Cloudflare publishing works, and what each build tool does, open:</w:t>
        <w:br/>
        <w:t xml:space="preserve">    6: </w:t>
        <w:br/>
        <w:t xml:space="preserve">    7: ```text</w:t>
        <w:br/>
        <w:t xml:space="preserve">    8: docs/OMB_Portfolio_Builder_Complete_Guide.docx</w:t>
        <w:br/>
        <w:t xml:space="preserve">    9: ```</w:t>
        <w:br/>
        <w:t xml:space="preserve">   10: </w:t>
        <w:br/>
        <w:t xml:space="preserve">   11: ## What Belongs Here</w:t>
        <w:br/>
        <w:t xml:space="preserve">   12: </w:t>
        <w:br/>
        <w:t xml:space="preserve">   13: - `index.html` for the public page shell.</w:t>
        <w:br/>
        <w:t xml:space="preserve">   14: - `styles.css` for website styling.</w:t>
        <w:br/>
        <w:t xml:space="preserve">   15: - `script.js` and `electronics-search.js` for website interaction.</w:t>
        <w:br/>
        <w:t xml:space="preserve">   16: - `projects.json` for the saved public portfolio catalog.</w:t>
        <w:br/>
        <w:t xml:space="preserve">   17: - `assets/` for public images, icons, resumes, and profile media.</w:t>
        <w:br/>
        <w:t xml:space="preserve">   18: - `docs/` for public project documents and downloadable evidence.</w:t>
        <w:br/>
        <w:t xml:space="preserve">   19: - `Backgrounds/` for public background images.</w:t>
        <w:br/>
        <w:t xml:space="preserve">   20: - `CNAME` when a custom domain is configured.</w:t>
        <w:br/>
        <w:t xml:space="preserve">   21: - `robots.txt` and `sitemap.xml` for search engines.</w:t>
        <w:br/>
        <w:t xml:space="preserve">   22: </w:t>
        <w:br/>
        <w:t xml:space="preserve">   23: ## What Does Not Belong Here</w:t>
        <w:br/>
        <w:t xml:space="preserve">   24: </w:t>
        <w:br/>
        <w:t xml:space="preserve">   25: - Builder desktop app source files.</w:t>
        <w:br/>
        <w:t xml:space="preserve">   26: - Installer scripts or app release artifacts.</w:t>
        <w:br/>
        <w:t xml:space="preserve">   27: - Local draft files such as `projects.local.json`.</w:t>
        <w:br/>
        <w:t xml:space="preserve">   28: - Private credentials, tokens, or authentication cache files.</w:t>
        <w:br/>
        <w:t xml:space="preserve">   29: </w:t>
        <w:br/>
        <w:t xml:space="preserve">   30: ## Hosting</w:t>
        <w:br/>
        <w:t xml:space="preserve">   31: </w:t>
        <w:br/>
        <w:t xml:space="preserve">   32: The site is designed for static hosting such as GitHub Pages. A custom domain can be connected by placing the domain name in `CNAME` and pointing DNS at the hosting provider.</w:t>
        <w:br/>
        <w:t xml:space="preserve">   33: </w:t>
        <w:br/>
        <w:t xml:space="preserve">   34: ## Updating Content</w:t>
        <w:br/>
        <w:t xml:space="preserve">   35: </w:t>
        <w:br/>
        <w:t xml:space="preserve">   36: The website files are generated from saved public catalog data and public assets. Edit content in the local editing workspace, save the draft, preview the generated site, then publish the generated output into this folder/repository.</w:t>
        <w:br/>
        <w:t xml:space="preserve">   37: </w:t>
        <w:br/>
        <w:t xml:space="preserve">   38: Manual edits inside this folder can be overwritten by the next publish. Keep lasting content changes in the editing workspace.</w:t>
        <w:br/>
        <w:t xml:space="preserve">   39: </w:t>
        <w:br/>
        <w:t xml:space="preserve">   40: ## Portfolio AI</w:t>
        <w:br/>
        <w:t xml:space="preserve">   41: </w:t>
        <w:br/>
        <w:t xml:space="preserve">   42: If the website uses the AI assistant, its backend belongs to the Cloudflare Worker in `cloudflare/`. That Worker is part of the website runtime. It is separate from the Windows builder application.</w:t>
        <w:br/>
        <w:t xml:space="preserve">   43: </w:t>
        <w:br/>
        <w:t xml:space="preserve">   44: The public page should include:</w:t>
        <w:br/>
        <w:t xml:space="preserve">   45: </w:t>
        <w:br/>
        <w:t xml:space="preserve">   46: ```html</w:t>
        <w:br/>
        <w:t xml:space="preserve">   47: &lt;meta name="portfolio-ai-endpoint" content="/api/portfolio-ai" /&gt;</w:t>
        <w:br/>
        <w:t xml:space="preserve">   48: ```</w:t>
        <w:br/>
        <w:t xml:space="preserve">   49: </w:t>
        <w:br/>
        <w:t xml:space="preserve">   50: For `mauriceotieno.com`, deploy the Worker from `cloudflare/` and keep DNS proxied through Cloudflare so the route `mauriceotieno.com/api/portfolio-ai` reaches the Worker. Configure the Worker secret with:</w:t>
        <w:br/>
        <w:t xml:space="preserve">   51: </w:t>
        <w:br/>
        <w:t xml:space="preserve">   52: ```powershell</w:t>
        <w:br/>
        <w:t xml:space="preserve">   53: npx wrangler secret put OPENAI_API_KEY</w:t>
        <w:br/>
        <w:t xml:space="preserve">   54: ```</w:t>
        <w:br/>
        <w:t xml:space="preserve">   55: </w:t>
        <w:br/>
        <w:t xml:space="preserve">   56: Then deploy:</w:t>
        <w:br/>
        <w:t xml:space="preserve">   57: </w:t>
        <w:br/>
        <w:t xml:space="preserve">   58: ```powershell</w:t>
        <w:br/>
        <w:t xml:space="preserve">   59: cd cloudflare</w:t>
        <w:br/>
        <w:t xml:space="preserve">   60: npx wrangler deploy</w:t>
        <w:br/>
        <w:t xml:space="preserve">   61: ```</w:t>
        <w:br/>
        <w:t xml:space="preserve">   62: </w:t>
        <w:br/>
        <w:t xml:space="preserve">   63: If the AI widget falls back to local/canned answers on the public site, check three things first: the meta endpoint exists in `index.html`, the Cloudflare Worker route exists for `/api/portfolio-ai`, and the Worker has the `OPENAI_API_KEY` secret.</w:t>
        <w:br/>
        <w:t xml:space="preserve">   64: </w:t>
        <w:br/>
        <w:t xml:space="preserve">   65: ## Public Safety</w:t>
        <w:br/>
        <w:t xml:space="preserve">   66: </w:t>
        <w:br/>
        <w:t xml:space="preserve">   67: Only public files should be stored here. Before publishing, confirm that resumes, documents, images, project files, source links, and downloadable artifacts are intended for public viewing.</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