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545"/>
          <w:sz w:val="44"/>
        </w:rPr>
        <w:t>Important Code Reference: template-preview.html</w:t>
      </w:r>
    </w:p>
    <w:p>
      <w:r>
        <w:t>A focused code/control-file explanation covering purpose, owner layer, APIs, variables, implementation signals, source excerpts, and debugging rules.</w:t>
      </w:r>
    </w:p>
    <w:p>
      <w:r>
        <w:t>Generated from repository state at C:\Users\otien\OneDrive\Documents\omb-portfolio-builder.</w:t>
      </w:r>
    </w:p>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template-preview.html</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Website/builder UI source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92,731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.html</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text/html</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1,349</w:t>
            </w:r>
          </w:p>
        </w:tc>
      </w:tr>
    </w:tbl>
    <w:p>
      <w:pPr>
        <w:pStyle w:val="Heading2"/>
      </w:pPr>
      <w:r>
        <w:t>Why this file exists</w:t>
      </w:r>
    </w:p>
    <w:p>
      <w:pPr>
        <w:pStyle w:val="ListBullet"/>
      </w:pPr>
      <w:r>
        <w:t>Builder HTML shell loaded inside the Electron app and local preview runtime.</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Installer at line 11</w:t>
            </w:r>
          </w:p>
        </w:tc>
        <w:tc>
          <w:tcPr>
            <w:tcW w:type="dxa" w:w="7128"/>
            <w:vAlign w:val="center"/>
          </w:tcPr>
          <w:p>
            <w:r/>
            <w:r>
              <w:rPr>
                <w:rFonts w:ascii="Calibri" w:hAnsi="Calibri"/>
                <w:b w:val="0"/>
                <w:sz w:val="18"/>
              </w:rPr>
              <w:t>Windows setup, update, shortcut, or installation behavior. Evidence: &lt;link rel="shortcut icon" href="assets/favicon.ico" /&gt;</w:t>
            </w:r>
          </w:p>
        </w:tc>
      </w:tr>
      <w:tr>
        <w:tc>
          <w:tcPr>
            <w:tcW w:type="dxa" w:w="2232"/>
            <w:vAlign w:val="center"/>
          </w:tcPr>
          <w:p>
            <w:r/>
            <w:r>
              <w:rPr>
                <w:rFonts w:ascii="Calibri" w:hAnsi="Calibri"/>
                <w:b/>
                <w:sz w:val="18"/>
              </w:rPr>
              <w:t>Rich text at line 64</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79</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94</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118</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133</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148</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163</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178</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Network request at line 192</w:t>
            </w:r>
          </w:p>
        </w:tc>
        <w:tc>
          <w:tcPr>
            <w:tcW w:type="dxa" w:w="7128"/>
            <w:vAlign w:val="center"/>
          </w:tcPr>
          <w:p>
            <w:r/>
            <w:r>
              <w:rPr>
                <w:rFonts w:ascii="Calibri" w:hAnsi="Calibri"/>
                <w:b w:val="0"/>
                <w:sz w:val="18"/>
              </w:rPr>
              <w:t>Frontend-backend communication or public web/API calls. Evidence: data-placeholder="https://github.com/username"</w:t>
            </w:r>
          </w:p>
        </w:tc>
      </w:tr>
      <w:tr>
        <w:tc>
          <w:tcPr>
            <w:tcW w:type="dxa" w:w="2232"/>
            <w:vAlign w:val="center"/>
          </w:tcPr>
          <w:p>
            <w:r/>
            <w:r>
              <w:rPr>
                <w:rFonts w:ascii="Calibri" w:hAnsi="Calibri"/>
                <w:b/>
                <w:sz w:val="18"/>
              </w:rPr>
              <w:t>Rich text at line 193</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Network request at line 207</w:t>
            </w:r>
          </w:p>
        </w:tc>
        <w:tc>
          <w:tcPr>
            <w:tcW w:type="dxa" w:w="7128"/>
            <w:vAlign w:val="center"/>
          </w:tcPr>
          <w:p>
            <w:r/>
            <w:r>
              <w:rPr>
                <w:rFonts w:ascii="Calibri" w:hAnsi="Calibri"/>
                <w:b w:val="0"/>
                <w:sz w:val="18"/>
              </w:rPr>
              <w:t>Frontend-backend communication or public web/API calls. Evidence: data-placeholder="https://linkedin.com/in/username"</w:t>
            </w:r>
          </w:p>
        </w:tc>
      </w:tr>
      <w:tr>
        <w:tc>
          <w:tcPr>
            <w:tcW w:type="dxa" w:w="2232"/>
            <w:vAlign w:val="center"/>
          </w:tcPr>
          <w:p>
            <w:r/>
            <w:r>
              <w:rPr>
                <w:rFonts w:ascii="Calibri" w:hAnsi="Calibri"/>
                <w:b/>
                <w:sz w:val="18"/>
              </w:rPr>
              <w:t>Rich text at line 208</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Network request at line 222</w:t>
            </w:r>
          </w:p>
        </w:tc>
        <w:tc>
          <w:tcPr>
            <w:tcW w:type="dxa" w:w="7128"/>
            <w:vAlign w:val="center"/>
          </w:tcPr>
          <w:p>
            <w:r/>
            <w:r>
              <w:rPr>
                <w:rFonts w:ascii="Calibri" w:hAnsi="Calibri"/>
                <w:b w:val="0"/>
                <w:sz w:val="18"/>
              </w:rPr>
              <w:t>Frontend-backend communication or public web/API calls. Evidence: data-placeholder="https://example.com"</w:t>
            </w:r>
          </w:p>
        </w:tc>
      </w:tr>
      <w:tr>
        <w:tc>
          <w:tcPr>
            <w:tcW w:type="dxa" w:w="2232"/>
            <w:vAlign w:val="center"/>
          </w:tcPr>
          <w:p>
            <w:r/>
            <w:r>
              <w:rPr>
                <w:rFonts w:ascii="Calibri" w:hAnsi="Calibri"/>
                <w:b/>
                <w:sz w:val="18"/>
              </w:rPr>
              <w:t>Rich text at line 223</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259</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Browser DOM at line 391</w:t>
            </w:r>
          </w:p>
        </w:tc>
        <w:tc>
          <w:tcPr>
            <w:tcW w:type="dxa" w:w="7128"/>
            <w:vAlign w:val="center"/>
          </w:tcPr>
          <w:p>
            <w:r/>
            <w:r>
              <w:rPr>
                <w:rFonts w:ascii="Calibri" w:hAnsi="Calibri"/>
                <w:b w:val="0"/>
                <w:sz w:val="18"/>
              </w:rPr>
              <w:t>Builder or website interface behavior in the browser/Electron renderer. Evidence: &lt;li&gt;Resume should be a public-safe PDF, not a private editable document.&lt;/li&gt;</w:t>
            </w:r>
          </w:p>
        </w:tc>
      </w:tr>
      <w:tr>
        <w:tc>
          <w:tcPr>
            <w:tcW w:type="dxa" w:w="2232"/>
            <w:vAlign w:val="center"/>
          </w:tcPr>
          <w:p>
            <w:r/>
            <w:r>
              <w:rPr>
                <w:rFonts w:ascii="Calibri" w:hAnsi="Calibri"/>
                <w:b/>
                <w:sz w:val="18"/>
              </w:rPr>
              <w:t>Installer at line 420</w:t>
            </w:r>
          </w:p>
        </w:tc>
        <w:tc>
          <w:tcPr>
            <w:tcW w:type="dxa" w:w="7128"/>
            <w:vAlign w:val="center"/>
          </w:tcPr>
          <w:p>
            <w:r/>
            <w:r>
              <w:rPr>
                <w:rFonts w:ascii="Calibri" w:hAnsi="Calibri"/>
                <w:b w:val="0"/>
                <w:sz w:val="18"/>
              </w:rPr>
              <w:t>Windows setup, update, shortcut, or installation behavior. Evidence: &lt;p&gt;All project creation starts from the main Add project control. This keeps project creation consistent and prevents hidden category-specific add buttons from creating projects with incomplete metadata.&lt;/p&gt;</w:t>
            </w:r>
          </w:p>
        </w:tc>
      </w:tr>
      <w:tr>
        <w:tc>
          <w:tcPr>
            <w:tcW w:type="dxa" w:w="2232"/>
            <w:vAlign w:val="center"/>
          </w:tcPr>
          <w:p>
            <w:r/>
            <w:r>
              <w:rPr>
                <w:rFonts w:ascii="Calibri" w:hAnsi="Calibri"/>
                <w:b/>
                <w:sz w:val="18"/>
              </w:rPr>
              <w:t>Security or auth at line 432</w:t>
            </w:r>
          </w:p>
        </w:tc>
        <w:tc>
          <w:tcPr>
            <w:tcW w:type="dxa" w:w="7128"/>
            <w:vAlign w:val="center"/>
          </w:tcPr>
          <w:p>
            <w:r/>
            <w:r>
              <w:rPr>
                <w:rFonts w:ascii="Calibri" w:hAnsi="Calibri"/>
                <w:b w:val="0"/>
                <w:sz w:val="18"/>
              </w:rPr>
              <w:t>Publishing protection, API key safety, HTTP security, or user authorization. Evidence: &lt;li&gt;Only categories that contain projects show project rows. Empty categories stay as clean category headers until a project is added.&lt;/li&gt;</w:t>
            </w:r>
          </w:p>
        </w:tc>
      </w:tr>
      <w:tr>
        <w:tc>
          <w:tcPr>
            <w:tcW w:type="dxa" w:w="2232"/>
            <w:vAlign w:val="center"/>
          </w:tcPr>
          <w:p>
            <w:r/>
            <w:r>
              <w:rPr>
                <w:rFonts w:ascii="Calibri" w:hAnsi="Calibri"/>
                <w:b/>
                <w:sz w:val="18"/>
              </w:rPr>
              <w:t>Rich text at line 462</w:t>
            </w:r>
          </w:p>
        </w:tc>
        <w:tc>
          <w:tcPr>
            <w:tcW w:type="dxa" w:w="7128"/>
            <w:vAlign w:val="center"/>
          </w:tcPr>
          <w:p>
            <w:r/>
            <w:r>
              <w:rPr>
                <w:rFonts w:ascii="Calibri" w:hAnsi="Calibri"/>
                <w:b w:val="0"/>
                <w:sz w:val="18"/>
              </w:rPr>
              <w:t>Rich editor behavior, formatting, paste handling, or content sanitization. Evidence: &lt;p&gt;Rich text fields behave like document editors. Click where you want to type, highlight the exact words you want to edit, then apply formatting to that selection. Formatting should not change an entire paragraph unless</w:t>
            </w:r>
          </w:p>
        </w:tc>
      </w:tr>
      <w:tr>
        <w:tc>
          <w:tcPr>
            <w:tcW w:type="dxa" w:w="2232"/>
            <w:vAlign w:val="center"/>
          </w:tcPr>
          <w:p>
            <w:r/>
            <w:r>
              <w:rPr>
                <w:rFonts w:ascii="Calibri" w:hAnsi="Calibri"/>
                <w:b/>
                <w:sz w:val="18"/>
              </w:rPr>
              <w:t>Rich text at line 463</w:t>
            </w:r>
          </w:p>
        </w:tc>
        <w:tc>
          <w:tcPr>
            <w:tcW w:type="dxa" w:w="7128"/>
            <w:vAlign w:val="center"/>
          </w:tcPr>
          <w:p>
            <w:r/>
            <w:r>
              <w:rPr>
                <w:rFonts w:ascii="Calibri" w:hAnsi="Calibri"/>
                <w:b w:val="0"/>
                <w:sz w:val="18"/>
              </w:rPr>
              <w:t>Rich editor behavior, formatting, paste handling, or content sanitization. Evidence: &lt;p&gt;The builder stores the text as structured content so the portfolio can render it cleanly later. That means the editor may standardize pasted formatting, but it should preserve intentional choices such as bold text, fo</w:t>
            </w:r>
          </w:p>
        </w:tc>
      </w:tr>
      <w:tr>
        <w:tc>
          <w:tcPr>
            <w:tcW w:type="dxa" w:w="2232"/>
            <w:vAlign w:val="center"/>
          </w:tcPr>
          <w:p>
            <w:r/>
            <w:r>
              <w:rPr>
                <w:rFonts w:ascii="Calibri" w:hAnsi="Calibri"/>
                <w:b/>
                <w:sz w:val="18"/>
              </w:rPr>
              <w:t>Rich text at line 464</w:t>
            </w:r>
          </w:p>
        </w:tc>
        <w:tc>
          <w:tcPr>
            <w:tcW w:type="dxa" w:w="7128"/>
            <w:vAlign w:val="center"/>
          </w:tcPr>
          <w:p>
            <w:r/>
            <w:r>
              <w:rPr>
                <w:rFonts w:ascii="Calibri" w:hAnsi="Calibri"/>
                <w:b w:val="0"/>
                <w:sz w:val="18"/>
              </w:rPr>
              <w:t>Rich editor behavior, formatting, paste handling, or content sanitization. Evidence: &lt;p&gt;Front-page, profile, contact, fun facts, and project overview fields now use the same selection-level text behavior. Highlight the exact words you want to edit, then use the right-click menu or floating selection insp</w:t>
            </w:r>
          </w:p>
        </w:tc>
      </w:tr>
      <w:tr>
        <w:tc>
          <w:tcPr>
            <w:tcW w:type="dxa" w:w="2232"/>
            <w:vAlign w:val="center"/>
          </w:tcPr>
          <w:p>
            <w:r/>
            <w:r>
              <w:rPr>
                <w:rFonts w:ascii="Calibri" w:hAnsi="Calibri"/>
                <w:b/>
                <w:sz w:val="18"/>
              </w:rPr>
              <w:t>Rich text at line 466</w:t>
            </w:r>
          </w:p>
        </w:tc>
        <w:tc>
          <w:tcPr>
            <w:tcW w:type="dxa" w:w="7128"/>
            <w:vAlign w:val="center"/>
          </w:tcPr>
          <w:p>
            <w:r/>
            <w:r>
              <w:rPr>
                <w:rFonts w:ascii="Calibri" w:hAnsi="Calibri"/>
                <w:b w:val="0"/>
                <w:sz w:val="18"/>
              </w:rPr>
              <w:t>Rich editor behavior, formatting, paste handling, or content sanitization. Evidence: &lt;li&gt;Right-click highlighted text in any builder text field to copy, cut, paste, select all, change font, change size, change color, and apply bold, italic, or underline.&lt;/li&gt;</w:t>
            </w:r>
          </w:p>
        </w:tc>
      </w:tr>
      <w:tr>
        <w:tc>
          <w:tcPr>
            <w:tcW w:type="dxa" w:w="2232"/>
            <w:vAlign w:val="center"/>
          </w:tcPr>
          <w:p>
            <w:r/>
            <w:r>
              <w:rPr>
                <w:rFonts w:ascii="Calibri" w:hAnsi="Calibri"/>
                <w:b/>
                <w:sz w:val="18"/>
              </w:rPr>
              <w:t>Rich text at line 467</w:t>
            </w:r>
          </w:p>
        </w:tc>
        <w:tc>
          <w:tcPr>
            <w:tcW w:type="dxa" w:w="7128"/>
            <w:vAlign w:val="center"/>
          </w:tcPr>
          <w:p>
            <w:r/>
            <w:r>
              <w:rPr>
                <w:rFonts w:ascii="Calibri" w:hAnsi="Calibri"/>
                <w:b w:val="0"/>
                <w:sz w:val="18"/>
              </w:rPr>
              <w:t>Rich editor behavior, formatting, paste handling, or content sanitization. Evidence: &lt;li&gt;The default typing font is Arial.&lt;/li&gt;</w:t>
            </w:r>
          </w:p>
        </w:tc>
      </w:tr>
      <w:tr>
        <w:tc>
          <w:tcPr>
            <w:tcW w:type="dxa" w:w="2232"/>
            <w:vAlign w:val="center"/>
          </w:tcPr>
          <w:p>
            <w:r/>
            <w:r>
              <w:rPr>
                <w:rFonts w:ascii="Calibri" w:hAnsi="Calibri"/>
                <w:b/>
                <w:sz w:val="18"/>
              </w:rPr>
              <w:t>Rich text at line 468</w:t>
            </w:r>
          </w:p>
        </w:tc>
        <w:tc>
          <w:tcPr>
            <w:tcW w:type="dxa" w:w="7128"/>
            <w:vAlign w:val="center"/>
          </w:tcPr>
          <w:p>
            <w:r/>
            <w:r>
              <w:rPr>
                <w:rFonts w:ascii="Calibri" w:hAnsi="Calibri"/>
                <w:b w:val="0"/>
                <w:sz w:val="18"/>
              </w:rPr>
              <w:t>Rich editor behavior, formatting, paste handling, or content sanitization. Evidence: &lt;li&gt;If selected text has mixed font, size, or color, the inspector fields are blank so you know the selection is mixed.&lt;/li&gt;</w:t>
            </w:r>
          </w:p>
        </w:tc>
      </w:tr>
      <w:tr>
        <w:tc>
          <w:tcPr>
            <w:tcW w:type="dxa" w:w="2232"/>
            <w:vAlign w:val="center"/>
          </w:tcPr>
          <w:p>
            <w:r/>
            <w:r>
              <w:rPr>
                <w:rFonts w:ascii="Calibri" w:hAnsi="Calibri"/>
                <w:b/>
                <w:sz w:val="18"/>
              </w:rPr>
              <w:t>Rich text at line 469</w:t>
            </w:r>
          </w:p>
        </w:tc>
        <w:tc>
          <w:tcPr>
            <w:tcW w:type="dxa" w:w="7128"/>
            <w:vAlign w:val="center"/>
          </w:tcPr>
          <w:p>
            <w:r/>
            <w:r>
              <w:rPr>
                <w:rFonts w:ascii="Calibri" w:hAnsi="Calibri"/>
                <w:b w:val="0"/>
                <w:sz w:val="18"/>
              </w:rPr>
              <w:t>Rich editor behavior, formatting, paste handling, or content sanitization. Evidence: &lt;li&gt;Use Enter for a new paragraph. Pasted line breaks remain line breaks.&lt;/li&gt;</w:t>
            </w:r>
          </w:p>
        </w:tc>
      </w:tr>
      <w:tr>
        <w:tc>
          <w:tcPr>
            <w:tcW w:type="dxa" w:w="2232"/>
            <w:vAlign w:val="center"/>
          </w:tcPr>
          <w:p>
            <w:r/>
            <w:r>
              <w:rPr>
                <w:rFonts w:ascii="Calibri" w:hAnsi="Calibri"/>
                <w:b/>
                <w:sz w:val="18"/>
              </w:rPr>
              <w:t>Rich text at line 470</w:t>
            </w:r>
          </w:p>
        </w:tc>
        <w:tc>
          <w:tcPr>
            <w:tcW w:type="dxa" w:w="7128"/>
            <w:vAlign w:val="center"/>
          </w:tcPr>
          <w:p>
            <w:r/>
            <w:r>
              <w:rPr>
                <w:rFonts w:ascii="Calibri" w:hAnsi="Calibri"/>
                <w:b w:val="0"/>
                <w:sz w:val="18"/>
              </w:rPr>
              <w:t>Rich editor behavior, formatting, paste handling, or content sanitization. Evidence: &lt;li&gt;Typing and wrapping should not create fake new paragraphs; only hard enters and pasted line breaks do.&lt;/li&gt;</w:t>
            </w:r>
          </w:p>
        </w:tc>
      </w:tr>
      <w:tr>
        <w:tc>
          <w:tcPr>
            <w:tcW w:type="dxa" w:w="2232"/>
            <w:vAlign w:val="center"/>
          </w:tcPr>
          <w:p>
            <w:r/>
            <w:r>
              <w:rPr>
                <w:rFonts w:ascii="Calibri" w:hAnsi="Calibri"/>
                <w:b/>
                <w:sz w:val="18"/>
              </w:rPr>
              <w:t>Rich text at line 471</w:t>
            </w:r>
          </w:p>
        </w:tc>
        <w:tc>
          <w:tcPr>
            <w:tcW w:type="dxa" w:w="7128"/>
            <w:vAlign w:val="center"/>
          </w:tcPr>
          <w:p>
            <w:r/>
            <w:r>
              <w:rPr>
                <w:rFonts w:ascii="Calibri" w:hAnsi="Calibri"/>
                <w:b w:val="0"/>
                <w:sz w:val="18"/>
              </w:rPr>
              <w:t>Rich editor behavior, formatting, paste handling, or content sanitization. Evidence: &lt;li&gt;Use the Code block command or Paste as code for source snippets so they render differently from general text.&lt;/li&gt;</w:t>
            </w:r>
          </w:p>
        </w:tc>
      </w:tr>
      <w:tr>
        <w:tc>
          <w:tcPr>
            <w:tcW w:type="dxa" w:w="2232"/>
            <w:vAlign w:val="center"/>
          </w:tcPr>
          <w:p>
            <w:r/>
            <w:r>
              <w:rPr>
                <w:rFonts w:ascii="Calibri" w:hAnsi="Calibri"/>
                <w:b/>
                <w:sz w:val="18"/>
              </w:rPr>
              <w:t>Rich text at line 477</w:t>
            </w:r>
          </w:p>
        </w:tc>
        <w:tc>
          <w:tcPr>
            <w:tcW w:type="dxa" w:w="7128"/>
            <w:vAlign w:val="center"/>
          </w:tcPr>
          <w:p>
            <w:r/>
            <w:r>
              <w:rPr>
                <w:rFonts w:ascii="Calibri" w:hAnsi="Calibri"/>
                <w:b w:val="0"/>
                <w:sz w:val="18"/>
              </w:rPr>
              <w:t>Rich editor behavior, formatting, paste handling, or content sanitization. Evidence: &lt;li&gt;Keep color changes readable on the selected project appearance.&lt;/li&gt;</w:t>
            </w:r>
          </w:p>
        </w:tc>
      </w:tr>
      <w:tr>
        <w:tc>
          <w:tcPr>
            <w:tcW w:type="dxa" w:w="2232"/>
            <w:vAlign w:val="center"/>
          </w:tcPr>
          <w:p>
            <w:r/>
            <w:r>
              <w:rPr>
                <w:rFonts w:ascii="Calibri" w:hAnsi="Calibri"/>
                <w:b/>
                <w:sz w:val="18"/>
              </w:rPr>
              <w:t>Rich text at line 478</w:t>
            </w:r>
          </w:p>
        </w:tc>
        <w:tc>
          <w:tcPr>
            <w:tcW w:type="dxa" w:w="7128"/>
            <w:vAlign w:val="center"/>
          </w:tcPr>
          <w:p>
            <w:r/>
            <w:r>
              <w:rPr>
                <w:rFonts w:ascii="Calibri" w:hAnsi="Calibri"/>
                <w:b w:val="0"/>
                <w:sz w:val="18"/>
              </w:rPr>
              <w:t>Rich editor behavior, formatting, paste handling, or content sanitization. Evidence: &lt;li&gt;If a pasted paragraph looks strange, clear the formatting and reapply only the formatting you need.&lt;/li&gt;</w:t>
            </w:r>
          </w:p>
        </w:tc>
      </w:tr>
      <w:tr>
        <w:tc>
          <w:tcPr>
            <w:tcW w:type="dxa" w:w="2232"/>
            <w:vAlign w:val="center"/>
          </w:tcPr>
          <w:p>
            <w:r/>
            <w:r>
              <w:rPr>
                <w:rFonts w:ascii="Calibri" w:hAnsi="Calibri"/>
                <w:b/>
                <w:sz w:val="18"/>
              </w:rPr>
              <w:t>Rich text at line 480</w:t>
            </w:r>
          </w:p>
        </w:tc>
        <w:tc>
          <w:tcPr>
            <w:tcW w:type="dxa" w:w="7128"/>
            <w:vAlign w:val="center"/>
          </w:tcPr>
          <w:p>
            <w:r/>
            <w:r>
              <w:rPr>
                <w:rFonts w:ascii="Calibri" w:hAnsi="Calibri"/>
                <w:b w:val="0"/>
                <w:sz w:val="18"/>
              </w:rPr>
              <w:t>Rich editor behavior, formatting, paste handling, or content sanitization. Evidence: &lt;p&gt;If the selection menu disappears, click back inside the rich editor and highlight the text again. Before saving, read the section in the project preview to make sure line breaks, lists, and emphasized words still look</w:t>
            </w:r>
          </w:p>
        </w:tc>
      </w:tr>
      <w:tr>
        <w:tc>
          <w:tcPr>
            <w:tcW w:type="dxa" w:w="2232"/>
            <w:vAlign w:val="center"/>
          </w:tcPr>
          <w:p>
            <w:r/>
            <w:r>
              <w:rPr>
                <w:rFonts w:ascii="Calibri" w:hAnsi="Calibri"/>
                <w:b/>
                <w:sz w:val="18"/>
              </w:rPr>
              <w:t>Rich text at line 484</w:t>
            </w:r>
          </w:p>
        </w:tc>
        <w:tc>
          <w:tcPr>
            <w:tcW w:type="dxa" w:w="7128"/>
            <w:vAlign w:val="center"/>
          </w:tcPr>
          <w:p>
            <w:r/>
            <w:r>
              <w:rPr>
                <w:rFonts w:ascii="Calibri" w:hAnsi="Calibri"/>
                <w:b w:val="0"/>
                <w:sz w:val="18"/>
              </w:rPr>
              <w:t>Rich editor behavior, formatting, paste handling, or content sanitization. Evidence: &lt;summary&gt;6. Links, formulas, code, and pasted content&lt;/summary&gt;</w:t>
            </w:r>
          </w:p>
        </w:tc>
      </w:tr>
      <w:tr>
        <w:tc>
          <w:tcPr>
            <w:tcW w:type="dxa" w:w="2232"/>
            <w:vAlign w:val="center"/>
          </w:tcPr>
          <w:p>
            <w:r/>
            <w:r>
              <w:rPr>
                <w:rFonts w:ascii="Calibri" w:hAnsi="Calibri"/>
                <w:b/>
                <w:sz w:val="18"/>
              </w:rPr>
              <w:t>Cloudflare or AI at line 487</w:t>
            </w:r>
          </w:p>
        </w:tc>
        <w:tc>
          <w:tcPr>
            <w:tcW w:type="dxa" w:w="7128"/>
            <w:vAlign w:val="center"/>
          </w:tcPr>
          <w:p>
            <w:r/>
            <w:r>
              <w:rPr>
                <w:rFonts w:ascii="Calibri" w:hAnsi="Calibri"/>
                <w:b w:val="0"/>
                <w:sz w:val="18"/>
              </w:rPr>
              <w:t>Public AI assistant, Worker deployment, or model-provider fallback behavior. Evidence: &lt;p&gt;Use this section when pasting content from ChatGPT, documentation, GitHub, LinkedIn, LTspice notes, equations, source code, or lab references. The builder tries to recognize the content, but you should still check the</w:t>
            </w:r>
          </w:p>
        </w:tc>
      </w:tr>
      <w:tr>
        <w:tc>
          <w:tcPr>
            <w:tcW w:type="dxa" w:w="2232"/>
            <w:vAlign w:val="center"/>
          </w:tcPr>
          <w:p>
            <w:r/>
            <w:r>
              <w:rPr>
                <w:rFonts w:ascii="Calibri" w:hAnsi="Calibri"/>
                <w:b/>
                <w:sz w:val="18"/>
              </w:rPr>
              <w:t>Compiler or simulator at line 491</w:t>
            </w:r>
          </w:p>
        </w:tc>
        <w:tc>
          <w:tcPr>
            <w:tcW w:type="dxa" w:w="7128"/>
            <w:vAlign w:val="center"/>
          </w:tcPr>
          <w:p>
            <w:r/>
            <w:r>
              <w:rPr>
                <w:rFonts w:ascii="Calibri" w:hAnsi="Calibri"/>
                <w:b w:val="0"/>
                <w:sz w:val="18"/>
              </w:rPr>
              <w:t>Part of the Compile Code workspace or language/tool detection. Evidence: &lt;li&gt;Use Code block or Paste as code for C, C++, SystemVerilog, LTspice, Java, JavaScript, Python, and HTML snippets.&lt;/li&gt;</w:t>
            </w:r>
          </w:p>
        </w:tc>
      </w:tr>
      <w:tr>
        <w:tc>
          <w:tcPr>
            <w:tcW w:type="dxa" w:w="2232"/>
            <w:vAlign w:val="center"/>
          </w:tcPr>
          <w:p>
            <w:r/>
            <w:r>
              <w:rPr>
                <w:rFonts w:ascii="Calibri" w:hAnsi="Calibri"/>
                <w:b/>
                <w:sz w:val="18"/>
              </w:rPr>
              <w:t>Rich text at line 492</w:t>
            </w:r>
          </w:p>
        </w:tc>
        <w:tc>
          <w:tcPr>
            <w:tcW w:type="dxa" w:w="7128"/>
            <w:vAlign w:val="center"/>
          </w:tcPr>
          <w:p>
            <w:r/>
            <w:r>
              <w:rPr>
                <w:rFonts w:ascii="Calibri" w:hAnsi="Calibri"/>
                <w:b w:val="0"/>
                <w:sz w:val="18"/>
              </w:rPr>
              <w:t>Rich editor behavior, formatting, paste handling, or content sanitization. Evidence: &lt;li&gt;Choose Basic paste when you want the builder to clean extra trailing whitespace, or Keep source spacing when indentation is important.&lt;/li&gt;</w:t>
            </w:r>
          </w:p>
        </w:tc>
      </w:tr>
      <w:tr>
        <w:tc>
          <w:tcPr>
            <w:tcW w:type="dxa" w:w="2232"/>
            <w:vAlign w:val="center"/>
          </w:tcPr>
          <w:p>
            <w:r/>
            <w:r>
              <w:rPr>
                <w:rFonts w:ascii="Calibri" w:hAnsi="Calibri"/>
                <w:b/>
                <w:sz w:val="18"/>
              </w:rPr>
              <w:t>Compiler or simulator at line 495</w:t>
            </w:r>
          </w:p>
        </w:tc>
        <w:tc>
          <w:tcPr>
            <w:tcW w:type="dxa" w:w="7128"/>
            <w:vAlign w:val="center"/>
          </w:tcPr>
          <w:p>
            <w:r/>
            <w:r>
              <w:rPr>
                <w:rFonts w:ascii="Calibri" w:hAnsi="Calibri"/>
                <w:b w:val="0"/>
                <w:sz w:val="18"/>
              </w:rPr>
              <w:t>Part of the Compile Code workspace or language/tool detection. Evidence: &lt;li&gt;For Verilog and SystemVerilog, use Simulate to run the simulator. Simulation requires a Testbench file; plain Compile can still check or build HDL design files.&lt;/li&gt;</w:t>
            </w:r>
          </w:p>
        </w:tc>
      </w:tr>
      <w:tr>
        <w:tc>
          <w:tcPr>
            <w:tcW w:type="dxa" w:w="2232"/>
            <w:vAlign w:val="center"/>
          </w:tcPr>
          <w:p>
            <w:r/>
            <w:r>
              <w:rPr>
                <w:rFonts w:ascii="Calibri" w:hAnsi="Calibri"/>
                <w:b/>
                <w:sz w:val="18"/>
              </w:rPr>
              <w:t>Security or auth at line 496</w:t>
            </w:r>
          </w:p>
        </w:tc>
        <w:tc>
          <w:tcPr>
            <w:tcW w:type="dxa" w:w="7128"/>
            <w:vAlign w:val="center"/>
          </w:tcPr>
          <w:p>
            <w:r/>
            <w:r>
              <w:rPr>
                <w:rFonts w:ascii="Calibri" w:hAnsi="Calibri"/>
                <w:b w:val="0"/>
                <w:sz w:val="18"/>
              </w:rPr>
              <w:t>Publishing protection, API key safety, HTTP security, or user authorization. Evidence: &lt;li&gt;Use Add testbench to create a starter testbench with $dumpfile and $dumpvars. Those waveform calls feed the signal scope, where HDL signals can be viewed over time.&lt;/li&gt;</w:t>
            </w:r>
          </w:p>
        </w:tc>
      </w:tr>
      <w:tr>
        <w:tc>
          <w:tcPr>
            <w:tcW w:type="dxa" w:w="2232"/>
            <w:vAlign w:val="center"/>
          </w:tcPr>
          <w:p>
            <w:r/>
            <w:r>
              <w:rPr>
                <w:rFonts w:ascii="Calibri" w:hAnsi="Calibri"/>
                <w:b/>
                <w:sz w:val="18"/>
              </w:rPr>
              <w:t>Network request at line 503</w:t>
            </w:r>
          </w:p>
        </w:tc>
        <w:tc>
          <w:tcPr>
            <w:tcW w:type="dxa" w:w="7128"/>
            <w:vAlign w:val="center"/>
          </w:tcPr>
          <w:p>
            <w:r/>
            <w:r>
              <w:rPr>
                <w:rFonts w:ascii="Calibri" w:hAnsi="Calibri"/>
                <w:b w:val="0"/>
                <w:sz w:val="18"/>
              </w:rPr>
              <w:t>Frontend-backend communication or public web/API calls. Evidence: &lt;li&gt;Use full links when possible: https://github.com/user/repo is clearer than only github.com.&lt;/li&gt;</w:t>
            </w:r>
          </w:p>
        </w:tc>
      </w:tr>
      <w:tr>
        <w:tc>
          <w:tcPr>
            <w:tcW w:type="dxa" w:w="2232"/>
            <w:vAlign w:val="center"/>
          </w:tcPr>
          <w:p>
            <w:r/>
            <w:r>
              <w:rPr>
                <w:rFonts w:ascii="Calibri" w:hAnsi="Calibri"/>
                <w:b/>
                <w:sz w:val="18"/>
              </w:rPr>
              <w:t>Compiler or simulator at line 507</w:t>
            </w:r>
          </w:p>
        </w:tc>
        <w:tc>
          <w:tcPr>
            <w:tcW w:type="dxa" w:w="7128"/>
            <w:vAlign w:val="center"/>
          </w:tcPr>
          <w:p>
            <w:r/>
            <w:r>
              <w:rPr>
                <w:rFonts w:ascii="Calibri" w:hAnsi="Calibri"/>
                <w:b w:val="0"/>
                <w:sz w:val="18"/>
              </w:rPr>
              <w:t>Part of the Compile Code workspace or language/tool detection. Evidence: &lt;li&gt;Use Compile Code to test C, C++, Java, JavaScript, Python, HTML checks, and any installed Verilog, SystemVerilog, or LTspice command-line tools before deciding what to publish later.&lt;/li&gt;</w:t>
            </w:r>
          </w:p>
        </w:tc>
      </w:tr>
      <w:tr>
        <w:tc>
          <w:tcPr>
            <w:tcW w:type="dxa" w:w="2232"/>
            <w:vAlign w:val="center"/>
          </w:tcPr>
          <w:p>
            <w:r/>
            <w:r>
              <w:rPr>
                <w:rFonts w:ascii="Calibri" w:hAnsi="Calibri"/>
                <w:b/>
                <w:sz w:val="18"/>
              </w:rPr>
              <w:t>Security or auth at line 508</w:t>
            </w:r>
          </w:p>
        </w:tc>
        <w:tc>
          <w:tcPr>
            <w:tcW w:type="dxa" w:w="7128"/>
            <w:vAlign w:val="center"/>
          </w:tcPr>
          <w:p>
            <w:r/>
            <w:r>
              <w:rPr>
                <w:rFonts w:ascii="Calibri" w:hAnsi="Calibri"/>
                <w:b w:val="0"/>
                <w:sz w:val="18"/>
              </w:rPr>
              <w:t>Publishing protection, API key safety, HTTP security, or user authorization. Evidence: &lt;li&gt;Use Show output for terminal logs and Show scope for HDL timing waveforms after a successful testbench simulation.&lt;/li&gt;</w:t>
            </w:r>
          </w:p>
        </w:tc>
      </w:tr>
      <w:tr>
        <w:tc>
          <w:tcPr>
            <w:tcW w:type="dxa" w:w="2232"/>
            <w:vAlign w:val="center"/>
          </w:tcPr>
          <w:p>
            <w:r/>
            <w:r>
              <w:rPr>
                <w:rFonts w:ascii="Calibri" w:hAnsi="Calibri"/>
                <w:b/>
                <w:sz w:val="18"/>
              </w:rPr>
              <w:t>Rich text at line 510</w:t>
            </w:r>
          </w:p>
        </w:tc>
        <w:tc>
          <w:tcPr>
            <w:tcW w:type="dxa" w:w="7128"/>
            <w:vAlign w:val="center"/>
          </w:tcPr>
          <w:p>
            <w:r/>
            <w:r>
              <w:rPr>
                <w:rFonts w:ascii="Calibri" w:hAnsi="Calibri"/>
                <w:b w:val="0"/>
                <w:sz w:val="18"/>
              </w:rPr>
              <w:t>Rich editor behavior, formatting, paste handling, or content sanitization. Evidence: &lt;li&gt;If a link is accidentally treated as a formula, remove the formula block and paste it again as normal text or link content.&lt;/li&gt;</w:t>
            </w:r>
          </w:p>
        </w:tc>
      </w:tr>
      <w:tr>
        <w:tc>
          <w:tcPr>
            <w:tcW w:type="dxa" w:w="2232"/>
            <w:vAlign w:val="center"/>
          </w:tcPr>
          <w:p>
            <w:r/>
            <w:r>
              <w:rPr>
                <w:rFonts w:ascii="Calibri" w:hAnsi="Calibri"/>
                <w:b/>
                <w:sz w:val="18"/>
              </w:rPr>
              <w:t>Cloudflare or AI at line 512</w:t>
            </w:r>
          </w:p>
        </w:tc>
        <w:tc>
          <w:tcPr>
            <w:tcW w:type="dxa" w:w="7128"/>
            <w:vAlign w:val="center"/>
          </w:tcPr>
          <w:p>
            <w:r/>
            <w:r>
              <w:rPr>
                <w:rFonts w:ascii="Calibri" w:hAnsi="Calibri"/>
                <w:b w:val="0"/>
                <w:sz w:val="18"/>
              </w:rPr>
              <w:t>Public AI assistant, Worker deployment, or model-provider fallback behavior. Evidence: &lt;p&gt;When pasting from ChatGPT, review formulas and code before saving. If the content is a link, it should render as a clickable link, not as a formula. If the content is source code, it should render inside a dark code b</w:t>
            </w:r>
          </w:p>
        </w:tc>
      </w:tr>
      <w:tr>
        <w:tc>
          <w:tcPr>
            <w:tcW w:type="dxa" w:w="2232"/>
            <w:vAlign w:val="center"/>
          </w:tcPr>
          <w:p>
            <w:r/>
            <w:r>
              <w:rPr>
                <w:rFonts w:ascii="Calibri" w:hAnsi="Calibri"/>
                <w:b/>
                <w:sz w:val="18"/>
              </w:rPr>
              <w:t>Security or auth at line 519</w:t>
            </w:r>
          </w:p>
        </w:tc>
        <w:tc>
          <w:tcPr>
            <w:tcW w:type="dxa" w:w="7128"/>
            <w:vAlign w:val="center"/>
          </w:tcPr>
          <w:p>
            <w:r/>
            <w:r>
              <w:rPr>
                <w:rFonts w:ascii="Calibri" w:hAnsi="Calibri"/>
                <w:b w:val="0"/>
                <w:sz w:val="18"/>
              </w:rPr>
              <w:t>Publishing protection, API key safety, HTTP security, or user authorization. Evidence: &lt;p&gt;Images are best for visual evidence: schematics, PCB layouts, test benches, oscilloscope captures, simulation plots, block diagrams, timing diagrams, microscope photos, assembled boards, or setup photos. Files are bes</w:t>
            </w:r>
          </w:p>
        </w:tc>
      </w:tr>
      <w:tr>
        <w:tc>
          <w:tcPr>
            <w:tcW w:type="dxa" w:w="2232"/>
            <w:vAlign w:val="center"/>
          </w:tcPr>
          <w:p>
            <w:r/>
            <w:r>
              <w:rPr>
                <w:rFonts w:ascii="Calibri" w:hAnsi="Calibri"/>
                <w:b/>
                <w:sz w:val="18"/>
              </w:rPr>
              <w:t>Rich text at line 521</w:t>
            </w:r>
          </w:p>
        </w:tc>
        <w:tc>
          <w:tcPr>
            <w:tcW w:type="dxa" w:w="7128"/>
            <w:vAlign w:val="center"/>
          </w:tcPr>
          <w:p>
            <w:r/>
            <w:r>
              <w:rPr>
                <w:rFonts w:ascii="Calibri" w:hAnsi="Calibri"/>
                <w:b w:val="0"/>
                <w:sz w:val="18"/>
              </w:rPr>
              <w:t>Rich editor behavior, formatting, paste handling, or content sanitization. Evidence: &lt;li&gt;Paste an image into a rich editor to place it below the cursor line.&lt;/li&gt;</w:t>
            </w:r>
          </w:p>
        </w:tc>
      </w:tr>
      <w:tr>
        <w:tc>
          <w:tcPr>
            <w:tcW w:type="dxa" w:w="2232"/>
            <w:vAlign w:val="center"/>
          </w:tcPr>
          <w:p>
            <w:r/>
            <w:r>
              <w:rPr>
                <w:rFonts w:ascii="Calibri" w:hAnsi="Calibri"/>
                <w:b/>
                <w:sz w:val="18"/>
              </w:rPr>
              <w:t>Rich text at line 522</w:t>
            </w:r>
          </w:p>
        </w:tc>
        <w:tc>
          <w:tcPr>
            <w:tcW w:type="dxa" w:w="7128"/>
            <w:vAlign w:val="center"/>
          </w:tcPr>
          <w:p>
            <w:r/>
            <w:r>
              <w:rPr>
                <w:rFonts w:ascii="Calibri" w:hAnsi="Calibri"/>
                <w:b w:val="0"/>
                <w:sz w:val="18"/>
              </w:rPr>
              <w:t>Rich editor behavior, formatting, paste handling, or content sanitization. Evidence: &lt;li&gt;Use Add image when you need source selection, rename, caption, alignment, crop, or visible/download-only control.&lt;/li&gt;</w:t>
            </w:r>
          </w:p>
        </w:tc>
      </w:tr>
      <w:tr>
        <w:tc>
          <w:tcPr>
            <w:tcW w:type="dxa" w:w="2232"/>
            <w:vAlign w:val="center"/>
          </w:tcPr>
          <w:p>
            <w:r/>
            <w:r>
              <w:rPr>
                <w:rFonts w:ascii="Calibri" w:hAnsi="Calibri"/>
                <w:b/>
                <w:sz w:val="18"/>
              </w:rPr>
              <w:t>Compiler or simulator at line 535</w:t>
            </w:r>
          </w:p>
        </w:tc>
        <w:tc>
          <w:tcPr>
            <w:tcW w:type="dxa" w:w="7128"/>
            <w:vAlign w:val="center"/>
          </w:tcPr>
          <w:p>
            <w:r/>
            <w:r>
              <w:rPr>
                <w:rFonts w:ascii="Calibri" w:hAnsi="Calibri"/>
                <w:b w:val="0"/>
                <w:sz w:val="18"/>
              </w:rPr>
              <w:t>Part of the Compile Code workspace or language/tool detection. Evidence: &lt;p&gt;Project evidence is saved under docs/project-folder/section-or-subsection/filename. For example, a SystemVerilog design file could be saved as docs/laser-link/design/filter.sv. The upload status shows the generated pa</w:t>
            </w:r>
          </w:p>
        </w:tc>
      </w:tr>
      <w:tr>
        <w:tc>
          <w:tcPr>
            <w:tcW w:type="dxa" w:w="2232"/>
            <w:vAlign w:val="center"/>
          </w:tcPr>
          <w:p>
            <w:r/>
            <w:r>
              <w:rPr>
                <w:rFonts w:ascii="Calibri" w:hAnsi="Calibri"/>
                <w:b/>
                <w:sz w:val="18"/>
              </w:rPr>
              <w:t>Security or auth at line 581</w:t>
            </w:r>
          </w:p>
        </w:tc>
        <w:tc>
          <w:tcPr>
            <w:tcW w:type="dxa" w:w="7128"/>
            <w:vAlign w:val="center"/>
          </w:tcPr>
          <w:p>
            <w:r/>
            <w:r>
              <w:rPr>
                <w:rFonts w:ascii="Calibri" w:hAnsi="Calibri"/>
                <w:b w:val="0"/>
                <w:sz w:val="18"/>
              </w:rPr>
              <w:t>Publishing protection, API key safety, HTTP security, or user authorization. Evidence: &lt;summary&gt;10. Publishing target and authentication&lt;/summary&gt;</w:t>
            </w:r>
          </w:p>
        </w:tc>
      </w:tr>
      <w:tr>
        <w:tc>
          <w:tcPr>
            <w:tcW w:type="dxa" w:w="2232"/>
            <w:vAlign w:val="center"/>
          </w:tcPr>
          <w:p>
            <w:r/>
            <w:r>
              <w:rPr>
                <w:rFonts w:ascii="Calibri" w:hAnsi="Calibri"/>
                <w:b/>
                <w:sz w:val="18"/>
              </w:rPr>
              <w:t>Security or auth at line 583</w:t>
            </w:r>
          </w:p>
        </w:tc>
        <w:tc>
          <w:tcPr>
            <w:tcW w:type="dxa" w:w="7128"/>
            <w:vAlign w:val="center"/>
          </w:tcPr>
          <w:p>
            <w:r/>
            <w:r>
              <w:rPr>
                <w:rFonts w:ascii="Calibri" w:hAnsi="Calibri"/>
                <w:b w:val="0"/>
                <w:sz w:val="18"/>
              </w:rPr>
              <w:t>Publishing protection, API key safety, HTTP security, or user authorization. Evidence: &lt;p&gt;Publishing target controls where Apply to site can push. A target is saved only after write access is verified, because the builder should never publish to a website unless the current user has permission to update th</w:t>
            </w:r>
          </w:p>
        </w:tc>
      </w:tr>
      <w:tr>
        <w:tc>
          <w:tcPr>
            <w:tcW w:type="dxa" w:w="2232"/>
            <w:vAlign w:val="center"/>
          </w:tcPr>
          <w:p>
            <w:r/>
            <w:r>
              <w:rPr>
                <w:rFonts w:ascii="Calibri" w:hAnsi="Calibri"/>
                <w:b/>
                <w:sz w:val="18"/>
              </w:rPr>
              <w:t>Security or auth at line 584</w:t>
            </w:r>
          </w:p>
        </w:tc>
        <w:tc>
          <w:tcPr>
            <w:tcW w:type="dxa" w:w="7128"/>
            <w:vAlign w:val="center"/>
          </w:tcPr>
          <w:p>
            <w:r/>
            <w:r>
              <w:rPr>
                <w:rFonts w:ascii="Calibri" w:hAnsi="Calibri"/>
                <w:b w:val="0"/>
                <w:sz w:val="18"/>
              </w:rPr>
              <w:t xml:space="preserve">Publishing protection, API key safety, HTTP security, or user authorization. Evidence: &lt;p&gt;This protects your portfolio from accidental pushes and also lets another user install the builder for their own site without getting access to your website. The target describes where the public portfolio will live; </w:t>
            </w:r>
          </w:p>
        </w:tc>
      </w:tr>
      <w:tr>
        <w:tc>
          <w:tcPr>
            <w:tcW w:type="dxa" w:w="2232"/>
            <w:vAlign w:val="center"/>
          </w:tcPr>
          <w:p>
            <w:r/>
            <w:r>
              <w:rPr>
                <w:rFonts w:ascii="Calibri" w:hAnsi="Calibri"/>
                <w:b/>
                <w:sz w:val="18"/>
              </w:rPr>
              <w:t>Security or auth at line 588</w:t>
            </w:r>
          </w:p>
        </w:tc>
        <w:tc>
          <w:tcPr>
            <w:tcW w:type="dxa" w:w="7128"/>
            <w:vAlign w:val="center"/>
          </w:tcPr>
          <w:p>
            <w:r/>
            <w:r>
              <w:rPr>
                <w:rFonts w:ascii="Calibri" w:hAnsi="Calibri"/>
                <w:b w:val="0"/>
                <w:sz w:val="18"/>
              </w:rPr>
              <w:t>Publishing protection, API key safety, HTTP security, or user authorization. Evidence: &lt;li&gt;Click Authenticate target to verify write access for that repository and branch.&lt;/li&gt;</w:t>
            </w:r>
          </w:p>
        </w:tc>
      </w:tr>
      <w:tr>
        <w:tc>
          <w:tcPr>
            <w:tcW w:type="dxa" w:w="2232"/>
            <w:vAlign w:val="center"/>
          </w:tcPr>
          <w:p>
            <w:r/>
            <w:r>
              <w:rPr>
                <w:rFonts w:ascii="Calibri" w:hAnsi="Calibri"/>
                <w:b/>
                <w:sz w:val="18"/>
              </w:rPr>
              <w:t>Git command at line 589</w:t>
            </w:r>
          </w:p>
        </w:tc>
        <w:tc>
          <w:tcPr>
            <w:tcW w:type="dxa" w:w="7128"/>
            <w:vAlign w:val="center"/>
          </w:tcPr>
          <w:p>
            <w:r/>
            <w:r>
              <w:rPr>
                <w:rFonts w:ascii="Calibri" w:hAnsi="Calibri"/>
                <w:b w:val="0"/>
                <w:sz w:val="18"/>
              </w:rPr>
              <w:t>Repository state, publishing, branch checks, or release automation. Evidence: &lt;li&gt;Complete GitHub/Git Credential Manager sign-in only when prompted.&lt;/li&gt;</w:t>
            </w:r>
          </w:p>
        </w:tc>
      </w:tr>
      <w:tr>
        <w:tc>
          <w:tcPr>
            <w:tcW w:type="dxa" w:w="2232"/>
            <w:vAlign w:val="center"/>
          </w:tcPr>
          <w:p>
            <w:r/>
            <w:r>
              <w:rPr>
                <w:rFonts w:ascii="Calibri" w:hAnsi="Calibri"/>
                <w:b/>
                <w:sz w:val="18"/>
              </w:rPr>
              <w:t>Security or auth at line 590</w:t>
            </w:r>
          </w:p>
        </w:tc>
        <w:tc>
          <w:tcPr>
            <w:tcW w:type="dxa" w:w="7128"/>
            <w:vAlign w:val="center"/>
          </w:tcPr>
          <w:p>
            <w:r/>
            <w:r>
              <w:rPr>
                <w:rFonts w:ascii="Calibri" w:hAnsi="Calibri"/>
                <w:b w:val="0"/>
                <w:sz w:val="18"/>
              </w:rPr>
              <w:t>Publishing protection, API key safety, HTTP security, or user authorization. Evidence: &lt;li&gt;Use Load from target only after authentication succeeds and only when you want to import that website repository into this builder.&lt;/li&gt;</w:t>
            </w:r>
          </w:p>
        </w:tc>
      </w:tr>
      <w:tr>
        <w:tc>
          <w:tcPr>
            <w:tcW w:type="dxa" w:w="2232"/>
            <w:vAlign w:val="center"/>
          </w:tcPr>
          <w:p>
            <w:r/>
            <w:r>
              <w:rPr>
                <w:rFonts w:ascii="Calibri" w:hAnsi="Calibri"/>
                <w:b/>
                <w:sz w:val="18"/>
              </w:rPr>
              <w:t>Security or auth at line 595</w:t>
            </w:r>
          </w:p>
        </w:tc>
        <w:tc>
          <w:tcPr>
            <w:tcW w:type="dxa" w:w="7128"/>
            <w:vAlign w:val="center"/>
          </w:tcPr>
          <w:p>
            <w:r/>
            <w:r>
              <w:rPr>
                <w:rFonts w:ascii="Calibri" w:hAnsi="Calibri"/>
                <w:b w:val="0"/>
                <w:sz w:val="18"/>
              </w:rPr>
              <w:t>Publishing protection, API key safety, HTTP security, or user authorization. Evidence: &lt;li&gt;Authenticate target does not import content; Load from target does not authenticate a new target.&lt;/li&gt;</w:t>
            </w:r>
          </w:p>
        </w:tc>
      </w:tr>
      <w:tr>
        <w:tc>
          <w:tcPr>
            <w:tcW w:type="dxa" w:w="2232"/>
            <w:vAlign w:val="center"/>
          </w:tcPr>
          <w:p>
            <w:r/>
            <w:r>
              <w:rPr>
                <w:rFonts w:ascii="Calibri" w:hAnsi="Calibri"/>
                <w:b/>
                <w:sz w:val="18"/>
              </w:rPr>
              <w:t>Git command at line 596</w:t>
            </w:r>
          </w:p>
        </w:tc>
        <w:tc>
          <w:tcPr>
            <w:tcW w:type="dxa" w:w="7128"/>
            <w:vAlign w:val="center"/>
          </w:tcPr>
          <w:p>
            <w:r/>
            <w:r>
              <w:rPr>
                <w:rFonts w:ascii="Calibri" w:hAnsi="Calibri"/>
                <w:b w:val="0"/>
                <w:sz w:val="18"/>
              </w:rPr>
              <w:t>Repository state, publishing, branch checks, or release automation. Evidence: &lt;li&gt;If authentication fails, read the message before retrying; it usually explains whether Git, credentials, branch state, or repository access caused the failure.&lt;/li&gt;</w:t>
            </w:r>
          </w:p>
        </w:tc>
      </w:tr>
      <w:tr>
        <w:tc>
          <w:tcPr>
            <w:tcW w:type="dxa" w:w="2232"/>
            <w:vAlign w:val="center"/>
          </w:tcPr>
          <w:p>
            <w:r/>
            <w:r>
              <w:rPr>
                <w:rFonts w:ascii="Calibri" w:hAnsi="Calibri"/>
                <w:b/>
                <w:sz w:val="18"/>
              </w:rPr>
              <w:t>Security or auth at line 598</w:t>
            </w:r>
          </w:p>
        </w:tc>
        <w:tc>
          <w:tcPr>
            <w:tcW w:type="dxa" w:w="7128"/>
            <w:vAlign w:val="center"/>
          </w:tcPr>
          <w:p>
            <w:r/>
            <w:r>
              <w:rPr>
                <w:rFonts w:ascii="Calibri" w:hAnsi="Calibri"/>
                <w:b w:val="0"/>
                <w:sz w:val="18"/>
              </w:rPr>
              <w:t>Publishing protection, API key safety, HTTP security, or user authorization. Evidence: &lt;p&gt;GitHub authorization is cached per repository and branch. Daily reuse avoids repeated prompts, and repeated successful authorization can extend trust for that exact target. If the target changes, authenticate again be</w:t>
            </w:r>
          </w:p>
        </w:tc>
      </w:tr>
      <w:tr>
        <w:tc>
          <w:tcPr>
            <w:tcW w:type="dxa" w:w="2232"/>
            <w:vAlign w:val="center"/>
          </w:tcPr>
          <w:p>
            <w:r/>
            <w:r>
              <w:rPr>
                <w:rFonts w:ascii="Calibri" w:hAnsi="Calibri"/>
                <w:b/>
                <w:sz w:val="18"/>
              </w:rPr>
              <w:t>Git command at line 605</w:t>
            </w:r>
          </w:p>
        </w:tc>
        <w:tc>
          <w:tcPr>
            <w:tcW w:type="dxa" w:w="7128"/>
            <w:vAlign w:val="center"/>
          </w:tcPr>
          <w:p>
            <w:r/>
            <w:r>
              <w:rPr>
                <w:rFonts w:ascii="Calibri" w:hAnsi="Calibri"/>
                <w:b w:val="0"/>
                <w:sz w:val="18"/>
              </w:rPr>
              <w:t>Repository state, publishing, branch checks, or release automation. Evidence: &lt;p&gt;The builder can be used offline for most editing work. Publishing is the only part that needs the network and a Git target with write access.&lt;/p&gt;</w:t>
            </w:r>
          </w:p>
        </w:tc>
      </w:tr>
      <w:tr>
        <w:tc>
          <w:tcPr>
            <w:tcW w:type="dxa" w:w="2232"/>
            <w:vAlign w:val="center"/>
          </w:tcPr>
          <w:p>
            <w:r/>
            <w:r>
              <w:rPr>
                <w:rFonts w:ascii="Calibri" w:hAnsi="Calibri"/>
                <w:b/>
                <w:sz w:val="18"/>
              </w:rPr>
              <w:t>Git command at line 611</w:t>
            </w:r>
          </w:p>
        </w:tc>
        <w:tc>
          <w:tcPr>
            <w:tcW w:type="dxa" w:w="7128"/>
            <w:vAlign w:val="center"/>
          </w:tcPr>
          <w:p>
            <w:r/>
            <w:r>
              <w:rPr>
                <w:rFonts w:ascii="Calibri" w:hAnsi="Calibri"/>
                <w:b w:val="0"/>
                <w:sz w:val="18"/>
              </w:rPr>
              <w:t>Repository state, publishing, branch checks, or release automation. Evidence: &lt;li&gt;If offline, keep editing and saving drafts. Publish when the network and Git target are available.&lt;/li&gt;</w:t>
            </w:r>
          </w:p>
        </w:tc>
      </w:tr>
      <w:tr>
        <w:tc>
          <w:tcPr>
            <w:tcW w:type="dxa" w:w="2232"/>
            <w:vAlign w:val="center"/>
          </w:tcPr>
          <w:p>
            <w:r/>
            <w:r>
              <w:rPr>
                <w:rFonts w:ascii="Calibri" w:hAnsi="Calibri"/>
                <w:b/>
                <w:sz w:val="18"/>
              </w:rPr>
              <w:t>Security or auth at line 617</w:t>
            </w:r>
          </w:p>
        </w:tc>
        <w:tc>
          <w:tcPr>
            <w:tcW w:type="dxa" w:w="7128"/>
            <w:vAlign w:val="center"/>
          </w:tcPr>
          <w:p>
            <w:r/>
            <w:r>
              <w:rPr>
                <w:rFonts w:ascii="Calibri" w:hAnsi="Calibri"/>
                <w:b w:val="0"/>
                <w:sz w:val="18"/>
              </w:rPr>
              <w:t>Publishing protection, API key safety, HTTP security, or user authorization. Evidence: &lt;li&gt;Use Apply to site only after the preview looks correct and the target is authenticated.&lt;/li&gt;</w:t>
            </w:r>
          </w:p>
        </w:tc>
      </w:tr>
      <w:tr>
        <w:tc>
          <w:tcPr>
            <w:tcW w:type="dxa" w:w="2232"/>
            <w:vAlign w:val="center"/>
          </w:tcPr>
          <w:p>
            <w:r/>
            <w:r>
              <w:rPr>
                <w:rFonts w:ascii="Calibri" w:hAnsi="Calibri"/>
                <w:b/>
                <w:sz w:val="18"/>
              </w:rPr>
              <w:t>Installer at line 625</w:t>
            </w:r>
          </w:p>
        </w:tc>
        <w:tc>
          <w:tcPr>
            <w:tcW w:type="dxa" w:w="7128"/>
            <w:vAlign w:val="center"/>
          </w:tcPr>
          <w:p>
            <w:r/>
            <w:r>
              <w:rPr>
                <w:rFonts w:ascii="Calibri" w:hAnsi="Calibri"/>
                <w:b w:val="0"/>
                <w:sz w:val="18"/>
              </w:rPr>
              <w:t>Windows setup, update, shortcut, or installation behavior. Evidence: &lt;p&gt;Use Check updates to manually look for a newer builder. Updates come from GitHub Releases after changes are merged into the release branch and a new installer is built. Use the Preferences menu to switch between light</w:t>
            </w:r>
          </w:p>
        </w:tc>
      </w:tr>
      <w:tr>
        <w:tc>
          <w:tcPr>
            <w:tcW w:type="dxa" w:w="2232"/>
            <w:vAlign w:val="center"/>
          </w:tcPr>
          <w:p>
            <w:r/>
            <w:r>
              <w:rPr>
                <w:rFonts w:ascii="Calibri" w:hAnsi="Calibri"/>
                <w:b/>
                <w:sz w:val="18"/>
              </w:rPr>
              <w:t>Installer at line 629</w:t>
            </w:r>
          </w:p>
        </w:tc>
        <w:tc>
          <w:tcPr>
            <w:tcW w:type="dxa" w:w="7128"/>
            <w:vAlign w:val="center"/>
          </w:tcPr>
          <w:p>
            <w:r/>
            <w:r>
              <w:rPr>
                <w:rFonts w:ascii="Calibri" w:hAnsi="Calibri"/>
                <w:b w:val="0"/>
                <w:sz w:val="18"/>
              </w:rPr>
              <w:t>Windows setup, update, shortcut, or installation behavior. Evidence: &lt;li&gt;The app downloads the installer, closes the current builder, updates the existing install, and reopens the app.&lt;/li&gt;</w:t>
            </w:r>
          </w:p>
        </w:tc>
      </w:tr>
      <w:tr>
        <w:tc>
          <w:tcPr>
            <w:tcW w:type="dxa" w:w="2232"/>
            <w:vAlign w:val="center"/>
          </w:tcPr>
          <w:p>
            <w:r/>
            <w:r>
              <w:rPr>
                <w:rFonts w:ascii="Calibri" w:hAnsi="Calibri"/>
                <w:b/>
                <w:sz w:val="18"/>
              </w:rPr>
              <w:t>Installer at line 631</w:t>
            </w:r>
          </w:p>
        </w:tc>
        <w:tc>
          <w:tcPr>
            <w:tcW w:type="dxa" w:w="7128"/>
            <w:vAlign w:val="center"/>
          </w:tcPr>
          <w:p>
            <w:r/>
            <w:r>
              <w:rPr>
                <w:rFonts w:ascii="Calibri" w:hAnsi="Calibri"/>
                <w:b w:val="0"/>
                <w:sz w:val="18"/>
              </w:rPr>
              <w:t>Windows setup, update, shortcut, or installation behavior. Evidence: &lt;li&gt;If an old uninstaller fails, setup stops the builder process and continues updating the same folder.&lt;/li&gt;</w:t>
            </w:r>
          </w:p>
        </w:tc>
      </w:tr>
      <w:tr>
        <w:tc>
          <w:tcPr>
            <w:tcW w:type="dxa" w:w="2232"/>
            <w:vAlign w:val="center"/>
          </w:tcPr>
          <w:p>
            <w:r/>
            <w:r>
              <w:rPr>
                <w:rFonts w:ascii="Calibri" w:hAnsi="Calibri"/>
                <w:b/>
                <w:sz w:val="18"/>
              </w:rPr>
              <w:t>Installer at line 636</w:t>
            </w:r>
          </w:p>
        </w:tc>
        <w:tc>
          <w:tcPr>
            <w:tcW w:type="dxa" w:w="7128"/>
            <w:vAlign w:val="center"/>
          </w:tcPr>
          <w:p>
            <w:r/>
            <w:r>
              <w:rPr>
                <w:rFonts w:ascii="Calibri" w:hAnsi="Calibri"/>
                <w:b w:val="0"/>
                <w:sz w:val="18"/>
              </w:rPr>
              <w:t>Windows setup, update, shortcut, or installation behavior. Evidence: &lt;li&gt;If a release is paused, wait for the next version instead of forcing the old installer.&lt;/li&gt;</w:t>
            </w:r>
          </w:p>
        </w:tc>
      </w:tr>
      <w:tr>
        <w:tc>
          <w:tcPr>
            <w:tcW w:type="dxa" w:w="2232"/>
            <w:vAlign w:val="center"/>
          </w:tcPr>
          <w:p>
            <w:r/>
            <w:r>
              <w:rPr>
                <w:rFonts w:ascii="Calibri" w:hAnsi="Calibri"/>
                <w:b/>
                <w:sz w:val="18"/>
              </w:rPr>
              <w:t>Installer at line 637</w:t>
            </w:r>
          </w:p>
        </w:tc>
        <w:tc>
          <w:tcPr>
            <w:tcW w:type="dxa" w:w="7128"/>
            <w:vAlign w:val="center"/>
          </w:tcPr>
          <w:p>
            <w:r/>
            <w:r>
              <w:rPr>
                <w:rFonts w:ascii="Calibri" w:hAnsi="Calibri"/>
                <w:b w:val="0"/>
                <w:sz w:val="18"/>
              </w:rPr>
              <w:t>Windows setup, update, shortcut, or installation behavior. Evidence: &lt;li&gt;If Windows blocks a process from closing, use Task Manager as Administrator to end the stuck installer or old builder process.&lt;/li&gt;</w:t>
            </w:r>
          </w:p>
        </w:tc>
      </w:tr>
      <w:tr>
        <w:tc>
          <w:tcPr>
            <w:tcW w:type="dxa" w:w="2232"/>
            <w:vAlign w:val="center"/>
          </w:tcPr>
          <w:p>
            <w:r/>
            <w:r>
              <w:rPr>
                <w:rFonts w:ascii="Calibri" w:hAnsi="Calibri"/>
                <w:b/>
                <w:sz w:val="18"/>
              </w:rPr>
              <w:t>Installer at line 638</w:t>
            </w:r>
          </w:p>
        </w:tc>
        <w:tc>
          <w:tcPr>
            <w:tcW w:type="dxa" w:w="7128"/>
            <w:vAlign w:val="center"/>
          </w:tcPr>
          <w:p>
            <w:r/>
            <w:r>
              <w:rPr>
                <w:rFonts w:ascii="Calibri" w:hAnsi="Calibri"/>
                <w:b w:val="0"/>
                <w:sz w:val="18"/>
              </w:rPr>
              <w:t>Windows setup, update, shortcut, or installation behavior. Evidence: &lt;li&gt;If the app opens but looks stale, close it fully and reopen it from the desktop shortcut.&lt;/li&gt;</w:t>
            </w:r>
          </w:p>
        </w:tc>
      </w:tr>
      <w:tr>
        <w:tc>
          <w:tcPr>
            <w:tcW w:type="dxa" w:w="2232"/>
            <w:vAlign w:val="center"/>
          </w:tcPr>
          <w:p>
            <w:r/>
            <w:r>
              <w:rPr>
                <w:rFonts w:ascii="Calibri" w:hAnsi="Calibri"/>
                <w:b/>
                <w:sz w:val="18"/>
              </w:rPr>
              <w:t>Installer at line 640</w:t>
            </w:r>
          </w:p>
        </w:tc>
        <w:tc>
          <w:tcPr>
            <w:tcW w:type="dxa" w:w="7128"/>
            <w:vAlign w:val="center"/>
          </w:tcPr>
          <w:p>
            <w:r/>
            <w:r>
              <w:rPr>
                <w:rFonts w:ascii="Calibri" w:hAnsi="Calibri"/>
                <w:b w:val="0"/>
                <w:sz w:val="18"/>
              </w:rPr>
              <w:t>Windows setup, update, shortcut, or installation behavior. Evidence: &lt;p&gt;If the app cannot update, close any old OMB Builder process in Task Manager and reopen the app from the desktop shortcut. Avoid installing another copy in a different folder; duplicate copies can make Windows shortcut</w:t>
            </w:r>
          </w:p>
        </w:tc>
      </w:tr>
      <w:tr>
        <w:tc>
          <w:tcPr>
            <w:tcW w:type="dxa" w:w="2232"/>
            <w:vAlign w:val="center"/>
          </w:tcPr>
          <w:p>
            <w:r/>
            <w:r>
              <w:rPr>
                <w:rFonts w:ascii="Calibri" w:hAnsi="Calibri"/>
                <w:b/>
                <w:sz w:val="18"/>
              </w:rPr>
              <w:t>Browser DOM at line 646</w:t>
            </w:r>
          </w:p>
        </w:tc>
        <w:tc>
          <w:tcPr>
            <w:tcW w:type="dxa" w:w="7128"/>
            <w:vAlign w:val="center"/>
          </w:tcPr>
          <w:p>
            <w:r/>
            <w:r>
              <w:rPr>
                <w:rFonts w:ascii="Calibri" w:hAnsi="Calibri"/>
                <w:b w:val="0"/>
                <w:sz w:val="18"/>
              </w:rPr>
              <w:t>Builder or website interface behavior in the browser/Electron renderer. Evidence: &lt;p&gt;Anything pushed to the portfolio repository can become public. Treat the portfolio as a public engineering document. If a file would be unsafe in a public GitHub repository, it should not be uploaded or published thro</w:t>
            </w:r>
          </w:p>
        </w:tc>
      </w:tr>
      <w:tr>
        <w:tc>
          <w:tcPr>
            <w:tcW w:type="dxa" w:w="2232"/>
            <w:vAlign w:val="center"/>
          </w:tcPr>
          <w:p>
            <w:r/>
            <w:r>
              <w:rPr>
                <w:rFonts w:ascii="Calibri" w:hAnsi="Calibri"/>
                <w:b/>
                <w:sz w:val="18"/>
              </w:rPr>
              <w:t>Security or auth at line 647</w:t>
            </w:r>
          </w:p>
        </w:tc>
        <w:tc>
          <w:tcPr>
            <w:tcW w:type="dxa" w:w="7128"/>
            <w:vAlign w:val="center"/>
          </w:tcPr>
          <w:p>
            <w:r/>
            <w:r>
              <w:rPr>
                <w:rFonts w:ascii="Calibri" w:hAnsi="Calibri"/>
                <w:b w:val="0"/>
                <w:sz w:val="18"/>
              </w:rPr>
              <w:t>Publishing protection, API key safety, HTTP security, or user authorization. Evidence: &lt;p&gt;Good portfolio evidence is public-safe, clearly labeled, and useful to a visitor. Private credentials, private lab data, personal identity documents, and unpublished confidential work should stay out of the portfolio.</w:t>
            </w:r>
          </w:p>
        </w:tc>
      </w:tr>
      <w:tr>
        <w:tc>
          <w:tcPr>
            <w:tcW w:type="dxa" w:w="2232"/>
            <w:vAlign w:val="center"/>
          </w:tcPr>
          <w:p>
            <w:r/>
            <w:r>
              <w:rPr>
                <w:rFonts w:ascii="Calibri" w:hAnsi="Calibri"/>
                <w:b/>
                <w:sz w:val="18"/>
              </w:rPr>
              <w:t>Security or auth at line 649</w:t>
            </w:r>
          </w:p>
        </w:tc>
        <w:tc>
          <w:tcPr>
            <w:tcW w:type="dxa" w:w="7128"/>
            <w:vAlign w:val="center"/>
          </w:tcPr>
          <w:p>
            <w:r/>
            <w:r>
              <w:rPr>
                <w:rFonts w:ascii="Calibri" w:hAnsi="Calibri"/>
                <w:b w:val="0"/>
                <w:sz w:val="18"/>
              </w:rPr>
              <w:t>Publishing protection, API key safety, HTTP security, or user authorization. Evidence: &lt;li&gt;Do not upload private keys, passwords, private tokens, or private lab data.&lt;/li&gt;</w:t>
            </w:r>
          </w:p>
        </w:tc>
      </w:tr>
      <w:tr>
        <w:tc>
          <w:tcPr>
            <w:tcW w:type="dxa" w:w="2232"/>
            <w:vAlign w:val="center"/>
          </w:tcPr>
          <w:p>
            <w:r/>
            <w:r>
              <w:rPr>
                <w:rFonts w:ascii="Calibri" w:hAnsi="Calibri"/>
                <w:b/>
                <w:sz w:val="18"/>
              </w:rPr>
              <w:t>Security or auth at line 652</w:t>
            </w:r>
          </w:p>
        </w:tc>
        <w:tc>
          <w:tcPr>
            <w:tcW w:type="dxa" w:w="7128"/>
            <w:vAlign w:val="center"/>
          </w:tcPr>
          <w:p>
            <w:r/>
            <w:r>
              <w:rPr>
                <w:rFonts w:ascii="Calibri" w:hAnsi="Calibri"/>
                <w:b w:val="0"/>
                <w:sz w:val="18"/>
              </w:rPr>
              <w:t>Publishing protection, API key safety, HTTP security, or user authorization. Evidence: &lt;li&gt;Keep authentication local. The builder should not commit credentials.&lt;/li&gt;</w:t>
            </w:r>
          </w:p>
        </w:tc>
      </w:tr>
      <w:tr>
        <w:tc>
          <w:tcPr>
            <w:tcW w:type="dxa" w:w="2232"/>
            <w:vAlign w:val="center"/>
          </w:tcPr>
          <w:p>
            <w:r/>
            <w:r>
              <w:rPr>
                <w:rFonts w:ascii="Calibri" w:hAnsi="Calibri"/>
                <w:b/>
                <w:sz w:val="18"/>
              </w:rPr>
              <w:t>Security or auth at line 657</w:t>
            </w:r>
          </w:p>
        </w:tc>
        <w:tc>
          <w:tcPr>
            <w:tcW w:type="dxa" w:w="7128"/>
            <w:vAlign w:val="center"/>
          </w:tcPr>
          <w:p>
            <w:r/>
            <w:r>
              <w:rPr>
                <w:rFonts w:ascii="Calibri" w:hAnsi="Calibri"/>
                <w:b w:val="0"/>
                <w:sz w:val="18"/>
              </w:rPr>
              <w:t>Publishing protection, API key safety, HTTP security, or user authorization. Evidence: &lt;li&gt;Check code files for tokens, API keys, Wi-Fi credentials, private comments, or machine-specific paths.&lt;/li&gt;</w:t>
            </w:r>
          </w:p>
        </w:tc>
      </w:tr>
      <w:tr>
        <w:tc>
          <w:tcPr>
            <w:tcW w:type="dxa" w:w="2232"/>
            <w:vAlign w:val="center"/>
          </w:tcPr>
          <w:p>
            <w:r/>
            <w:r>
              <w:rPr>
                <w:rFonts w:ascii="Calibri" w:hAnsi="Calibri"/>
                <w:b/>
                <w:sz w:val="18"/>
              </w:rPr>
              <w:t>Cloudflare or AI at line 660</w:t>
            </w:r>
          </w:p>
        </w:tc>
        <w:tc>
          <w:tcPr>
            <w:tcW w:type="dxa" w:w="7128"/>
            <w:vAlign w:val="center"/>
          </w:tcPr>
          <w:p>
            <w:r/>
            <w:r>
              <w:rPr>
                <w:rFonts w:ascii="Calibri" w:hAnsi="Calibri"/>
                <w:b w:val="0"/>
                <w:sz w:val="18"/>
              </w:rPr>
              <w:t>Public AI assistant, Worker deployment, or model-provider fallback behavior. Evidence: &lt;li&gt;Use Security report to review app download counts, current publishing authorization status, and whether visitor logging requires Cloudflare analytics.&lt;/li&gt;</w:t>
            </w:r>
          </w:p>
        </w:tc>
      </w:tr>
      <w:tr>
        <w:tc>
          <w:tcPr>
            <w:tcW w:type="dxa" w:w="2232"/>
            <w:vAlign w:val="center"/>
          </w:tcPr>
          <w:p>
            <w:r/>
            <w:r>
              <w:rPr>
                <w:rFonts w:ascii="Calibri" w:hAnsi="Calibri"/>
                <w:b/>
                <w:sz w:val="18"/>
              </w:rPr>
              <w:t>Security or auth at line 662</w:t>
            </w:r>
          </w:p>
        </w:tc>
        <w:tc>
          <w:tcPr>
            <w:tcW w:type="dxa" w:w="7128"/>
            <w:vAlign w:val="center"/>
          </w:tcPr>
          <w:p>
            <w:r/>
            <w:r>
              <w:rPr>
                <w:rFonts w:ascii="Calibri" w:hAnsi="Calibri"/>
                <w:b w:val="0"/>
                <w:sz w:val="18"/>
              </w:rPr>
              <w:t xml:space="preserve">Publishing protection, API key safety, HTTP security, or user authorization. Evidence: &lt;p&gt;If another user installs the builder, they should connect their own target unless you explicitly authorize access to your target. The builder should help people create portfolios, but it should not give anyone silent </w:t>
            </w:r>
          </w:p>
        </w:tc>
      </w:tr>
      <w:tr>
        <w:tc>
          <w:tcPr>
            <w:tcW w:type="dxa" w:w="2232"/>
            <w:vAlign w:val="center"/>
          </w:tcPr>
          <w:p>
            <w:r/>
            <w:r>
              <w:rPr>
                <w:rFonts w:ascii="Calibri" w:hAnsi="Calibri"/>
                <w:b/>
                <w:sz w:val="18"/>
              </w:rPr>
              <w:t>Git command at line 669</w:t>
            </w:r>
          </w:p>
        </w:tc>
        <w:tc>
          <w:tcPr>
            <w:tcW w:type="dxa" w:w="7128"/>
            <w:vAlign w:val="center"/>
          </w:tcPr>
          <w:p>
            <w:r/>
            <w:r>
              <w:rPr>
                <w:rFonts w:ascii="Calibri" w:hAnsi="Calibri"/>
                <w:b w:val="0"/>
                <w:sz w:val="18"/>
              </w:rPr>
              <w:t>Repository state, publishing, branch checks, or release automation. Evidence: &lt;p&gt;The routine is intentionally repetitive because publishing is safer when every project has been parsed and every section has been previewed before Git pushes anything.&lt;/p&gt;</w:t>
            </w:r>
          </w:p>
        </w:tc>
      </w:tr>
      <w:tr>
        <w:tc>
          <w:tcPr>
            <w:tcW w:type="dxa" w:w="2232"/>
            <w:vAlign w:val="center"/>
          </w:tcPr>
          <w:p>
            <w:r/>
            <w:r>
              <w:rPr>
                <w:rFonts w:ascii="Calibri" w:hAnsi="Calibri"/>
                <w:b/>
                <w:sz w:val="18"/>
              </w:rPr>
              <w:t>Security or auth at line 684</w:t>
            </w:r>
          </w:p>
        </w:tc>
        <w:tc>
          <w:tcPr>
            <w:tcW w:type="dxa" w:w="7128"/>
            <w:vAlign w:val="center"/>
          </w:tcPr>
          <w:p>
            <w:r/>
            <w:r>
              <w:rPr>
                <w:rFonts w:ascii="Calibri" w:hAnsi="Calibri"/>
                <w:b w:val="0"/>
                <w:sz w:val="18"/>
              </w:rPr>
              <w:t>Publishing protection, API key safety, HTTP security, or user authorization. Evidence: &lt;li&gt;For publishing target changes, authenticate before loading or applying site data.&lt;/li&gt;</w:t>
            </w:r>
          </w:p>
        </w:tc>
      </w:tr>
      <w:tr>
        <w:tc>
          <w:tcPr>
            <w:tcW w:type="dxa" w:w="2232"/>
            <w:vAlign w:val="center"/>
          </w:tcPr>
          <w:p>
            <w:r/>
            <w:r>
              <w:rPr>
                <w:rFonts w:ascii="Calibri" w:hAnsi="Calibri"/>
                <w:b/>
                <w:sz w:val="18"/>
              </w:rPr>
              <w:t>Rich text at line 755</w:t>
            </w:r>
          </w:p>
        </w:tc>
        <w:tc>
          <w:tcPr>
            <w:tcW w:type="dxa" w:w="7128"/>
            <w:vAlign w:val="center"/>
          </w:tcPr>
          <w:p>
            <w:r/>
            <w:r>
              <w:rPr>
                <w:rFonts w:ascii="Calibri" w:hAnsi="Calibri"/>
                <w:b w:val="0"/>
                <w:sz w:val="18"/>
              </w:rPr>
              <w:t>Rich editor behavior, formatting, paste handling, or content sanitization. Evidence: &lt;span&gt;Accent color&lt;/span&gt;</w:t>
            </w:r>
          </w:p>
        </w:tc>
      </w:tr>
      <w:tr>
        <w:tc>
          <w:tcPr>
            <w:tcW w:type="dxa" w:w="2232"/>
            <w:vAlign w:val="center"/>
          </w:tcPr>
          <w:p>
            <w:r/>
            <w:r>
              <w:rPr>
                <w:rFonts w:ascii="Calibri" w:hAnsi="Calibri"/>
                <w:b/>
                <w:sz w:val="18"/>
              </w:rPr>
              <w:t>Rich text at line 756</w:t>
            </w:r>
          </w:p>
        </w:tc>
        <w:tc>
          <w:tcPr>
            <w:tcW w:type="dxa" w:w="7128"/>
            <w:vAlign w:val="center"/>
          </w:tcPr>
          <w:p>
            <w:r/>
            <w:r>
              <w:rPr>
                <w:rFonts w:ascii="Calibri" w:hAnsi="Calibri"/>
                <w:b w:val="0"/>
                <w:sz w:val="18"/>
              </w:rPr>
              <w:t>Rich editor behavior, formatting, paste handling, or content sanitization. Evidence: &lt;input id="category-accent" type="color" value="#1677a8" /&gt;</w:t>
            </w:r>
          </w:p>
        </w:tc>
      </w:tr>
      <w:tr>
        <w:tc>
          <w:tcPr>
            <w:tcW w:type="dxa" w:w="2232"/>
            <w:vAlign w:val="center"/>
          </w:tcPr>
          <w:p>
            <w:r/>
            <w:r>
              <w:rPr>
                <w:rFonts w:ascii="Calibri" w:hAnsi="Calibri"/>
                <w:b/>
                <w:sz w:val="18"/>
              </w:rPr>
              <w:t>Rich text at line 780</w:t>
            </w:r>
          </w:p>
        </w:tc>
        <w:tc>
          <w:tcPr>
            <w:tcW w:type="dxa" w:w="7128"/>
            <w:vAlign w:val="center"/>
          </w:tcPr>
          <w:p>
            <w:r/>
            <w:r>
              <w:rPr>
                <w:rFonts w:ascii="Calibri" w:hAnsi="Calibri"/>
                <w:b w:val="0"/>
                <w:sz w:val="18"/>
              </w:rPr>
              <w:t>Rich editor behavior, formatting, paste handling, or content sanitization. Evidence: &lt;button type="button" data-title-action="paste"&gt;Paste as title&lt;/button&gt;</w:t>
            </w:r>
          </w:p>
        </w:tc>
      </w:tr>
      <w:tr>
        <w:tc>
          <w:tcPr>
            <w:tcW w:type="dxa" w:w="2232"/>
            <w:vAlign w:val="center"/>
          </w:tcPr>
          <w:p>
            <w:r/>
            <w:r>
              <w:rPr>
                <w:rFonts w:ascii="Calibri" w:hAnsi="Calibri"/>
                <w:b/>
                <w:sz w:val="18"/>
              </w:rPr>
              <w:t>Git command at line 868</w:t>
            </w:r>
          </w:p>
        </w:tc>
        <w:tc>
          <w:tcPr>
            <w:tcW w:type="dxa" w:w="7128"/>
            <w:vAlign w:val="center"/>
          </w:tcPr>
          <w:p>
            <w:r/>
            <w:r>
              <w:rPr>
                <w:rFonts w:ascii="Calibri" w:hAnsi="Calibri"/>
                <w:b w:val="0"/>
                <w:sz w:val="18"/>
              </w:rPr>
              <w:t>Repository state, publishing, branch checks, or release automation. Evidence: &lt;input id="publish-target-repository" type="text" placeholder="https://github.com/USERNAME/USERNAME.github.io.git" /&gt;</w:t>
            </w:r>
          </w:p>
        </w:tc>
      </w:tr>
      <w:tr>
        <w:tc>
          <w:tcPr>
            <w:tcW w:type="dxa" w:w="2232"/>
            <w:vAlign w:val="center"/>
          </w:tcPr>
          <w:p>
            <w:r/>
            <w:r>
              <w:rPr>
                <w:rFonts w:ascii="Calibri" w:hAnsi="Calibri"/>
                <w:b/>
                <w:sz w:val="18"/>
              </w:rPr>
              <w:t>Security or auth at line 871</w:t>
            </w:r>
          </w:p>
        </w:tc>
        <w:tc>
          <w:tcPr>
            <w:tcW w:type="dxa" w:w="7128"/>
            <w:vAlign w:val="center"/>
          </w:tcPr>
          <w:p>
            <w:r/>
            <w:r>
              <w:rPr>
                <w:rFonts w:ascii="Calibri" w:hAnsi="Calibri"/>
                <w:b w:val="0"/>
                <w:sz w:val="18"/>
              </w:rPr>
              <w:t>Publishing protection, API key safety, HTTP security, or user authorization. Evidence: Authenticate target verifies that this computer can write to the selected GitHub Pages repository. Load from target imports the latest compatible website data from that authenticated repository into this builder. Authent</w:t>
            </w:r>
          </w:p>
        </w:tc>
      </w:tr>
      <w:tr>
        <w:tc>
          <w:tcPr>
            <w:tcW w:type="dxa" w:w="2232"/>
            <w:vAlign w:val="center"/>
          </w:tcPr>
          <w:p>
            <w:r/>
            <w:r>
              <w:rPr>
                <w:rFonts w:ascii="Calibri" w:hAnsi="Calibri"/>
                <w:b/>
                <w:sz w:val="18"/>
              </w:rPr>
              <w:t>Security or auth at line 874</w:t>
            </w:r>
          </w:p>
        </w:tc>
        <w:tc>
          <w:tcPr>
            <w:tcW w:type="dxa" w:w="7128"/>
            <w:vAlign w:val="center"/>
          </w:tcPr>
          <w:p>
            <w:r/>
            <w:r>
              <w:rPr>
                <w:rFonts w:ascii="Calibri" w:hAnsi="Calibri"/>
                <w:b w:val="0"/>
                <w:sz w:val="18"/>
              </w:rPr>
              <w:t>Publishing protection, API key safety, HTTP security, or user authorization. Evidence: &lt;button class="button primary" id="publish-target-auth" type="submit"&gt;Authenticate target&lt;/button&gt;</w:t>
            </w:r>
          </w:p>
        </w:tc>
      </w:tr>
    </w:tbl>
    <w:p>
      <w:pPr>
        <w:pStyle w:val="Heading2"/>
      </w:pPr>
      <w:r>
        <w:t>Representative opening snippet</w:t>
      </w:r>
    </w:p>
    <w:p>
      <w:pPr>
        <w:pStyle w:val="CodeBlock"/>
      </w:pPr>
      <w:r>
        <w:rPr>
          <w:rFonts w:ascii="Consolas" w:hAnsi="Consolas" w:eastAsia="Consolas"/>
        </w:rPr>
        <w:t xml:space="preserve">    1: &lt;!DOCTYPE html&gt;</w:t>
        <w:br/>
        <w:t xml:space="preserve">    2: &lt;html lang="en"&gt;</w:t>
        <w:br/>
        <w:t xml:space="preserve">    3:   &lt;head&gt;</w:t>
        <w:br/>
        <w:t xml:space="preserve">    4:     &lt;meta charset="UTF-8" /&gt;</w:t>
        <w:br/>
        <w:t xml:space="preserve">    5:     &lt;meta name="viewport" content="width=device-width, initial-scale=1.0" /&gt;</w:t>
        <w:br/>
        <w:t xml:space="preserve">    6:     &lt;meta name="robots" content="noindex, nofollow" /&gt;</w:t>
        <w:br/>
        <w:t xml:space="preserve">    7:     &lt;title&gt;Local Portfolio Builder&lt;/title&gt;</w:t>
        <w:br/>
        <w:t xml:space="preserve">    8:     &lt;link rel="icon" type="image/png" sizes="16x16" href="assets/favicon-16.png" /&gt;</w:t>
        <w:br/>
        <w:t xml:space="preserve">    9:     &lt;link rel="icon" type="image/png" sizes="32x32" href="assets/favicon-32.png" /&gt;</w:t>
        <w:br/>
        <w:t xml:space="preserve">   10:     &lt;link rel="icon" type="image/png" sizes="192x192" href="assets/favicon-192.png" /&gt;</w:t>
        <w:br/>
        <w:t xml:space="preserve">   11:     &lt;link rel="shortcut icon" href="assets/favicon.ico" /&gt;</w:t>
        <w:br/>
        <w:t xml:space="preserve">   12:     &lt;link rel="apple-touch-icon" sizes="180x180" href="assets/apple-touch-icon.png" /&gt;</w:t>
        <w:br/>
        <w:t xml:space="preserve">   13:     &lt;link rel="stylesheet" href="styles.css" /&gt;</w:t>
        <w:br/>
        <w:t xml:space="preserve">   14:     &lt;link rel="stylesheet" href="template-preview.css" /&gt;</w:t>
        <w:br/>
        <w:t xml:space="preserve">   15:   &lt;/head&gt;</w:t>
        <w:br/>
        <w:t xml:space="preserve">   16:   &lt;body class="template-preview-page"&gt;</w:t>
        <w:br/>
        <w:t xml:space="preserve">   17:       &lt;header class="template-header"&gt;</w:t>
        <w:br/>
        <w:t xml:space="preserve">   18:           &lt;a class="brand" href="index.html#top" aria-label="Back to portfolio"&gt;</w:t>
        <w:br/>
        <w:t xml:space="preserve">   19:               &lt;span class="brand-lockup" aria-hidden="true"&gt;</w:t>
        <w:br/>
        <w:t xml:space="preserve">   20:                   &lt;img class="brand-icon" src="assets/omb-mark.png" alt="" /&gt;</w:t>
        <w:br/>
        <w:t xml:space="preserve">   21:                   &lt;span class="omb-engraving"&gt;OMB&lt;/span&gt;</w:t>
        <w:br/>
        <w:t xml:space="preserve">   22:               &lt;/span&gt;</w:t>
        <w:br/>
        <w:t xml:space="preserve">   23:               &lt;span&gt;</w:t>
        <w:br/>
        <w:t xml:space="preserve">   24:                   &lt;strong&gt;Local Portfolio Builder&lt;/strong&gt;</w:t>
        <w:br/>
        <w:t xml:space="preserve">   25:                   &lt;small&gt;Build, preview, save locally, then publish when ready&lt;/small&gt;</w:t>
        <w:br/>
        <w:t xml:space="preserve">   26:               &lt;/span&gt;</w:t>
        <w:br/>
        <w:t xml:space="preserve">   27:           &lt;/a&gt;</w:t>
        <w:br/>
        <w:t xml:space="preserve">   28:           &lt;div class="builder-header-actions"&gt;</w:t>
        <w:br/>
        <w:t xml:space="preserve">   29:               &lt;span class="builder-save-state" id="builder-save-state" data-state="loaded"&gt;Loaded&lt;/span&gt;</w:t>
        <w:br/>
        <w:t xml:space="preserve">   30:               &lt;a class="button secondary" href="index.html#projects" target="_blank" rel="noreferrer"&gt;Portfolio&lt;/a&gt;</w:t>
        <w:br/>
        <w:t xml:space="preserve">   31:               &lt;button class="button secondary" id="publish-target-open" type="button"&gt;Publishing target&lt;/button&gt;</w:t>
        <w:br/>
        <w:t xml:space="preserve">   32:               &lt;button class="button secondary" id="security-report-open" type="button"&gt;Security report&lt;/button&gt;</w:t>
        <w:br/>
        <w:t xml:space="preserve">   33:               &lt;button class="button secondary" id="app-update-check" type="button"&gt;Check updates&lt;/button&gt;</w:t>
        <w:br/>
        <w:t xml:space="preserve">   34:               &lt;button class="button primary" id="save-draft" type="button"&gt;Save draft&lt;/button&gt;</w:t>
        <w:br/>
        <w:t xml:space="preserve">   35:               &lt;button class="button secondary" id="apply-catalog" type="button"&gt;Apply to site&lt;/button&gt;</w:t>
        <w:br/>
        <w:t xml:space="preserve">   36:           &lt;/div&gt;</w:t>
        <w:br/>
        <w:t xml:space="preserve">   37:       &lt;/header&gt;</w:t>
        <w:br/>
        <w:t xml:space="preserve">   38: </w:t>
        <w:br/>
        <w:t xml:space="preserve">   39:       &lt;main class="builder-workspace"&gt;</w:t>
        <w:br/>
        <w:t xml:space="preserve">   40:           &lt;aside class="builder-sidebar" aria-labelledby="library-title"&gt;</w:t>
        <w:br/>
        <w:t xml:space="preserve">   41:               &lt;button class="builder-guide-panel" id="builder-guide-open" type="button" aria-label="Open builder guide"&gt;</w:t>
        <w:br/>
        <w:t xml:space="preserve">   42:                   &lt;span class="builder-guide-icon" aria-hidden="true"&gt;&lt;/span&gt;</w:t>
        <w:br/>
        <w:t xml:space="preserve">   43:                   &lt;span&gt;</w:t>
        <w:br/>
        <w:t xml:space="preserve">   44:                       &lt;strong id="library-title"&gt;Portfolio Builder&lt;/strong&gt;</w:t>
        <w:br/>
        <w:t xml:space="preserve">   45:                       &lt;small&gt;Click for a quick build guide&lt;/small&gt;</w:t>
        <w:br/>
        <w:t xml:space="preserve">   46:                   &lt;/span&gt;</w:t>
        <w:br/>
        <w:t xml:space="preserve">   47:               &lt;/button&gt;</w:t>
        <w:br/>
        <w:t xml:space="preserve">   48: </w:t>
        <w:br/>
        <w:t xml:space="preserve">   49:               &lt;div class="builder-panel site-section-panel"&gt;</w:t>
        <w:br/>
        <w:t xml:space="preserve">   50:                   &lt;div class="panel-title-row"&gt;</w:t>
        <w:br/>
        <w:t xml:space="preserve">   51:                       &lt;h2&gt;Front page text&lt;/h2&gt;</w:t>
        <w:br/>
        <w:t xml:space="preserve">   52:                       &lt;button class="button secondary compact-button" id="save-site-content" type="button"&gt;Save&lt;/button&gt;</w:t>
        <w:br/>
        <w:t xml:space="preserve">   53:                   &lt;/div&gt;</w:t>
        <w:br/>
        <w:t xml:space="preserve">   54:                   &lt;div class="front-page-text-fields"&gt;</w:t>
        <w:br/>
        <w:t xml:space="preserve">   55:                       &lt;label&gt;</w:t>
        <w:br/>
        <w:t xml:space="preserve">   56:                           &lt;span&gt;Small label&lt;/span&gt;</w:t>
        <w:br/>
        <w:t xml:space="preserve">   57:                           &lt;div</w:t>
        <w:br/>
        <w:t xml:space="preserve">   58:                               class="rich-summary-editor front-rich-field"</w:t>
        <w:br/>
        <w:t xml:space="preserve">   59:                               id="site-hero-eyebrow"</w:t>
        <w:br/>
        <w:t xml:space="preserve">   60:                               data-rich-editor="site-field"</w:t>
        <w:br/>
        <w:t xml:space="preserve">   61:                               data-site-field="heroEyebrow"</w:t>
        <w:br/>
        <w:t xml:space="preserve">   62:                               data-rich-text-only="true"</w:t>
        <w:br/>
        <w:t xml:space="preserve">   63:                               data-placeholder="Engineering portfolio"</w:t>
        <w:br/>
        <w:t xml:space="preserve">   64:                               contenteditable="true"</w:t>
        <w:br/>
        <w:t xml:space="preserve">   65:                               spellcheck="true"</w:t>
        <w:br/>
        <w:t xml:space="preserve">   66:                               role="textbox"</w:t>
        <w:br/>
        <w:t xml:space="preserve">   67:                               aria-label="Small front page label"</w:t>
        <w:br/>
        <w:t xml:space="preserve">   68:                           &gt;&lt;/div&gt;</w:t>
        <w:br/>
        <w:t xml:space="preserve">   69:                       &lt;/label&gt;</w:t>
        <w:br/>
        <w:t xml:space="preserve">   70:                       &lt;label&gt;</w:t>
        <w:br/>
        <w:t xml:space="preserve">   71:                           &lt;span&gt;Main headline&lt;/span&gt;</w:t>
        <w:br/>
        <w:t xml:space="preserve">   72:                           &lt;div</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sectPr w:rsidR="00FC693F" w:rsidRPr="0006063C" w:rsidSect="00034616">
      <w:headerReference w:type="default" r:id="rId9"/>
      <w:pgSz w:w="12240" w:h="15840"/>
      <w:pgMar w:top="936" w:right="936" w:bottom="864"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OMB Portfolio Builder and Website Complete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eastAsia="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60" w:line="240" w:lineRule="auto"/>
    </w:pPr>
    <w:rPr>
      <w:rFonts w:ascii="Consolas" w:hAnsi="Consolas" w:eastAsia="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