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ourier New" w:cs="Courier New" w:eastAsia="Courier New" w:hAnsi="Courier New"/>
          <w:b/>
          <w:bCs/>
          <w:color w:val="5B2EFF"/>
          <w:spacing w:val="40"/>
          <w:sz w:val="17"/>
          <w:szCs w:val="17"/>
        </w:rPr>
        <w:t xml:space="preserve">COMPLIANCE</w:t>
      </w:r>
    </w:p>
    <w:p>
      <w:pPr>
        <w:pStyle w:val="Title"/>
        <w:pBdr>
          <w:bottom w:val="single" w:color="C6F432" w:sz="18" w:space="6"/>
        </w:pBdr>
        <w:spacing w:after="80"/>
      </w:pPr>
      <w:r>
        <w:rPr>
          <w:rFonts w:ascii="Arial" w:cs="Arial" w:eastAsia="Arial" w:hAnsi="Arial"/>
          <w:b/>
          <w:bCs/>
          <w:color w:val="0E0B24"/>
          <w:sz w:val="44"/>
          <w:szCs w:val="44"/>
        </w:rPr>
        <w:t xml:space="preserve">Legal and Compliance Roadmap</w:t>
      </w:r>
    </w:p>
    <w:p>
      <w:pPr>
        <w:spacing w:after="200" w:before="100" w:line="288"/>
      </w:pPr>
      <w:r>
        <w:rPr>
          <w:rFonts w:ascii="Arial" w:cs="Arial" w:eastAsia="Arial" w:hAnsi="Arial"/>
          <w:color w:val="6B6785"/>
          <w:sz w:val="21"/>
          <w:szCs w:val="21"/>
        </w:rPr>
        <w:t xml:space="preserve">The steps to register, protect and run Max_imum Designs properly, in order. Verify every item with the named office before acting.</w:t>
      </w:r>
    </w:p>
    <w:p>
      <w:pPr>
        <w:spacing w:after="60"/>
      </w:pPr>
      <w:r>
        <w:rPr>
          <w:rFonts w:ascii="Courier New" w:cs="Courier New" w:eastAsia="Courier New" w:hAnsi="Courier New"/>
          <w:b/>
          <w:bCs/>
          <w:color w:val="5B2EFF"/>
          <w:sz w:val="15"/>
          <w:szCs w:val="15"/>
        </w:rPr>
        <w:t xml:space="preserve">DRAFTING NOTE (delete before use)</w:t>
      </w:r>
    </w:p>
    <w:p>
      <w:pPr>
        <w:spacing w:after="200" w:line="260"/>
      </w:pPr>
      <w:r>
        <w:rPr>
          <w:rFonts w:ascii="Arial" w:cs="Arial" w:eastAsia="Arial" w:hAnsi="Arial"/>
          <w:i/>
          <w:iCs/>
          <w:color w:val="6B6785"/>
          <w:sz w:val="17"/>
          <w:szCs w:val="17"/>
        </w:rPr>
        <w:t xml:space="preserve">Template prepared for Max_imum Designs under Kenyan law as at October 2026. It is not legal advice. Replace every [bracketed] item, and have a Kenyan advocate review it before first use. Business details written in CAPITALS (for example [BUSINESS ADDRESS]) are filled in for every document at once by the Update Business Details tool in the toolkit. Rules, fees and thresholds change. Always confirm current requirements with the office named.</w:t>
      </w:r>
    </w:p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5B2EFF"/>
          <w:sz w:val="24"/>
          <w:szCs w:val="24"/>
        </w:rPr>
        <w:t xml:space="preserve">Stage 1. Now (first 30 days)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3300"/>
        <w:gridCol w:w="2638"/>
      </w:tblGrid>
      <w:tr>
        <w:trPr>
          <w:cantSplit/>
        </w:trPr>
        <w:tc>
          <w:tcPr>
            <w:tcW w:type="dxa" w:w="37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0E0B2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3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0E0B2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matters</w:t>
            </w:r>
          </w:p>
        </w:tc>
        <w:tc>
          <w:tcPr>
            <w:tcW w:type="dxa" w:w="26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0E0B2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 to do it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Register the business name (sole proprietorship) and get a registration certificate</w:t>
            </w:r>
          </w:p>
        </w:tc>
        <w:tc>
          <w:tcPr>
            <w:tcW w:type="dxa" w:w="33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Lets you contract, open accounts and show clients you are legitimate</w:t>
            </w:r>
          </w:p>
        </w:tc>
        <w:tc>
          <w:tcPr>
            <w:tcW w:type="dxa" w:w="26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Business Registration Service (BRS) on eCitizen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Confirm your KRA PIN and your tax obligations (income tax, turnover tax or VAT, as applicable)</w:t>
            </w:r>
          </w:p>
        </w:tc>
        <w:tc>
          <w:tcPr>
            <w:tcW w:type="dxa" w:w="33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Avoids penalties; required on invoices and for registration</w:t>
            </w:r>
          </w:p>
        </w:tc>
        <w:tc>
          <w:tcPr>
            <w:tcW w:type="dxa" w:w="26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KRA iTax portal. Check the current rates and thresholds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Open a separate bank account or M-Pesa Till for the business</w:t>
            </w:r>
          </w:p>
        </w:tc>
        <w:tc>
          <w:tcPr>
            <w:tcW w:type="dxa" w:w="33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Keeps personal and business money apart; easier tax records</w:t>
            </w:r>
          </w:p>
        </w:tc>
        <w:tc>
          <w:tcPr>
            <w:tcW w:type="dxa" w:w="26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Your bank / Safaricom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Check whether your county requires a business permit for your set-up</w:t>
            </w:r>
          </w:p>
        </w:tc>
        <w:tc>
          <w:tcPr>
            <w:tcW w:type="dxa" w:w="33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Some counties require one even for home-based or online services</w:t>
            </w:r>
          </w:p>
        </w:tc>
        <w:tc>
          <w:tcPr>
            <w:tcW w:type="dxa" w:w="26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Nairobi City County (or your county)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Start using the Agreement, Terms, Handover Certificate and Consent Form on every job</w:t>
            </w:r>
          </w:p>
        </w:tc>
        <w:tc>
          <w:tcPr>
            <w:tcW w:type="dxa" w:w="33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Written signed terms are your main protection</w:t>
            </w:r>
          </w:p>
        </w:tc>
        <w:tc>
          <w:tcPr>
            <w:tcW w:type="dxa" w:w="26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This legal pack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Publish the Privacy Policy and Website Terms</w:t>
            </w:r>
          </w:p>
        </w:tc>
        <w:tc>
          <w:tcPr>
            <w:tcW w:type="dxa" w:w="33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Data Protection Act applies even to very small businesses</w:t>
            </w:r>
          </w:p>
        </w:tc>
        <w:tc>
          <w:tcPr>
            <w:tcW w:type="dxa" w:w="26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Your website</w:t>
            </w:r>
          </w:p>
        </w:tc>
      </w:tr>
    </w:tbl>
    <w:p>
      <w:pPr>
        <w:spacing w:after="80" w:before="0" w:line="288"/>
      </w:pPr>
      <w:r>
        <w:rPr>
          <w:rFonts w:ascii="Arial" w:cs="Arial" w:eastAsia="Arial" w:hAnsi="Arial"/>
          <w:color w:val="0E0B24"/>
          <w:sz w:val="20"/>
          <w:szCs w:val="20"/>
        </w:rPr>
        <w:t xml:space="preserve"/>
      </w:r>
    </w:p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5B2EFF"/>
          <w:sz w:val="24"/>
          <w:szCs w:val="24"/>
        </w:rPr>
        <w:t xml:space="preserve">Stage 2. Next 3 to 6 months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3300"/>
        <w:gridCol w:w="2638"/>
      </w:tblGrid>
      <w:tr>
        <w:trPr>
          <w:cantSplit/>
        </w:trPr>
        <w:tc>
          <w:tcPr>
            <w:tcW w:type="dxa" w:w="37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0E0B2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3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0E0B2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matters</w:t>
            </w:r>
          </w:p>
        </w:tc>
        <w:tc>
          <w:tcPr>
            <w:tcW w:type="dxa" w:w="26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0E0B2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 to do it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Search and file the </w:t>
            </w:r>
            <w:r>
              <w:rPr>
                <w:rFonts w:ascii="Arial" w:cs="Arial" w:eastAsia="Arial" w:hAnsi="Arial"/>
                <w:b/>
                <w:bCs/>
                <w:color w:val="0E0B24"/>
                <w:sz w:val="18"/>
                <w:szCs w:val="18"/>
              </w:rPr>
              <w:t xml:space="preserve">Max_imum Designs</w:t>
            </w: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 name and logo as trademarks (design services are usually in Nice class 42; confirm the right classes)</w:t>
            </w:r>
          </w:p>
        </w:tc>
        <w:tc>
          <w:tcPr>
            <w:tcW w:type="dxa" w:w="33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Stops others copying the brand. The logo with an underscore may need careful checking</w:t>
            </w:r>
          </w:p>
        </w:tc>
        <w:tc>
          <w:tcPr>
            <w:tcW w:type="dxa" w:w="26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Kenya Industrial Property Institute (KIPI); consider an IP advocate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Register a .co.ke or .ke domain and matching social handles</w:t>
            </w:r>
          </w:p>
        </w:tc>
        <w:tc>
          <w:tcPr>
            <w:tcW w:type="dxa" w:w="33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Protects the name online</w:t>
            </w:r>
          </w:p>
        </w:tc>
        <w:tc>
          <w:tcPr>
            <w:tcW w:type="dxa" w:w="26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A KENIC-accredited registrar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Check ODPC registration thresholds again each year</w:t>
            </w:r>
          </w:p>
        </w:tc>
        <w:tc>
          <w:tcPr>
            <w:tcW w:type="dxa" w:w="33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Below KES 5 million turnover and under 10 employees is exempt from mandatory registration, but you must still follow the Act</w:t>
            </w:r>
          </w:p>
        </w:tc>
        <w:tc>
          <w:tcPr>
            <w:tcW w:type="dxa" w:w="26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Office of the Data Protection Commissioner (ODPC)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Keep a simple data register (what personal data you hold, why, where, for how long)</w:t>
            </w:r>
          </w:p>
        </w:tc>
        <w:tc>
          <w:tcPr>
            <w:tcW w:type="dxa" w:w="33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Shows compliance and answers client questions</w:t>
            </w:r>
          </w:p>
        </w:tc>
        <w:tc>
          <w:tcPr>
            <w:tcW w:type="dxa" w:w="26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Use the Tracker workbook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Have an advocate review the Agreement and Terms (a one-off review is usually affordable)</w:t>
            </w:r>
          </w:p>
        </w:tc>
        <w:tc>
          <w:tcPr>
            <w:tcW w:type="dxa" w:w="33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Catches local issues and gives confidence</w:t>
            </w:r>
          </w:p>
        </w:tc>
        <w:tc>
          <w:tcPr>
            <w:tcW w:type="dxa" w:w="26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An advocate of the High Court of Kenya (Law Society of Kenya directory)</w:t>
            </w:r>
          </w:p>
        </w:tc>
      </w:tr>
    </w:tbl>
    <w:p>
      <w:pPr>
        <w:spacing w:after="80" w:before="0" w:line="288"/>
      </w:pPr>
      <w:r>
        <w:rPr>
          <w:rFonts w:ascii="Arial" w:cs="Arial" w:eastAsia="Arial" w:hAnsi="Arial"/>
          <w:color w:val="0E0B24"/>
          <w:sz w:val="20"/>
          <w:szCs w:val="20"/>
        </w:rPr>
        <w:t xml:space="preserve"/>
      </w:r>
    </w:p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5B2EFF"/>
          <w:sz w:val="24"/>
          <w:szCs w:val="24"/>
        </w:rPr>
        <w:t xml:space="preserve">Stage 3. 6 to 12 months and beyond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3300"/>
        <w:gridCol w:w="2638"/>
      </w:tblGrid>
      <w:tr>
        <w:trPr>
          <w:cantSplit/>
        </w:trPr>
        <w:tc>
          <w:tcPr>
            <w:tcW w:type="dxa" w:w="37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0E0B2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3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0E0B2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matters</w:t>
            </w:r>
          </w:p>
        </w:tc>
        <w:tc>
          <w:tcPr>
            <w:tcW w:type="dxa" w:w="26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0E0B2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 to do it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Consider registering key original works (e.g. the Max_imum logo and brand system) with the copyright office</w:t>
            </w:r>
          </w:p>
        </w:tc>
        <w:tc>
          <w:tcPr>
            <w:tcW w:type="dxa" w:w="33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Registration is optional but gives clear proof of ownership</w:t>
            </w:r>
          </w:p>
        </w:tc>
        <w:tc>
          <w:tcPr>
            <w:tcW w:type="dxa" w:w="26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Kenya Copyright Board (KECOBO)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Consider converting to a limited company when turnover, clients or staff grow</w:t>
            </w:r>
          </w:p>
        </w:tc>
        <w:tc>
          <w:tcPr>
            <w:tcW w:type="dxa" w:w="33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Limits personal liability and looks more established</w:t>
            </w:r>
          </w:p>
        </w:tc>
        <w:tc>
          <w:tcPr>
            <w:tcW w:type="dxa" w:w="26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BRS, with an advocate or company secretary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Consider professional indemnity or business insurance</w:t>
            </w:r>
          </w:p>
        </w:tc>
        <w:tc>
          <w:tcPr>
            <w:tcW w:type="dxa" w:w="33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Protects against claims for errors</w:t>
            </w:r>
          </w:p>
        </w:tc>
        <w:tc>
          <w:tcPr>
            <w:tcW w:type="dxa" w:w="26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A licensed insurer or broker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Review prices, contracts and policies every 6 months</w:t>
            </w:r>
          </w:p>
        </w:tc>
        <w:tc>
          <w:tcPr>
            <w:tcW w:type="dxa" w:w="33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Laws, taxes and the market change</w:t>
            </w:r>
          </w:p>
        </w:tc>
        <w:tc>
          <w:tcPr>
            <w:tcW w:type="dxa" w:w="26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Calendar reminder</w:t>
            </w:r>
          </w:p>
        </w:tc>
      </w:tr>
    </w:tbl>
    <w:p>
      <w:pPr>
        <w:spacing w:after="80" w:before="0" w:line="288"/>
      </w:pPr>
      <w:r>
        <w:rPr>
          <w:rFonts w:ascii="Arial" w:cs="Arial" w:eastAsia="Arial" w:hAnsi="Arial"/>
          <w:color w:val="0E0B24"/>
          <w:sz w:val="20"/>
          <w:szCs w:val="20"/>
        </w:rPr>
        <w:t xml:space="preserve"/>
      </w:r>
    </w:p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5B2EFF"/>
          <w:sz w:val="24"/>
          <w:szCs w:val="24"/>
        </w:rPr>
        <w:t xml:space="preserve">Key rules to remember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E0B24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0E0B24"/>
          <w:sz w:val="20"/>
          <w:szCs w:val="20"/>
        </w:rPr>
        <w:t xml:space="preserve">Copyright transfers in writing.</w:t>
      </w:r>
      <w:r>
        <w:rPr>
          <w:rFonts w:ascii="Arial" w:cs="Arial" w:eastAsia="Arial" w:hAnsi="Arial"/>
          <w:color w:val="0E0B24"/>
          <w:sz w:val="20"/>
          <w:szCs w:val="20"/>
        </w:rPr>
        <w:t xml:space="preserve"> In Kenya an assignment or licence of copyright must be in writing and signed, so use the Handover Certificate.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E0B24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0E0B24"/>
          <w:sz w:val="20"/>
          <w:szCs w:val="20"/>
        </w:rPr>
        <w:t xml:space="preserve">Copyright exists automatically</w:t>
      </w:r>
      <w:r>
        <w:rPr>
          <w:rFonts w:ascii="Arial" w:cs="Arial" w:eastAsia="Arial" w:hAnsi="Arial"/>
          <w:color w:val="0E0B24"/>
          <w:sz w:val="20"/>
          <w:szCs w:val="20"/>
        </w:rPr>
        <w:t xml:space="preserve"> when original work is created in material form; registration is optional.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E0B24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0E0B24"/>
          <w:sz w:val="20"/>
          <w:szCs w:val="20"/>
        </w:rPr>
        <w:t xml:space="preserve">Payment protects ownership.</w:t>
      </w:r>
      <w:r>
        <w:rPr>
          <w:rFonts w:ascii="Arial" w:cs="Arial" w:eastAsia="Arial" w:hAnsi="Arial"/>
          <w:color w:val="0E0B24"/>
          <w:sz w:val="20"/>
          <w:szCs w:val="20"/>
        </w:rPr>
        <w:t xml:space="preserve"> The agreement keeps ownership with you until the client pays in full.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E0B24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0E0B24"/>
          <w:sz w:val="20"/>
          <w:szCs w:val="20"/>
        </w:rPr>
        <w:t xml:space="preserve">Small Claims Court</w:t>
      </w:r>
      <w:r>
        <w:rPr>
          <w:rFonts w:ascii="Arial" w:cs="Arial" w:eastAsia="Arial" w:hAnsi="Arial"/>
          <w:color w:val="0E0B24"/>
          <w:sz w:val="20"/>
          <w:szCs w:val="20"/>
        </w:rPr>
        <w:t xml:space="preserve"> can handle money claims up to KES 1,000,000 in a simple, fast process.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E0B24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0E0B24"/>
          <w:sz w:val="20"/>
          <w:szCs w:val="20"/>
        </w:rPr>
        <w:t xml:space="preserve">Data protection is a duty, not a registration form.</w:t>
      </w:r>
      <w:r>
        <w:rPr>
          <w:rFonts w:ascii="Arial" w:cs="Arial" w:eastAsia="Arial" w:hAnsi="Arial"/>
          <w:color w:val="0E0B24"/>
          <w:sz w:val="20"/>
          <w:szCs w:val="20"/>
        </w:rPr>
        <w:t xml:space="preserve"> Collect only what you need, keep it safe, and honour requests to see or delete data.</w:t>
      </w:r>
    </w:p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5B2EFF"/>
          <w:sz w:val="24"/>
          <w:szCs w:val="24"/>
        </w:rPr>
        <w:t xml:space="preserve">Where to verify (official sources)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E0B24"/>
          <w:sz w:val="20"/>
          <w:szCs w:val="20"/>
        </w:rPr>
        <w:t xml:space="preserve">Business Registration Service: brs.go.ke / eCitizen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E0B24"/>
          <w:sz w:val="20"/>
          <w:szCs w:val="20"/>
        </w:rPr>
        <w:t xml:space="preserve">Kenya Revenue Authority: kra.go.ke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E0B24"/>
          <w:sz w:val="20"/>
          <w:szCs w:val="20"/>
        </w:rPr>
        <w:t xml:space="preserve">Kenya Industrial Property Institute: kipi.go.ke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E0B24"/>
          <w:sz w:val="20"/>
          <w:szCs w:val="20"/>
        </w:rPr>
        <w:t xml:space="preserve">Kenya Copyright Board: copyright.go.ke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E0B24"/>
          <w:sz w:val="20"/>
          <w:szCs w:val="20"/>
        </w:rPr>
        <w:t xml:space="preserve">Office of the Data Protection Commissioner: odpc.go.ke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E0B24"/>
          <w:sz w:val="20"/>
          <w:szCs w:val="20"/>
        </w:rPr>
        <w:t xml:space="preserve">Judiciary of Kenya (Small Claims Court): judiciary.go.ke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E0B24"/>
          <w:sz w:val="20"/>
          <w:szCs w:val="20"/>
        </w:rPr>
        <w:t xml:space="preserve">Kenya Law (statutes): kenyalaw.org</w:t>
      </w:r>
    </w:p>
    <w:sectPr>
      <w:headerReference w:type="default" r:id="rId7"/>
      <w:footerReference w:type="default" r:id="rId8"/>
      <w:pgSz w:w="11906" w:h="16838" w:orient="portrait"/>
      <w:pgMar w:top="1300" w:right="1134" w:bottom="1100" w:left="1134" w:header="500" w:footer="4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ourier New" w:cs="Courier New" w:eastAsia="Courier New" w:hAnsi="Courier New"/>
        <w:color w:val="6B6785"/>
        <w:sz w:val="15"/>
        <w:szCs w:val="15"/>
      </w:rPr>
      <w:t xml:space="preserve">v1.0  ·  Page </w:t>
    </w:r>
    <w:r>
      <w:rPr>
        <w:rFonts w:ascii="Courier New" w:cs="Courier New" w:eastAsia="Courier New" w:hAnsi="Courier New"/>
        <w:color w:val="6B6785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ourier New" w:cs="Courier New" w:eastAsia="Courier New" w:hAnsi="Courier New"/>
        <w:color w:val="6B6785"/>
        <w:sz w:val="15"/>
        <w:szCs w:val="15"/>
      </w:rPr>
      <w:t xml:space="preserve"> of </w:t>
    </w:r>
    <w:r>
      <w:rPr>
        <w:rFonts w:ascii="Courier New" w:cs="Courier New" w:eastAsia="Courier New" w:hAnsi="Courier New"/>
        <w:color w:val="6B6785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drawing>
        <wp:inline distT="0" distB="0" distL="0" distR="0">
          <wp:extent cx="209550" cy="209550"/>
          <wp:effectExtent t="0" r="0" b="0" l="0"/>
          <wp:docPr id="1" name="ic" descr="Max_imum icon" title="Ico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550" cy="209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  <w:color w:val="6B6785"/>
        <w:sz w:val="16"/>
        <w:szCs w:val="16"/>
      </w:rPr>
      <w:t xml:space="preserve">   Max_imum Designs  |  Legal and Compliance Roadmap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  <w:rPr>
        <w:color w:val="5B2EF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E0B24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5B2EFF"/>
      <w:sz w:val="24"/>
      <w:szCs w:val="24"/>
    </w:rPr>
  </w:style>
  <w:style w:type="paragraph" w:styleId="Title">
    <w:name w:val="Title"/>
    <w:basedOn w:val="Normal"/>
    <w:rPr>
      <w:rFonts w:ascii="Arial" w:cs="Arial" w:eastAsia="Arial" w:hAnsi="Arial"/>
      <w:b/>
      <w:bCs/>
      <w:color w:val="0E0B24"/>
      <w:sz w:val="44"/>
      <w:szCs w:val="4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958c6d7e46d95e15b17c96f09a0136221fb51608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Legal and Compliance Roadmap</dc:title>
  <dc:creator>Max_imum Designs</dc:creator>
  <cp:lastModifiedBy>Un-named</cp:lastModifiedBy>
  <cp:revision>1</cp:revision>
  <dcterms:created xsi:type="dcterms:W3CDTF">2026-10-28T04:22:45.716Z</dcterms:created>
  <dcterms:modified xsi:type="dcterms:W3CDTF">2026-10-28T04:22:45.716Z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