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Líneas de investigación derivadas de la ejecución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1"/>
        </w:numPr>
        <w:ind w:left="426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Análisis de espectrogramas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color w:val="a6a6a6"/>
        </w:rPr>
      </w:pPr>
      <w:r w:rsidDel="00000000" w:rsidR="00000000" w:rsidRPr="00000000">
        <w:rPr>
          <w:rFonts w:ascii="Arial" w:cs="Arial" w:eastAsia="Arial" w:hAnsi="Arial"/>
          <w:color w:val="a6a6a6"/>
          <w:rtl w:val="0"/>
        </w:rPr>
        <w:t xml:space="preserve">Se realiza un análisis detallado de los espectrogramas obtenidos durante las campañas de medición, con el fin de identificar patrones de interferencia, emisiones no deseadas y comportamiento espectral en diferentes momentos del día.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color w:val="a6a6a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numPr>
          <w:ilvl w:val="0"/>
          <w:numId w:val="1"/>
        </w:numPr>
        <w:ind w:left="284" w:hanging="284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Estadísticas de persistencia espectral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color w:val="a6a6a6"/>
        </w:rPr>
      </w:pPr>
      <w:r w:rsidDel="00000000" w:rsidR="00000000" w:rsidRPr="00000000">
        <w:rPr>
          <w:rFonts w:ascii="Arial" w:cs="Arial" w:eastAsia="Arial" w:hAnsi="Arial"/>
          <w:color w:val="a6a6a6"/>
          <w:rtl w:val="0"/>
        </w:rPr>
        <w:t xml:space="preserve">Se calculan métricas estadísticas que permiten evaluar la persistencia de señales interferentes en el tiempo, lo cual es clave para distinguir entre interferencias esporádicas y fuentes constantes.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color w:val="a6a6a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numPr>
          <w:ilvl w:val="0"/>
          <w:numId w:val="1"/>
        </w:numPr>
        <w:ind w:left="284" w:hanging="284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Recomendaciones para protocolos de medición y análisis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color w:val="a6a6a6"/>
        </w:rPr>
      </w:pPr>
      <w:r w:rsidDel="00000000" w:rsidR="00000000" w:rsidRPr="00000000">
        <w:rPr>
          <w:rFonts w:ascii="Arial" w:cs="Arial" w:eastAsia="Arial" w:hAnsi="Arial"/>
          <w:color w:val="a6a6a6"/>
          <w:rtl w:val="0"/>
        </w:rPr>
        <w:t xml:space="preserve">Se proponen lineamientos técnicos para la configuración de equipos, selección de parámetros de medición y procesamiento de datos, con el fin de estandarizar futuras campañas de monitoreo del espectro.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/>
        <w:ind w:left="566.9291338582675" w:hanging="270"/>
        <w:rPr>
          <w:rFonts w:ascii="Arial" w:cs="Arial" w:eastAsia="Arial" w:hAnsi="Arial"/>
          <w:color w:val="a6a6a6"/>
          <w:u w:val="none"/>
        </w:rPr>
      </w:pPr>
      <w:r w:rsidDel="00000000" w:rsidR="00000000" w:rsidRPr="00000000">
        <w:rPr>
          <w:rFonts w:ascii="Arial" w:cs="Arial" w:eastAsia="Arial" w:hAnsi="Arial"/>
          <w:color w:val="a6a6a6"/>
          <w:rtl w:val="0"/>
        </w:rPr>
        <w:t xml:space="preserve">Configuraciones bancos de prueba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/>
        <w:ind w:left="566.9291338582675" w:hanging="270"/>
        <w:rPr>
          <w:rFonts w:ascii="Arial" w:cs="Arial" w:eastAsia="Arial" w:hAnsi="Arial"/>
          <w:color w:val="a6a6a6"/>
          <w:u w:val="none"/>
        </w:rPr>
      </w:pPr>
      <w:r w:rsidDel="00000000" w:rsidR="00000000" w:rsidRPr="00000000">
        <w:rPr>
          <w:rFonts w:ascii="Arial" w:cs="Arial" w:eastAsia="Arial" w:hAnsi="Arial"/>
          <w:color w:val="a6a6a6"/>
          <w:rtl w:val="0"/>
        </w:rPr>
        <w:t xml:space="preserve">Configuraciones estaciones portables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/>
        <w:ind w:left="566.9291338582675" w:hanging="270"/>
        <w:rPr>
          <w:rFonts w:ascii="Arial" w:cs="Arial" w:eastAsia="Arial" w:hAnsi="Arial"/>
          <w:color w:val="a6a6a6"/>
          <w:u w:val="none"/>
        </w:rPr>
      </w:pPr>
      <w:r w:rsidDel="00000000" w:rsidR="00000000" w:rsidRPr="00000000">
        <w:rPr>
          <w:rFonts w:ascii="Arial" w:cs="Arial" w:eastAsia="Arial" w:hAnsi="Arial"/>
          <w:color w:val="a6a6a6"/>
          <w:rtl w:val="0"/>
        </w:rPr>
        <w:t xml:space="preserve">Configuraciones estaciones móviles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566.9291338582675" w:hanging="270"/>
        <w:rPr>
          <w:rFonts w:ascii="Arial" w:cs="Arial" w:eastAsia="Arial" w:hAnsi="Arial"/>
          <w:color w:val="a6a6a6"/>
          <w:u w:val="none"/>
        </w:rPr>
      </w:pPr>
      <w:r w:rsidDel="00000000" w:rsidR="00000000" w:rsidRPr="00000000">
        <w:rPr>
          <w:rFonts w:ascii="Arial" w:cs="Arial" w:eastAsia="Arial" w:hAnsi="Arial"/>
          <w:color w:val="a6a6a6"/>
          <w:rtl w:val="0"/>
        </w:rPr>
        <w:t xml:space="preserve">Código GNU-Hackrf adquisición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color w:val="a6a6a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color w:val="a6a6a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color w:val="a6a6a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numPr>
          <w:ilvl w:val="0"/>
          <w:numId w:val="1"/>
        </w:numPr>
        <w:ind w:left="284" w:hanging="284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Recomendaciones a nivel técnico-regulatorio de procedimientos que propendan la mitigación de interferencias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color w:val="a6a6a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color w:val="a6a6a6"/>
        </w:rPr>
      </w:pPr>
      <w:r w:rsidDel="00000000" w:rsidR="00000000" w:rsidRPr="00000000">
        <w:rPr>
          <w:rFonts w:ascii="Arial" w:cs="Arial" w:eastAsia="Arial" w:hAnsi="Arial"/>
          <w:color w:val="a6a6a6"/>
          <w:rtl w:val="0"/>
        </w:rPr>
        <w:t xml:space="preserve">A partir de los hallazgos técnicos, se formulan recomendaciones regulatorias orientadas a mejorar la gestión del espectro, incluyendo ajustes en los límites de emisión, distancias mínimas y procedimientos de vigilancia.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/>
        <w:ind w:left="566.9291338582675" w:hanging="270"/>
        <w:rPr>
          <w:rFonts w:ascii="Arial" w:cs="Arial" w:eastAsia="Arial" w:hAnsi="Arial"/>
          <w:color w:val="a6a6a6"/>
          <w:u w:val="none"/>
        </w:rPr>
      </w:pPr>
      <w:r w:rsidDel="00000000" w:rsidR="00000000" w:rsidRPr="00000000">
        <w:rPr>
          <w:rFonts w:ascii="Arial" w:cs="Arial" w:eastAsia="Arial" w:hAnsi="Arial"/>
          <w:color w:val="a6a6a6"/>
          <w:rtl w:val="0"/>
        </w:rPr>
        <w:t xml:space="preserve">Instrumentación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566.9291338582675" w:hanging="270"/>
        <w:rPr>
          <w:rFonts w:ascii="Arial" w:cs="Arial" w:eastAsia="Arial" w:hAnsi="Arial"/>
          <w:color w:val="a6a6a6"/>
          <w:u w:val="none"/>
        </w:rPr>
      </w:pPr>
      <w:r w:rsidDel="00000000" w:rsidR="00000000" w:rsidRPr="00000000">
        <w:rPr>
          <w:rFonts w:ascii="Arial" w:cs="Arial" w:eastAsia="Arial" w:hAnsi="Arial"/>
          <w:color w:val="a6a6a6"/>
          <w:rtl w:val="0"/>
        </w:rPr>
        <w:t xml:space="preserve">Configuración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color w:val="000000"/>
      </w:rPr>
    </w:lvl>
    <w:lvl w:ilvl="1">
      <w:start w:val="1"/>
      <w:numFmt w:val="decimal"/>
      <w:lvlText w:val="%1.%2."/>
      <w:lvlJc w:val="right"/>
      <w:pPr>
        <w:ind w:left="566.9291338582675" w:hanging="269.99999999999994"/>
      </w:pPr>
      <w:rPr/>
    </w:lvl>
    <w:lvl w:ilvl="2">
      <w:start w:val="1"/>
      <w:numFmt w:val="decimal"/>
      <w:lvlText w:val="%1.%2.%3."/>
      <w:lvlJc w:val="right"/>
      <w:pPr>
        <w:ind w:left="2160" w:hanging="180"/>
      </w:pPr>
      <w:rPr/>
    </w:lvl>
    <w:lvl w:ilvl="3">
      <w:start w:val="1"/>
      <w:numFmt w:val="decimal"/>
      <w:lvlText w:val="%1.%2.%3.%4."/>
      <w:lvlJc w:val="right"/>
      <w:pPr>
        <w:ind w:left="2880" w:hanging="360"/>
      </w:pPr>
      <w:rPr/>
    </w:lvl>
    <w:lvl w:ilvl="4">
      <w:start w:val="1"/>
      <w:numFmt w:val="decimal"/>
      <w:lvlText w:val="%1.%2.%3.%4.%5."/>
      <w:lvlJc w:val="right"/>
      <w:pPr>
        <w:ind w:left="3600" w:hanging="360"/>
      </w:pPr>
      <w:rPr/>
    </w:lvl>
    <w:lvl w:ilvl="5">
      <w:start w:val="1"/>
      <w:numFmt w:val="decimal"/>
      <w:lvlText w:val="%1.%2.%3.%4.%5.%6."/>
      <w:lvlJc w:val="right"/>
      <w:pPr>
        <w:ind w:left="4320" w:hanging="180"/>
      </w:pPr>
      <w:rPr/>
    </w:lvl>
    <w:lvl w:ilvl="6">
      <w:start w:val="1"/>
      <w:numFmt w:val="decimal"/>
      <w:lvlText w:val="%1.%2.%3.%4.%5.%6.%7."/>
      <w:lvlJc w:val="right"/>
      <w:pPr>
        <w:ind w:left="5040" w:hanging="360"/>
      </w:pPr>
      <w:rPr/>
    </w:lvl>
    <w:lvl w:ilvl="7">
      <w:start w:val="1"/>
      <w:numFmt w:val="decimal"/>
      <w:lvlText w:val="%1.%2.%3.%4.%5.%6.%7.%8."/>
      <w:lvlJc w:val="right"/>
      <w:pPr>
        <w:ind w:left="5760" w:hanging="360"/>
      </w:pPr>
      <w:rPr/>
    </w:lvl>
    <w:lvl w:ilvl="8">
      <w:start w:val="1"/>
      <w:numFmt w:val="decimal"/>
      <w:lvlText w:val="%1.%2.%3.%4.%5.%6.%7.%8.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QMN93cbmewsO7W/WQWfWdD1S5w==">CgMxLjA4AHIhMVUtRHFPNHhER242ZHVFQjdrWlp1aDhaMXlqS3I0U2py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