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2"/>
          <w:szCs w:val="32"/>
        </w:rPr>
      </w:pPr>
      <w:r w:rsidDel="00000000" w:rsidR="00000000" w:rsidRPr="00000000">
        <w:rPr>
          <w:sz w:val="32"/>
          <w:szCs w:val="32"/>
          <w:rtl w:val="0"/>
        </w:rPr>
        <w:t xml:space="preserve">Informe Técnico del Proyecto “Análisis de la Convivencia entre el Servicio Móvil Aeronáutico y los Servicios de Radiodifusión en la Banda de 117.975 MHz a 136 MHz en Escenarios Críticos de Despliegue en Colombia”</w:t>
      </w:r>
    </w:p>
    <w:p w:rsidR="00000000" w:rsidDel="00000000" w:rsidP="00000000" w:rsidRDefault="00000000" w:rsidRPr="00000000" w14:paraId="00000002">
      <w:pPr>
        <w:pStyle w:val="Heading1"/>
        <w:numPr>
          <w:ilvl w:val="0"/>
          <w:numId w:val="1"/>
        </w:numPr>
        <w:ind w:left="284" w:hanging="284"/>
        <w:rPr/>
      </w:pPr>
      <w:r w:rsidDel="00000000" w:rsidR="00000000" w:rsidRPr="00000000">
        <w:rPr>
          <w:rtl w:val="0"/>
        </w:rPr>
        <w:t xml:space="preserve">Resumen Ejecutivo</w:t>
      </w:r>
    </w:p>
    <w:p w:rsidR="00000000" w:rsidDel="00000000" w:rsidP="00000000" w:rsidRDefault="00000000" w:rsidRPr="00000000" w14:paraId="00000003">
      <w:pPr>
        <w:rPr/>
      </w:pPr>
      <w:r w:rsidDel="00000000" w:rsidR="00000000" w:rsidRPr="00000000">
        <w:rPr>
          <w:rtl w:val="0"/>
        </w:rPr>
      </w:r>
    </w:p>
    <w:tbl>
      <w:tblPr>
        <w:tblStyle w:val="Table1"/>
        <w:tblW w:w="873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6838"/>
        <w:tblGridChange w:id="0">
          <w:tblGrid>
            <w:gridCol w:w="1892"/>
            <w:gridCol w:w="6838"/>
          </w:tblGrid>
        </w:tblGridChange>
      </w:tblGrid>
      <w:tr>
        <w:trPr>
          <w:cantSplit w:val="0"/>
          <w:trHeight w:val="984.82373046875" w:hRule="atLeast"/>
          <w:tblHeader w:val="0"/>
        </w:trPr>
        <w:tc>
          <w:tcPr>
            <w:tcMar>
              <w:top w:w="0.0" w:type="dxa"/>
              <w:left w:w="45.0" w:type="dxa"/>
              <w:bottom w:w="0.0" w:type="dxa"/>
              <w:right w:w="45.0" w:type="dxa"/>
            </w:tcMar>
            <w:vAlign w:val="center"/>
          </w:tcPr>
          <w:p w:rsidR="00000000" w:rsidDel="00000000" w:rsidP="00000000" w:rsidRDefault="00000000" w:rsidRPr="00000000" w14:paraId="00000004">
            <w:pPr>
              <w:rPr>
                <w:b w:val="1"/>
              </w:rPr>
            </w:pPr>
            <w:r w:rsidDel="00000000" w:rsidR="00000000" w:rsidRPr="00000000">
              <w:rPr>
                <w:b w:val="1"/>
                <w:rtl w:val="0"/>
              </w:rPr>
              <w:t xml:space="preserve">Título</w:t>
            </w:r>
          </w:p>
        </w:tc>
        <w:tc>
          <w:tcPr>
            <w:tcMar>
              <w:top w:w="0.0" w:type="dxa"/>
              <w:left w:w="45.0" w:type="dxa"/>
              <w:bottom w:w="0.0" w:type="dxa"/>
              <w:right w:w="45.0" w:type="dxa"/>
            </w:tcMar>
            <w:vAlign w:val="bottom"/>
          </w:tcPr>
          <w:p w:rsidR="00000000" w:rsidDel="00000000" w:rsidP="00000000" w:rsidRDefault="00000000" w:rsidRPr="00000000" w14:paraId="00000005">
            <w:pPr>
              <w:rPr/>
            </w:pPr>
            <w:r w:rsidDel="00000000" w:rsidR="00000000" w:rsidRPr="00000000">
              <w:rPr>
                <w:rtl w:val="0"/>
              </w:rPr>
              <w:t xml:space="preserve">Análisis de la Convivencia entre el Servicio Móvil Aeronáutico y los Servicios de Radiodifusión en la Banda de 117.975 MHz a 136 MHz en Escenarios Críticos de despliegue en Colombia.</w:t>
            </w:r>
          </w:p>
        </w:tc>
      </w:tr>
      <w:tr>
        <w:trPr>
          <w:cantSplit w:val="0"/>
          <w:trHeight w:val="255" w:hRule="atLeast"/>
          <w:tblHeader w:val="0"/>
        </w:trPr>
        <w:tc>
          <w:tcPr>
            <w:tcMar>
              <w:top w:w="0.0" w:type="dxa"/>
              <w:left w:w="45.0" w:type="dxa"/>
              <w:bottom w:w="0.0" w:type="dxa"/>
              <w:right w:w="45.0" w:type="dxa"/>
            </w:tcMar>
            <w:vAlign w:val="center"/>
          </w:tcPr>
          <w:p w:rsidR="00000000" w:rsidDel="00000000" w:rsidP="00000000" w:rsidRDefault="00000000" w:rsidRPr="00000000" w14:paraId="00000006">
            <w:pPr>
              <w:rPr>
                <w:b w:val="1"/>
              </w:rPr>
            </w:pPr>
            <w:r w:rsidDel="00000000" w:rsidR="00000000" w:rsidRPr="00000000">
              <w:rPr>
                <w:b w:val="1"/>
                <w:rtl w:val="0"/>
              </w:rPr>
              <w:t xml:space="preserve">Descripción general</w:t>
            </w:r>
          </w:p>
        </w:tc>
        <w:tc>
          <w:tcPr>
            <w:tcMar>
              <w:top w:w="0.0" w:type="dxa"/>
              <w:left w:w="45.0" w:type="dxa"/>
              <w:bottom w:w="0.0" w:type="dxa"/>
              <w:right w:w="45.0" w:type="dxa"/>
            </w:tcMar>
            <w:vAlign w:val="bottom"/>
          </w:tcPr>
          <w:p w:rsidR="00000000" w:rsidDel="00000000" w:rsidP="00000000" w:rsidRDefault="00000000" w:rsidRPr="00000000" w14:paraId="00000007">
            <w:pPr>
              <w:rPr/>
            </w:pPr>
            <w:r w:rsidDel="00000000" w:rsidR="00000000" w:rsidRPr="00000000">
              <w:rPr>
                <w:rtl w:val="0"/>
              </w:rPr>
            </w:r>
          </w:p>
        </w:tc>
      </w:tr>
      <w:tr>
        <w:trPr>
          <w:cantSplit w:val="0"/>
          <w:trHeight w:val="255" w:hRule="atLeast"/>
          <w:tblHeader w:val="0"/>
        </w:trPr>
        <w:tc>
          <w:tcPr>
            <w:tcMar>
              <w:top w:w="0.0" w:type="dxa"/>
              <w:left w:w="45.0" w:type="dxa"/>
              <w:bottom w:w="0.0" w:type="dxa"/>
              <w:right w:w="45.0" w:type="dxa"/>
            </w:tcMar>
            <w:vAlign w:val="center"/>
          </w:tcPr>
          <w:p w:rsidR="00000000" w:rsidDel="00000000" w:rsidP="00000000" w:rsidRDefault="00000000" w:rsidRPr="00000000" w14:paraId="00000008">
            <w:pPr>
              <w:rPr/>
            </w:pPr>
            <w:r w:rsidDel="00000000" w:rsidR="00000000" w:rsidRPr="00000000">
              <w:rPr>
                <w:b w:val="1"/>
                <w:rtl w:val="0"/>
              </w:rPr>
              <w:t xml:space="preserve">Objetivo General</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009">
            <w:pPr>
              <w:rPr/>
            </w:pPr>
            <w:r w:rsidDel="00000000" w:rsidR="00000000" w:rsidRPr="00000000">
              <w:rPr>
                <w:rtl w:val="0"/>
              </w:rPr>
              <w:t xml:space="preserve">Desarrollar y validar una metodología técnica y regulatoria para la caracterización de interferencias entre los servicios de radiodifusión sonora y televisión, y el servicio móvil aeronáutico en la banda de 117.975 MHz a 136 MHz, mediante simulaciones avanzadas, pruebas experimentales en campo, y análisis normativo, con el fin de fortalecer la seguridad aeronáutica y la gestión del espectro radioeléctrico en Colombia.</w:t>
            </w:r>
          </w:p>
        </w:tc>
      </w:tr>
      <w:tr>
        <w:trPr>
          <w:cantSplit w:val="0"/>
          <w:trHeight w:val="1008" w:hRule="atLeast"/>
          <w:tblHeader w:val="0"/>
        </w:trPr>
        <w:tc>
          <w:tcPr>
            <w:tcMar>
              <w:top w:w="0.0" w:type="dxa"/>
              <w:left w:w="45.0" w:type="dxa"/>
              <w:bottom w:w="0.0" w:type="dxa"/>
              <w:right w:w="45.0" w:type="dxa"/>
            </w:tcMar>
            <w:vAlign w:val="center"/>
          </w:tcPr>
          <w:p w:rsidR="00000000" w:rsidDel="00000000" w:rsidP="00000000" w:rsidRDefault="00000000" w:rsidRPr="00000000" w14:paraId="0000000A">
            <w:pPr>
              <w:rPr>
                <w:b w:val="1"/>
              </w:rPr>
            </w:pPr>
            <w:r w:rsidDel="00000000" w:rsidR="00000000" w:rsidRPr="00000000">
              <w:rPr>
                <w:b w:val="1"/>
                <w:rtl w:val="0"/>
              </w:rPr>
              <w:t xml:space="preserve">Hallazgos</w:t>
            </w:r>
          </w:p>
        </w:tc>
        <w:tc>
          <w:tcPr>
            <w:shd w:fill="fafafa" w:val="clear"/>
            <w:tcMar>
              <w:top w:w="0.0" w:type="dxa"/>
              <w:left w:w="45.0" w:type="dxa"/>
              <w:bottom w:w="0.0" w:type="dxa"/>
              <w:right w:w="45.0" w:type="dxa"/>
            </w:tcMar>
            <w:vAlign w:val="bottom"/>
          </w:tcPr>
          <w:p w:rsidR="00000000" w:rsidDel="00000000" w:rsidP="00000000" w:rsidRDefault="00000000" w:rsidRPr="00000000" w14:paraId="0000000B">
            <w:pPr>
              <w:rPr/>
            </w:pPr>
            <w:r w:rsidDel="00000000" w:rsidR="00000000" w:rsidRPr="00000000">
              <w:rPr>
                <w:rtl w:val="0"/>
              </w:rPr>
            </w:r>
          </w:p>
        </w:tc>
      </w:tr>
      <w:tr>
        <w:trPr>
          <w:cantSplit w:val="0"/>
          <w:trHeight w:val="1008" w:hRule="atLeast"/>
          <w:tblHeader w:val="0"/>
        </w:trPr>
        <w:tc>
          <w:tcPr>
            <w:vAlign w:val="center"/>
          </w:tcPr>
          <w:p w:rsidR="00000000" w:rsidDel="00000000" w:rsidP="00000000" w:rsidRDefault="00000000" w:rsidRPr="00000000" w14:paraId="0000000C">
            <w:pPr>
              <w:rPr>
                <w:b w:val="1"/>
              </w:rPr>
            </w:pPr>
            <w:r w:rsidDel="00000000" w:rsidR="00000000" w:rsidRPr="00000000">
              <w:rPr>
                <w:b w:val="1"/>
                <w:rtl w:val="0"/>
              </w:rPr>
              <w:t xml:space="preserve">Recomendaciones</w:t>
            </w:r>
          </w:p>
        </w:tc>
        <w:tc>
          <w:tcPr>
            <w:shd w:fill="fafafa" w:val="clear"/>
            <w:tcMar>
              <w:top w:w="0.0" w:type="dxa"/>
              <w:left w:w="45.0" w:type="dxa"/>
              <w:bottom w:w="0.0" w:type="dxa"/>
              <w:right w:w="45.0" w:type="dxa"/>
            </w:tcMar>
            <w:vAlign w:val="bottom"/>
          </w:tcPr>
          <w:p w:rsidR="00000000" w:rsidDel="00000000" w:rsidP="00000000" w:rsidRDefault="00000000" w:rsidRPr="00000000" w14:paraId="0000000D">
            <w:pPr>
              <w:rPr/>
            </w:pPr>
            <w:r w:rsidDel="00000000" w:rsidR="00000000" w:rsidRPr="00000000">
              <w:rPr>
                <w:rtl w:val="0"/>
              </w:rPr>
            </w:r>
          </w:p>
        </w:tc>
      </w:tr>
    </w:tbl>
    <w:p w:rsidR="00000000" w:rsidDel="00000000" w:rsidP="00000000" w:rsidRDefault="00000000" w:rsidRPr="00000000" w14:paraId="0000000E">
      <w:pPr>
        <w:pStyle w:val="Heading1"/>
        <w:numPr>
          <w:ilvl w:val="0"/>
          <w:numId w:val="1"/>
        </w:numPr>
        <w:ind w:left="284" w:hanging="284"/>
        <w:rPr/>
      </w:pPr>
      <w:r w:rsidDel="00000000" w:rsidR="00000000" w:rsidRPr="00000000">
        <w:rPr>
          <w:rtl w:val="0"/>
        </w:rPr>
        <w:t xml:space="preserve">Introducción</w:t>
      </w:r>
    </w:p>
    <w:p w:rsidR="00000000" w:rsidDel="00000000" w:rsidP="00000000" w:rsidRDefault="00000000" w:rsidRPr="00000000" w14:paraId="0000000F">
      <w:pPr>
        <w:jc w:val="both"/>
        <w:rPr/>
      </w:pPr>
      <w:r w:rsidDel="00000000" w:rsidR="00000000" w:rsidRPr="00000000">
        <w:rPr>
          <w:rtl w:val="0"/>
        </w:rPr>
        <w:t xml:space="preserve">El presente informe técnico aborda la problemática de interferencia entre el servicio móvil aeronáutico y los servicios de radiodifusión en la banda de 117.975 MHz a 136 MHz. Dada la relevancia de esta banda para las comunicaciones aeronáuticas, se plantea una metodología que permite caracterizar los escenarios críticos de despliegue en Colombia, con el fin de fortalecer la seguridad aérea y la gestión del espectro.</w:t>
      </w:r>
    </w:p>
    <w:p w:rsidR="00000000" w:rsidDel="00000000" w:rsidP="00000000" w:rsidRDefault="00000000" w:rsidRPr="00000000" w14:paraId="00000010">
      <w:pPr>
        <w:pStyle w:val="Heading1"/>
        <w:numPr>
          <w:ilvl w:val="0"/>
          <w:numId w:val="1"/>
        </w:numPr>
        <w:ind w:left="284" w:hanging="284"/>
        <w:rPr/>
      </w:pPr>
      <w:r w:rsidDel="00000000" w:rsidR="00000000" w:rsidRPr="00000000">
        <w:rPr>
          <w:rtl w:val="0"/>
        </w:rPr>
        <w:t xml:space="preserve">Objetivos</w:t>
      </w:r>
    </w:p>
    <w:p w:rsidR="00000000" w:rsidDel="00000000" w:rsidP="00000000" w:rsidRDefault="00000000" w:rsidRPr="00000000" w14:paraId="00000011">
      <w:pPr>
        <w:pStyle w:val="Heading2"/>
        <w:numPr>
          <w:ilvl w:val="1"/>
          <w:numId w:val="1"/>
        </w:numPr>
        <w:ind w:left="283.46456692913375" w:hanging="390"/>
        <w:rPr/>
      </w:pPr>
      <w:r w:rsidDel="00000000" w:rsidR="00000000" w:rsidRPr="00000000">
        <w:rPr>
          <w:rtl w:val="0"/>
        </w:rPr>
        <w:t xml:space="preserve">Objetivo General</w:t>
      </w:r>
    </w:p>
    <w:p w:rsidR="00000000" w:rsidDel="00000000" w:rsidP="00000000" w:rsidRDefault="00000000" w:rsidRPr="00000000" w14:paraId="00000012">
      <w:pPr>
        <w:rPr/>
      </w:pPr>
      <w:r w:rsidDel="00000000" w:rsidR="00000000" w:rsidRPr="00000000">
        <w:rPr>
          <w:rtl w:val="0"/>
        </w:rPr>
        <w:t xml:space="preserve">Desarrollar y validar una metodología técnica y regulatoria para la caracterización de interferencias entre los servicios de radiodifusión sonora y televisión, y el servicio móvil aeronáutico en la banda de 117.975 MHz a 136 MHz, mediante simulaciones avanzadas, pruebas experimentales en campo, y análisis normativo, con el fin de fortalecer la seguridad aeronáutica y la gestión del espectro radioeléctrico en Colombia.</w:t>
      </w:r>
    </w:p>
    <w:p w:rsidR="00000000" w:rsidDel="00000000" w:rsidP="00000000" w:rsidRDefault="00000000" w:rsidRPr="00000000" w14:paraId="00000013">
      <w:pPr>
        <w:pStyle w:val="Heading2"/>
        <w:numPr>
          <w:ilvl w:val="1"/>
          <w:numId w:val="1"/>
        </w:numPr>
        <w:ind w:left="283.46456692913375" w:hanging="390"/>
        <w:rPr/>
      </w:pPr>
      <w:r w:rsidDel="00000000" w:rsidR="00000000" w:rsidRPr="00000000">
        <w:rPr>
          <w:rtl w:val="0"/>
        </w:rPr>
        <w:t xml:space="preserve">Objetivos Específicos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Definir modelos matemáticos para la caracterización de escenarios complejos de interferencia, que permitan su simulación considerando factores técnicos, geográficos, ambientales y normativos.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Implementar un emulador de interferencia RFI para pruebas experimentales en ambiente controlado y entrenamiento del equipo técnico que hará parte de las campañas de mediciones.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Definir e implementar una metodología que establezca protocolos de configuración de instrumentos de medición para la toma de datos en campañas de medición</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Proponer recomendaciones de carácter técnico y regulatorio que propendan mitigar las interferencias y fortalezcan la capacidad de vigilancia y control del espectro para el caso de estudio estipulado.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numPr>
          <w:ilvl w:val="0"/>
          <w:numId w:val="1"/>
        </w:numPr>
        <w:ind w:left="284" w:hanging="284"/>
        <w:rPr/>
      </w:pPr>
      <w:r w:rsidDel="00000000" w:rsidR="00000000" w:rsidRPr="00000000">
        <w:rPr>
          <w:rtl w:val="0"/>
        </w:rPr>
        <w:t xml:space="preserve">Marco Teórico y Normativo</w:t>
      </w:r>
    </w:p>
    <w:p w:rsidR="00000000" w:rsidDel="00000000" w:rsidP="00000000" w:rsidRDefault="00000000" w:rsidRPr="00000000" w14:paraId="0000001A">
      <w:pPr>
        <w:pStyle w:val="Heading2"/>
        <w:numPr>
          <w:ilvl w:val="1"/>
          <w:numId w:val="1"/>
        </w:numPr>
        <w:ind w:left="283.46456692913375" w:hanging="390"/>
        <w:rPr/>
      </w:pPr>
      <w:r w:rsidDel="00000000" w:rsidR="00000000" w:rsidRPr="00000000">
        <w:rPr>
          <w:rtl w:val="0"/>
        </w:rPr>
        <w:t xml:space="preserve">Análisis teórico </w:t>
      </w:r>
    </w:p>
    <w:p w:rsidR="00000000" w:rsidDel="00000000" w:rsidP="00000000" w:rsidRDefault="00000000" w:rsidRPr="00000000" w14:paraId="0000001B">
      <w:pPr>
        <w:rPr/>
      </w:pPr>
      <w:r w:rsidDel="00000000" w:rsidR="00000000" w:rsidRPr="00000000">
        <w:rPr>
          <w:rtl w:val="0"/>
        </w:rPr>
        <w:t xml:space="preserve">E1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numPr>
          <w:ilvl w:val="1"/>
          <w:numId w:val="1"/>
        </w:numPr>
        <w:ind w:left="283.46456692913375" w:hanging="390"/>
        <w:rPr/>
      </w:pPr>
      <w:r w:rsidDel="00000000" w:rsidR="00000000" w:rsidRPr="00000000">
        <w:rPr>
          <w:rtl w:val="0"/>
        </w:rPr>
        <w:t xml:space="preserve"> Análisis normativo</w:t>
      </w:r>
    </w:p>
    <w:p w:rsidR="00000000" w:rsidDel="00000000" w:rsidP="00000000" w:rsidRDefault="00000000" w:rsidRPr="00000000" w14:paraId="0000001E">
      <w:pPr>
        <w:rPr/>
      </w:pPr>
      <w:r w:rsidDel="00000000" w:rsidR="00000000" w:rsidRPr="00000000">
        <w:rPr>
          <w:rtl w:val="0"/>
        </w:rPr>
        <w:t xml:space="preserve">E1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numPr>
          <w:ilvl w:val="0"/>
          <w:numId w:val="1"/>
        </w:numPr>
        <w:ind w:left="284" w:hanging="284"/>
        <w:rPr/>
      </w:pPr>
      <w:r w:rsidDel="00000000" w:rsidR="00000000" w:rsidRPr="00000000">
        <w:rPr>
          <w:rtl w:val="0"/>
        </w:rPr>
        <w:t xml:space="preserve">Metodología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numPr>
          <w:ilvl w:val="1"/>
          <w:numId w:val="1"/>
        </w:numPr>
        <w:ind w:left="283.46456692913375" w:hanging="390"/>
        <w:rPr>
          <w:sz w:val="26"/>
          <w:szCs w:val="26"/>
        </w:rPr>
      </w:pPr>
      <w:r w:rsidDel="00000000" w:rsidR="00000000" w:rsidRPr="00000000">
        <w:rPr>
          <w:sz w:val="26"/>
          <w:szCs w:val="26"/>
          <w:rtl w:val="0"/>
        </w:rPr>
        <w:t xml:space="preserve">Simulación Computacional</w:t>
      </w:r>
    </w:p>
    <w:p w:rsidR="00000000" w:rsidDel="00000000" w:rsidP="00000000" w:rsidRDefault="00000000" w:rsidRPr="00000000" w14:paraId="00000024">
      <w:pPr>
        <w:rPr/>
      </w:pPr>
      <w:r w:rsidDel="00000000" w:rsidR="00000000" w:rsidRPr="00000000">
        <w:rPr>
          <w:rtl w:val="0"/>
        </w:rPr>
        <w:t xml:space="preserve">E2</w:t>
      </w:r>
    </w:p>
    <w:p w:rsidR="00000000" w:rsidDel="00000000" w:rsidP="00000000" w:rsidRDefault="00000000" w:rsidRPr="00000000" w14:paraId="00000025">
      <w:pPr>
        <w:pStyle w:val="Heading1"/>
        <w:numPr>
          <w:ilvl w:val="2"/>
          <w:numId w:val="1"/>
        </w:numPr>
        <w:ind w:left="566.9291338582675" w:hanging="720"/>
        <w:rPr>
          <w:sz w:val="24"/>
          <w:szCs w:val="24"/>
        </w:rPr>
      </w:pPr>
      <w:r w:rsidDel="00000000" w:rsidR="00000000" w:rsidRPr="00000000">
        <w:rPr>
          <w:sz w:val="24"/>
          <w:szCs w:val="24"/>
          <w:rtl w:val="0"/>
        </w:rPr>
        <w:t xml:space="preserve">Simuladores de espectro y propagación</w:t>
      </w:r>
    </w:p>
    <w:p w:rsidR="00000000" w:rsidDel="00000000" w:rsidP="00000000" w:rsidRDefault="00000000" w:rsidRPr="00000000" w14:paraId="00000026">
      <w:pPr>
        <w:rPr/>
      </w:pPr>
      <w:r w:rsidDel="00000000" w:rsidR="00000000" w:rsidRPr="00000000">
        <w:rPr>
          <w:rtl w:val="0"/>
        </w:rPr>
        <w:t xml:space="preserve">E2</w:t>
      </w:r>
    </w:p>
    <w:p w:rsidR="00000000" w:rsidDel="00000000" w:rsidP="00000000" w:rsidRDefault="00000000" w:rsidRPr="00000000" w14:paraId="00000027">
      <w:pPr>
        <w:pStyle w:val="Heading1"/>
        <w:numPr>
          <w:ilvl w:val="2"/>
          <w:numId w:val="1"/>
        </w:numPr>
        <w:ind w:left="566.9291338582675" w:hanging="720"/>
        <w:rPr>
          <w:sz w:val="24"/>
          <w:szCs w:val="24"/>
        </w:rPr>
      </w:pPr>
      <w:r w:rsidDel="00000000" w:rsidR="00000000" w:rsidRPr="00000000">
        <w:rPr>
          <w:sz w:val="24"/>
          <w:szCs w:val="24"/>
          <w:rtl w:val="0"/>
        </w:rPr>
        <w:t xml:space="preserve">Descripción de las pruebas a realizar: Técnicas Experimentales y Medición en Campo </w:t>
      </w:r>
    </w:p>
    <w:p w:rsidR="00000000" w:rsidDel="00000000" w:rsidP="00000000" w:rsidRDefault="00000000" w:rsidRPr="00000000" w14:paraId="00000028">
      <w:pPr>
        <w:rPr/>
      </w:pPr>
      <w:r w:rsidDel="00000000" w:rsidR="00000000" w:rsidRPr="00000000">
        <w:rPr>
          <w:rtl w:val="0"/>
        </w:rPr>
        <w:t xml:space="preserve">E2</w:t>
      </w:r>
    </w:p>
    <w:p w:rsidR="00000000" w:rsidDel="00000000" w:rsidP="00000000" w:rsidRDefault="00000000" w:rsidRPr="00000000" w14:paraId="00000029">
      <w:pPr>
        <w:pStyle w:val="Heading1"/>
        <w:numPr>
          <w:ilvl w:val="1"/>
          <w:numId w:val="1"/>
        </w:numPr>
        <w:ind w:left="283.46456692913375" w:hanging="390"/>
        <w:rPr>
          <w:sz w:val="26"/>
          <w:szCs w:val="26"/>
        </w:rPr>
      </w:pPr>
      <w:r w:rsidDel="00000000" w:rsidR="00000000" w:rsidRPr="00000000">
        <w:rPr>
          <w:sz w:val="26"/>
          <w:szCs w:val="26"/>
          <w:rtl w:val="0"/>
        </w:rPr>
        <w:t xml:space="preserve"> Implementación y mediciones</w:t>
      </w:r>
    </w:p>
    <w:p w:rsidR="00000000" w:rsidDel="00000000" w:rsidP="00000000" w:rsidRDefault="00000000" w:rsidRPr="00000000" w14:paraId="0000002A">
      <w:pPr>
        <w:rPr/>
      </w:pPr>
      <w:r w:rsidDel="00000000" w:rsidR="00000000" w:rsidRPr="00000000">
        <w:rPr>
          <w:rtl w:val="0"/>
        </w:rPr>
        <w:t xml:space="preserve">E4</w:t>
      </w:r>
    </w:p>
    <w:p w:rsidR="00000000" w:rsidDel="00000000" w:rsidP="00000000" w:rsidRDefault="00000000" w:rsidRPr="00000000" w14:paraId="0000002B">
      <w:pPr>
        <w:pStyle w:val="Heading1"/>
        <w:numPr>
          <w:ilvl w:val="2"/>
          <w:numId w:val="1"/>
        </w:numPr>
        <w:ind w:left="566.9291338582675" w:hanging="720"/>
        <w:rPr>
          <w:sz w:val="24"/>
          <w:szCs w:val="24"/>
        </w:rPr>
      </w:pPr>
      <w:r w:rsidDel="00000000" w:rsidR="00000000" w:rsidRPr="00000000">
        <w:rPr>
          <w:sz w:val="24"/>
          <w:szCs w:val="24"/>
          <w:rtl w:val="0"/>
        </w:rPr>
        <w:t xml:space="preserve">Construcción de prototipo para pruebas en laboratorio</w:t>
      </w:r>
    </w:p>
    <w:p w:rsidR="00000000" w:rsidDel="00000000" w:rsidP="00000000" w:rsidRDefault="00000000" w:rsidRPr="00000000" w14:paraId="0000002C">
      <w:pPr>
        <w:rPr/>
      </w:pPr>
      <w:r w:rsidDel="00000000" w:rsidR="00000000" w:rsidRPr="00000000">
        <w:rPr>
          <w:rtl w:val="0"/>
        </w:rPr>
        <w:t xml:space="preserve">E4</w:t>
      </w:r>
    </w:p>
    <w:p w:rsidR="00000000" w:rsidDel="00000000" w:rsidP="00000000" w:rsidRDefault="00000000" w:rsidRPr="00000000" w14:paraId="0000002D">
      <w:pPr>
        <w:pStyle w:val="Heading1"/>
        <w:numPr>
          <w:ilvl w:val="2"/>
          <w:numId w:val="1"/>
        </w:numPr>
        <w:ind w:left="566.9291338582675" w:hanging="720"/>
        <w:rPr>
          <w:sz w:val="24"/>
          <w:szCs w:val="24"/>
        </w:rPr>
      </w:pPr>
      <w:r w:rsidDel="00000000" w:rsidR="00000000" w:rsidRPr="00000000">
        <w:rPr>
          <w:sz w:val="24"/>
          <w:szCs w:val="24"/>
          <w:rtl w:val="0"/>
        </w:rPr>
        <w:t xml:space="preserve">Mediciones en campo </w:t>
      </w:r>
    </w:p>
    <w:p w:rsidR="00000000" w:rsidDel="00000000" w:rsidP="00000000" w:rsidRDefault="00000000" w:rsidRPr="00000000" w14:paraId="0000002E">
      <w:pPr>
        <w:rPr/>
      </w:pPr>
      <w:r w:rsidDel="00000000" w:rsidR="00000000" w:rsidRPr="00000000">
        <w:rPr>
          <w:rtl w:val="0"/>
        </w:rPr>
        <w:t xml:space="preserve">E4 - E5</w:t>
      </w:r>
    </w:p>
    <w:p w:rsidR="00000000" w:rsidDel="00000000" w:rsidP="00000000" w:rsidRDefault="00000000" w:rsidRPr="00000000" w14:paraId="0000002F">
      <w:pPr>
        <w:pStyle w:val="Heading1"/>
        <w:numPr>
          <w:ilvl w:val="2"/>
          <w:numId w:val="1"/>
        </w:numPr>
        <w:ind w:left="566.9291338582675" w:hanging="720"/>
        <w:rPr>
          <w:sz w:val="24"/>
          <w:szCs w:val="24"/>
        </w:rPr>
      </w:pPr>
      <w:r w:rsidDel="00000000" w:rsidR="00000000" w:rsidRPr="00000000">
        <w:rPr>
          <w:sz w:val="24"/>
          <w:szCs w:val="24"/>
          <w:rtl w:val="0"/>
        </w:rPr>
        <w:t xml:space="preserve">Medición de ambiente electromagnético con estación provisional </w:t>
      </w:r>
    </w:p>
    <w:p w:rsidR="00000000" w:rsidDel="00000000" w:rsidP="00000000" w:rsidRDefault="00000000" w:rsidRPr="00000000" w14:paraId="00000030">
      <w:pPr>
        <w:rPr/>
      </w:pPr>
      <w:r w:rsidDel="00000000" w:rsidR="00000000" w:rsidRPr="00000000">
        <w:rPr>
          <w:rtl w:val="0"/>
        </w:rPr>
        <w:t xml:space="preserve">E4 - E5</w:t>
      </w:r>
    </w:p>
    <w:p w:rsidR="00000000" w:rsidDel="00000000" w:rsidP="00000000" w:rsidRDefault="00000000" w:rsidRPr="00000000" w14:paraId="00000031">
      <w:pPr>
        <w:pStyle w:val="Heading1"/>
        <w:numPr>
          <w:ilvl w:val="2"/>
          <w:numId w:val="1"/>
        </w:numPr>
        <w:ind w:left="566.9291338582675" w:hanging="720"/>
        <w:rPr>
          <w:sz w:val="24"/>
          <w:szCs w:val="24"/>
        </w:rPr>
      </w:pPr>
      <w:r w:rsidDel="00000000" w:rsidR="00000000" w:rsidRPr="00000000">
        <w:rPr>
          <w:sz w:val="24"/>
          <w:szCs w:val="24"/>
          <w:rtl w:val="0"/>
        </w:rPr>
        <w:t xml:space="preserve">Medición de ambiente electromagnético con estaciones portables </w:t>
      </w:r>
    </w:p>
    <w:p w:rsidR="00000000" w:rsidDel="00000000" w:rsidP="00000000" w:rsidRDefault="00000000" w:rsidRPr="00000000" w14:paraId="00000032">
      <w:pPr>
        <w:rPr/>
      </w:pPr>
      <w:r w:rsidDel="00000000" w:rsidR="00000000" w:rsidRPr="00000000">
        <w:rPr>
          <w:rtl w:val="0"/>
        </w:rPr>
        <w:t xml:space="preserve">E4 - E5</w:t>
      </w:r>
    </w:p>
    <w:p w:rsidR="00000000" w:rsidDel="00000000" w:rsidP="00000000" w:rsidRDefault="00000000" w:rsidRPr="00000000" w14:paraId="00000033">
      <w:pPr>
        <w:pStyle w:val="Heading1"/>
        <w:numPr>
          <w:ilvl w:val="2"/>
          <w:numId w:val="1"/>
        </w:numPr>
        <w:ind w:left="566.9291338582675" w:hanging="720"/>
        <w:rPr>
          <w:sz w:val="24"/>
          <w:szCs w:val="24"/>
        </w:rPr>
      </w:pPr>
      <w:r w:rsidDel="00000000" w:rsidR="00000000" w:rsidRPr="00000000">
        <w:rPr>
          <w:sz w:val="24"/>
          <w:szCs w:val="24"/>
          <w:rtl w:val="0"/>
        </w:rPr>
        <w:t xml:space="preserve">Medición de resistividad del suelo </w:t>
      </w:r>
    </w:p>
    <w:p w:rsidR="00000000" w:rsidDel="00000000" w:rsidP="00000000" w:rsidRDefault="00000000" w:rsidRPr="00000000" w14:paraId="00000034">
      <w:pPr>
        <w:rPr/>
      </w:pPr>
      <w:r w:rsidDel="00000000" w:rsidR="00000000" w:rsidRPr="00000000">
        <w:rPr>
          <w:rtl w:val="0"/>
        </w:rPr>
        <w:t xml:space="preserve">E4 - E5</w:t>
      </w:r>
    </w:p>
    <w:p w:rsidR="00000000" w:rsidDel="00000000" w:rsidP="00000000" w:rsidRDefault="00000000" w:rsidRPr="00000000" w14:paraId="00000035">
      <w:pPr>
        <w:pStyle w:val="Heading1"/>
        <w:numPr>
          <w:ilvl w:val="2"/>
          <w:numId w:val="1"/>
        </w:numPr>
        <w:ind w:left="566.9291338582675" w:hanging="720"/>
        <w:rPr>
          <w:sz w:val="24"/>
          <w:szCs w:val="24"/>
        </w:rPr>
      </w:pPr>
      <w:r w:rsidDel="00000000" w:rsidR="00000000" w:rsidRPr="00000000">
        <w:rPr>
          <w:sz w:val="24"/>
          <w:szCs w:val="24"/>
          <w:rtl w:val="0"/>
        </w:rPr>
        <w:t xml:space="preserve">Medición de parámetros ambientales </w:t>
      </w:r>
    </w:p>
    <w:p w:rsidR="00000000" w:rsidDel="00000000" w:rsidP="00000000" w:rsidRDefault="00000000" w:rsidRPr="00000000" w14:paraId="00000036">
      <w:pPr>
        <w:rPr/>
      </w:pPr>
      <w:r w:rsidDel="00000000" w:rsidR="00000000" w:rsidRPr="00000000">
        <w:rPr>
          <w:rtl w:val="0"/>
        </w:rPr>
        <w:t xml:space="preserve">E4 - E5</w:t>
      </w:r>
    </w:p>
    <w:p w:rsidR="00000000" w:rsidDel="00000000" w:rsidP="00000000" w:rsidRDefault="00000000" w:rsidRPr="00000000" w14:paraId="00000037">
      <w:pPr>
        <w:pStyle w:val="Heading1"/>
        <w:numPr>
          <w:ilvl w:val="1"/>
          <w:numId w:val="1"/>
        </w:numPr>
        <w:ind w:left="283.46456692913375" w:hanging="390"/>
        <w:rPr>
          <w:sz w:val="26"/>
          <w:szCs w:val="26"/>
        </w:rPr>
      </w:pPr>
      <w:r w:rsidDel="00000000" w:rsidR="00000000" w:rsidRPr="00000000">
        <w:rPr>
          <w:sz w:val="26"/>
          <w:szCs w:val="26"/>
          <w:rtl w:val="0"/>
        </w:rPr>
        <w:t xml:space="preserve">Síntesis y validación metodológica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numPr>
          <w:ilvl w:val="2"/>
          <w:numId w:val="1"/>
        </w:numPr>
        <w:ind w:left="566.9291338582675" w:hanging="720"/>
        <w:rPr>
          <w:sz w:val="24"/>
          <w:szCs w:val="24"/>
        </w:rPr>
      </w:pPr>
      <w:r w:rsidDel="00000000" w:rsidR="00000000" w:rsidRPr="00000000">
        <w:rPr>
          <w:sz w:val="24"/>
          <w:szCs w:val="24"/>
          <w:rtl w:val="0"/>
        </w:rPr>
        <w:t xml:space="preserve">Procesamiento y análisis de datos</w:t>
      </w:r>
    </w:p>
    <w:p w:rsidR="00000000" w:rsidDel="00000000" w:rsidP="00000000" w:rsidRDefault="00000000" w:rsidRPr="00000000" w14:paraId="0000003A">
      <w:pPr>
        <w:rPr/>
      </w:pPr>
      <w:r w:rsidDel="00000000" w:rsidR="00000000" w:rsidRPr="00000000">
        <w:rPr>
          <w:rtl w:val="0"/>
        </w:rPr>
        <w:t xml:space="preserve">E3</w:t>
      </w:r>
    </w:p>
    <w:p w:rsidR="00000000" w:rsidDel="00000000" w:rsidP="00000000" w:rsidRDefault="00000000" w:rsidRPr="00000000" w14:paraId="0000003B">
      <w:pPr>
        <w:pStyle w:val="Heading1"/>
        <w:numPr>
          <w:ilvl w:val="0"/>
          <w:numId w:val="1"/>
        </w:numPr>
        <w:ind w:left="283.46456692913375" w:hanging="360"/>
        <w:rPr/>
      </w:pPr>
      <w:r w:rsidDel="00000000" w:rsidR="00000000" w:rsidRPr="00000000">
        <w:rPr>
          <w:rtl w:val="0"/>
        </w:rPr>
        <w:t xml:space="preserve">Resultados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numPr>
          <w:ilvl w:val="1"/>
          <w:numId w:val="1"/>
        </w:numPr>
        <w:ind w:left="283.46456692913375" w:hanging="390"/>
        <w:rPr/>
      </w:pPr>
      <w:r w:rsidDel="00000000" w:rsidR="00000000" w:rsidRPr="00000000">
        <w:rPr>
          <w:rtl w:val="0"/>
        </w:rPr>
        <w:t xml:space="preserve">Resultados teóricos y normativos.</w:t>
      </w:r>
    </w:p>
    <w:p w:rsidR="00000000" w:rsidDel="00000000" w:rsidP="00000000" w:rsidRDefault="00000000" w:rsidRPr="00000000" w14:paraId="0000003E">
      <w:pPr>
        <w:rPr/>
      </w:pPr>
      <w:r w:rsidDel="00000000" w:rsidR="00000000" w:rsidRPr="00000000">
        <w:rPr>
          <w:rtl w:val="0"/>
        </w:rPr>
        <w:t xml:space="preserve">E6</w:t>
      </w:r>
    </w:p>
    <w:p w:rsidR="00000000" w:rsidDel="00000000" w:rsidP="00000000" w:rsidRDefault="00000000" w:rsidRPr="00000000" w14:paraId="0000003F">
      <w:pPr>
        <w:pStyle w:val="Heading2"/>
        <w:numPr>
          <w:ilvl w:val="1"/>
          <w:numId w:val="1"/>
        </w:numPr>
        <w:ind w:left="283.46456692913375" w:hanging="390"/>
        <w:rPr/>
      </w:pPr>
      <w:r w:rsidDel="00000000" w:rsidR="00000000" w:rsidRPr="00000000">
        <w:rPr>
          <w:rtl w:val="0"/>
        </w:rPr>
        <w:t xml:space="preserve">Mapas de cobertura analizados y zonas de riesgo.</w:t>
      </w:r>
    </w:p>
    <w:p w:rsidR="00000000" w:rsidDel="00000000" w:rsidP="00000000" w:rsidRDefault="00000000" w:rsidRPr="00000000" w14:paraId="00000040">
      <w:pPr>
        <w:rPr/>
      </w:pPr>
      <w:r w:rsidDel="00000000" w:rsidR="00000000" w:rsidRPr="00000000">
        <w:rPr>
          <w:rtl w:val="0"/>
        </w:rPr>
        <w:t xml:space="preserve">E6</w:t>
      </w:r>
    </w:p>
    <w:p w:rsidR="00000000" w:rsidDel="00000000" w:rsidP="00000000" w:rsidRDefault="00000000" w:rsidRPr="00000000" w14:paraId="00000041">
      <w:pPr>
        <w:pStyle w:val="Heading2"/>
        <w:numPr>
          <w:ilvl w:val="1"/>
          <w:numId w:val="1"/>
        </w:numPr>
        <w:ind w:left="283.46456692913375" w:hanging="390"/>
        <w:rPr/>
      </w:pPr>
      <w:r w:rsidDel="00000000" w:rsidR="00000000" w:rsidRPr="00000000">
        <w:rPr>
          <w:rtl w:val="0"/>
        </w:rPr>
        <w:t xml:space="preserve">Datos de medición y análisis espectral.</w:t>
      </w:r>
    </w:p>
    <w:p w:rsidR="00000000" w:rsidDel="00000000" w:rsidP="00000000" w:rsidRDefault="00000000" w:rsidRPr="00000000" w14:paraId="00000042">
      <w:pPr>
        <w:rPr/>
      </w:pPr>
      <w:r w:rsidDel="00000000" w:rsidR="00000000" w:rsidRPr="00000000">
        <w:rPr>
          <w:rtl w:val="0"/>
        </w:rPr>
        <w:t xml:space="preserve">E6</w:t>
      </w:r>
    </w:p>
    <w:p w:rsidR="00000000" w:rsidDel="00000000" w:rsidP="00000000" w:rsidRDefault="00000000" w:rsidRPr="00000000" w14:paraId="00000043">
      <w:pPr>
        <w:pStyle w:val="Heading2"/>
        <w:numPr>
          <w:ilvl w:val="1"/>
          <w:numId w:val="1"/>
        </w:numPr>
        <w:ind w:left="283.46456692913375" w:hanging="390"/>
        <w:rPr/>
      </w:pPr>
      <w:r w:rsidDel="00000000" w:rsidR="00000000" w:rsidRPr="00000000">
        <w:rPr>
          <w:rtl w:val="0"/>
        </w:rPr>
        <w:t xml:space="preserve">Validación de hipótesis y objetivos.</w:t>
      </w:r>
    </w:p>
    <w:p w:rsidR="00000000" w:rsidDel="00000000" w:rsidP="00000000" w:rsidRDefault="00000000" w:rsidRPr="00000000" w14:paraId="00000044">
      <w:pPr>
        <w:rPr/>
      </w:pPr>
      <w:r w:rsidDel="00000000" w:rsidR="00000000" w:rsidRPr="00000000">
        <w:rPr>
          <w:rtl w:val="0"/>
        </w:rPr>
        <w:t xml:space="preserve">E6</w:t>
      </w:r>
    </w:p>
    <w:p w:rsidR="00000000" w:rsidDel="00000000" w:rsidP="00000000" w:rsidRDefault="00000000" w:rsidRPr="00000000" w14:paraId="00000045">
      <w:pPr>
        <w:pStyle w:val="Heading1"/>
        <w:numPr>
          <w:ilvl w:val="0"/>
          <w:numId w:val="1"/>
        </w:numPr>
        <w:ind w:left="425.19685039370086" w:hanging="360"/>
        <w:rPr/>
      </w:pPr>
      <w:r w:rsidDel="00000000" w:rsidR="00000000" w:rsidRPr="00000000">
        <w:rPr>
          <w:rtl w:val="0"/>
        </w:rPr>
        <w:t xml:space="preserve">Discusión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Análisis crítico de los hallazgos.</w:t>
        <w:br w:type="textWrapping"/>
        <w:t xml:space="preserve">Limitaciones del estudio.</w:t>
        <w:br w:type="textWrapping"/>
        <w:t xml:space="preserve">Implicaciones para la regulación del espectro.</w:t>
      </w:r>
    </w:p>
    <w:p w:rsidR="00000000" w:rsidDel="00000000" w:rsidP="00000000" w:rsidRDefault="00000000" w:rsidRPr="00000000" w14:paraId="00000048">
      <w:pPr>
        <w:pStyle w:val="Heading1"/>
        <w:rPr/>
      </w:pPr>
      <w:r w:rsidDel="00000000" w:rsidR="00000000" w:rsidRPr="00000000">
        <w:rPr>
          <w:rtl w:val="0"/>
        </w:rPr>
        <w:t xml:space="preserve">8. Conclusiones</w:t>
      </w:r>
    </w:p>
    <w:p w:rsidR="00000000" w:rsidDel="00000000" w:rsidP="00000000" w:rsidRDefault="00000000" w:rsidRPr="00000000" w14:paraId="00000049">
      <w:pPr>
        <w:rPr/>
      </w:pPr>
      <w:r w:rsidDel="00000000" w:rsidR="00000000" w:rsidRPr="00000000">
        <w:rPr>
          <w:rtl w:val="0"/>
        </w:rPr>
        <w:t xml:space="preserve">Principales conclusiones del estudio.</w:t>
        <w:br w:type="textWrapping"/>
        <w:t xml:space="preserve">Contribuciones al conocimiento y a la gestión del espectro.</w:t>
      </w:r>
    </w:p>
    <w:p w:rsidR="00000000" w:rsidDel="00000000" w:rsidP="00000000" w:rsidRDefault="00000000" w:rsidRPr="00000000" w14:paraId="0000004A">
      <w:pPr>
        <w:pStyle w:val="Heading1"/>
        <w:rPr/>
      </w:pPr>
      <w:r w:rsidDel="00000000" w:rsidR="00000000" w:rsidRPr="00000000">
        <w:rPr>
          <w:rtl w:val="0"/>
        </w:rPr>
        <w:t xml:space="preserve">9. Recomendaciones</w:t>
      </w:r>
    </w:p>
    <w:p w:rsidR="00000000" w:rsidDel="00000000" w:rsidP="00000000" w:rsidRDefault="00000000" w:rsidRPr="00000000" w14:paraId="0000004B">
      <w:pPr>
        <w:rPr/>
      </w:pPr>
      <w:r w:rsidDel="00000000" w:rsidR="00000000" w:rsidRPr="00000000">
        <w:rPr>
          <w:rtl w:val="0"/>
        </w:rPr>
        <w:t xml:space="preserve">E8</w:t>
      </w:r>
    </w:p>
    <w:p w:rsidR="00000000" w:rsidDel="00000000" w:rsidP="00000000" w:rsidRDefault="00000000" w:rsidRPr="00000000" w14:paraId="0000004C">
      <w:pPr>
        <w:rPr/>
      </w:pPr>
      <w:r w:rsidDel="00000000" w:rsidR="00000000" w:rsidRPr="00000000">
        <w:rPr>
          <w:rtl w:val="0"/>
        </w:rPr>
        <w:t xml:space="preserve">Técnicas y regulatorias.</w:t>
        <w:br w:type="textWrapping"/>
        <w:t xml:space="preserve">Para futuras investigaciones o implementación institucional.</w:t>
      </w:r>
    </w:p>
    <w:p w:rsidR="00000000" w:rsidDel="00000000" w:rsidP="00000000" w:rsidRDefault="00000000" w:rsidRPr="00000000" w14:paraId="0000004D">
      <w:pPr>
        <w:pStyle w:val="Heading1"/>
        <w:rPr/>
      </w:pPr>
      <w:r w:rsidDel="00000000" w:rsidR="00000000" w:rsidRPr="00000000">
        <w:rPr>
          <w:rtl w:val="0"/>
        </w:rPr>
        <w:t xml:space="preserve">10. Anexos</w:t>
      </w:r>
    </w:p>
    <w:p w:rsidR="00000000" w:rsidDel="00000000" w:rsidP="00000000" w:rsidRDefault="00000000" w:rsidRPr="00000000" w14:paraId="0000004E">
      <w:pPr>
        <w:rPr/>
      </w:pPr>
      <w:r w:rsidDel="00000000" w:rsidR="00000000" w:rsidRPr="00000000">
        <w:rPr>
          <w:rtl w:val="0"/>
        </w:rPr>
        <w:t xml:space="preserve">Protocolos de medición.</w:t>
        <w:br w:type="textWrapping"/>
        <w:t xml:space="preserve">Fichas técnicas de equipos.</w:t>
        <w:br w:type="textWrapping"/>
        <w:t xml:space="preserve">Datos de simulación y medición.</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283.46456692913375" w:hanging="390"/>
      </w:pPr>
      <w:rPr/>
    </w:lvl>
    <w:lvl w:ilvl="2">
      <w:start w:val="1"/>
      <w:numFmt w:val="decimal"/>
      <w:lvlText w:val="%1.%2.%3"/>
      <w:lvlJc w:val="left"/>
      <w:pPr>
        <w:ind w:left="566.9291338582675"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Hyperlink">
    <w:name w:val="Hyperlink"/>
    <w:basedOn w:val="DefaultParagraphFont"/>
    <w:uiPriority w:val="99"/>
    <w:unhideWhenUsed w:val="1"/>
    <w:rsid w:val="00CD43F5"/>
    <w:rPr>
      <w:color w:val="0000ff" w:themeColor="hyperlink"/>
      <w:u w:val="single"/>
    </w:rPr>
  </w:style>
  <w:style w:type="character" w:styleId="UnresolvedMention">
    <w:name w:val="Unresolved Mention"/>
    <w:basedOn w:val="DefaultParagraphFont"/>
    <w:uiPriority w:val="99"/>
    <w:semiHidden w:val="1"/>
    <w:unhideWhenUsed w:val="1"/>
    <w:rsid w:val="00CD43F5"/>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JzE0IA58H4e5G10LzajgjN0qA==">CgMxLjA4AHIhMVRqTV9FYW1kUG54dkRpeG5kOW5GVFo3UFJNU0xGaWdX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