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41F8" w14:textId="77777777" w:rsidR="008B1A59" w:rsidRDefault="00000000">
      <w:pPr>
        <w:jc w:val="center"/>
      </w:pPr>
      <w:r>
        <w:rPr>
          <w:rFonts w:ascii="Arial" w:hAnsi="Arial"/>
          <w:b/>
          <w:sz w:val="24"/>
        </w:rPr>
        <w:br/>
      </w:r>
    </w:p>
    <w:p w14:paraId="313A87D5" w14:textId="77777777" w:rsidR="008B1A59" w:rsidRDefault="00000000">
      <w:pPr>
        <w:jc w:val="center"/>
      </w:pPr>
      <w:r>
        <w:rPr>
          <w:rFonts w:ascii="Arial" w:hAnsi="Arial"/>
          <w:b/>
          <w:sz w:val="36"/>
        </w:rPr>
        <w:t>PROTOCOLO DE VALIDACIÓN EXPERIMENTAL</w:t>
      </w:r>
      <w:r>
        <w:rPr>
          <w:rFonts w:ascii="Arial" w:hAnsi="Arial"/>
          <w:b/>
          <w:sz w:val="36"/>
        </w:rPr>
        <w:br/>
        <w:t>PLATAFORMA WEB CONVERSORA DE AUDIO ESTÉREO MULTIFUENTE A FORMATO AMBISÓNICO</w:t>
      </w:r>
      <w:r>
        <w:rPr>
          <w:rFonts w:ascii="Arial" w:hAnsi="Arial"/>
          <w:b/>
          <w:sz w:val="36"/>
        </w:rPr>
        <w:br/>
      </w:r>
    </w:p>
    <w:p w14:paraId="2D79CDD3" w14:textId="77777777" w:rsidR="008B1A59" w:rsidRDefault="00000000">
      <w:pPr>
        <w:jc w:val="center"/>
      </w:pPr>
      <w:r>
        <w:rPr>
          <w:rFonts w:ascii="Arial" w:hAnsi="Arial"/>
          <w:b/>
          <w:sz w:val="32"/>
        </w:rPr>
        <w:br/>
        <w:t>INFORME DE RESULTADOS EXPERIMENTALES</w:t>
      </w:r>
      <w:r>
        <w:rPr>
          <w:rFonts w:ascii="Arial" w:hAnsi="Arial"/>
          <w:b/>
          <w:sz w:val="32"/>
        </w:rPr>
        <w:br/>
        <w:t>MÉTRICA 6 — EVALUACIÓN BINAURAL MEDIANTE DIFERENCIAS ITD E ILD</w:t>
      </w:r>
      <w:r>
        <w:rPr>
          <w:rFonts w:ascii="Arial" w:hAnsi="Arial"/>
          <w:b/>
          <w:sz w:val="32"/>
        </w:rPr>
        <w:br/>
      </w:r>
    </w:p>
    <w:p w14:paraId="34D9E128" w14:textId="77777777" w:rsidR="008B1A59" w:rsidRDefault="008B1A59">
      <w:pPr>
        <w:jc w:val="center"/>
      </w:pPr>
    </w:p>
    <w:p w14:paraId="259F9CA4" w14:textId="77777777" w:rsidR="008B1A59" w:rsidRDefault="008B1A59">
      <w:pPr>
        <w:jc w:val="center"/>
      </w:pPr>
    </w:p>
    <w:p w14:paraId="774902A3" w14:textId="77777777" w:rsidR="008B1A59" w:rsidRDefault="008B1A59">
      <w:pPr>
        <w:jc w:val="center"/>
      </w:pPr>
    </w:p>
    <w:p w14:paraId="46F716DC" w14:textId="77777777" w:rsidR="008B1A59" w:rsidRPr="000F3FE6" w:rsidRDefault="00000000">
      <w:pPr>
        <w:jc w:val="center"/>
        <w:rPr>
          <w:lang w:val="es-ES"/>
        </w:rPr>
      </w:pPr>
      <w:r w:rsidRPr="000F3FE6">
        <w:rPr>
          <w:rFonts w:ascii="Arial" w:hAnsi="Arial"/>
          <w:lang w:val="es-ES"/>
        </w:rPr>
        <w:t>Autores:</w:t>
      </w:r>
      <w:r w:rsidRPr="000F3FE6">
        <w:rPr>
          <w:rFonts w:ascii="Arial" w:hAnsi="Arial"/>
          <w:lang w:val="es-ES"/>
        </w:rPr>
        <w:br/>
        <w:t>ANWAR ANDRÉS CUELLO PABÓN — 2181702</w:t>
      </w:r>
      <w:r w:rsidRPr="000F3FE6">
        <w:rPr>
          <w:rFonts w:ascii="Arial" w:hAnsi="Arial"/>
          <w:lang w:val="es-ES"/>
        </w:rPr>
        <w:br/>
        <w:t>SHARON CATALINA VARGAS CORTES — 2211259</w:t>
      </w:r>
    </w:p>
    <w:p w14:paraId="1034C247" w14:textId="77777777" w:rsidR="008B1A59" w:rsidRPr="000F3FE6" w:rsidRDefault="008B1A59">
      <w:pPr>
        <w:jc w:val="center"/>
        <w:rPr>
          <w:lang w:val="es-ES"/>
        </w:rPr>
      </w:pPr>
    </w:p>
    <w:p w14:paraId="530DD4CA" w14:textId="77777777" w:rsidR="008B1A59" w:rsidRPr="000F3FE6" w:rsidRDefault="00000000">
      <w:pPr>
        <w:jc w:val="center"/>
        <w:rPr>
          <w:lang w:val="es-ES"/>
        </w:rPr>
      </w:pPr>
      <w:r w:rsidRPr="000F3FE6">
        <w:rPr>
          <w:rFonts w:ascii="Arial" w:hAnsi="Arial"/>
          <w:lang w:val="es-ES"/>
        </w:rPr>
        <w:br/>
      </w:r>
      <w:r w:rsidRPr="000F3FE6">
        <w:rPr>
          <w:rFonts w:ascii="Arial" w:hAnsi="Arial"/>
          <w:lang w:val="es-ES"/>
        </w:rPr>
        <w:br/>
        <w:t>Director del Proyecto:</w:t>
      </w:r>
      <w:r w:rsidRPr="000F3FE6">
        <w:rPr>
          <w:rFonts w:ascii="Arial" w:hAnsi="Arial"/>
          <w:lang w:val="es-ES"/>
        </w:rPr>
        <w:br/>
        <w:t>ING. OMAR JAVIER TÍJARO ROJAS</w:t>
      </w:r>
      <w:r w:rsidRPr="000F3FE6">
        <w:rPr>
          <w:rFonts w:ascii="Arial" w:hAnsi="Arial"/>
          <w:lang w:val="es-ES"/>
        </w:rPr>
        <w:br/>
      </w:r>
      <w:r w:rsidRPr="000F3FE6">
        <w:rPr>
          <w:rFonts w:ascii="Arial" w:hAnsi="Arial"/>
          <w:lang w:val="es-ES"/>
        </w:rPr>
        <w:br/>
        <w:t>Codirector:</w:t>
      </w:r>
      <w:r w:rsidRPr="000F3FE6">
        <w:rPr>
          <w:rFonts w:ascii="Arial" w:hAnsi="Arial"/>
          <w:lang w:val="es-ES"/>
        </w:rPr>
        <w:br/>
        <w:t>NICOLAS ESTEBAN HERNANDEZ BUSTOS</w:t>
      </w:r>
      <w:r w:rsidRPr="000F3FE6">
        <w:rPr>
          <w:rFonts w:ascii="Arial" w:hAnsi="Arial"/>
          <w:lang w:val="es-ES"/>
        </w:rPr>
        <w:br/>
      </w:r>
    </w:p>
    <w:p w14:paraId="54A92FA9" w14:textId="77777777" w:rsidR="008B1A59" w:rsidRPr="000F3FE6" w:rsidRDefault="008B1A59">
      <w:pPr>
        <w:rPr>
          <w:lang w:val="es-ES"/>
        </w:rPr>
      </w:pPr>
    </w:p>
    <w:p w14:paraId="79963DE8" w14:textId="77777777" w:rsidR="008B1A59" w:rsidRPr="000F3FE6" w:rsidRDefault="00000000">
      <w:pPr>
        <w:jc w:val="center"/>
        <w:rPr>
          <w:lang w:val="es-ES"/>
        </w:rPr>
      </w:pPr>
      <w:r w:rsidRPr="000F3FE6">
        <w:rPr>
          <w:rFonts w:ascii="Arial" w:hAnsi="Arial"/>
          <w:b/>
          <w:sz w:val="24"/>
          <w:lang w:val="es-ES"/>
        </w:rPr>
        <w:br/>
      </w:r>
      <w:r w:rsidRPr="000F3FE6">
        <w:rPr>
          <w:rFonts w:ascii="Arial" w:hAnsi="Arial"/>
          <w:b/>
          <w:sz w:val="24"/>
          <w:lang w:val="es-ES"/>
        </w:rPr>
        <w:br/>
      </w:r>
      <w:r w:rsidRPr="000F3FE6">
        <w:rPr>
          <w:rFonts w:ascii="Arial" w:hAnsi="Arial"/>
          <w:b/>
          <w:sz w:val="24"/>
          <w:lang w:val="es-ES"/>
        </w:rPr>
        <w:br/>
        <w:t>UNIVERSIDAD INDUSTRIAL DE SANTANDER</w:t>
      </w:r>
      <w:r w:rsidRPr="000F3FE6">
        <w:rPr>
          <w:rFonts w:ascii="Arial" w:hAnsi="Arial"/>
          <w:b/>
          <w:sz w:val="24"/>
          <w:lang w:val="es-ES"/>
        </w:rPr>
        <w:br/>
      </w:r>
      <w:r w:rsidRPr="000F3FE6">
        <w:rPr>
          <w:rFonts w:ascii="Arial" w:hAnsi="Arial"/>
          <w:b/>
          <w:lang w:val="es-ES"/>
        </w:rPr>
        <w:t>Bucaramanga, Santander</w:t>
      </w:r>
      <w:r w:rsidRPr="000F3FE6">
        <w:rPr>
          <w:rFonts w:ascii="Arial" w:hAnsi="Arial"/>
          <w:b/>
          <w:lang w:val="es-ES"/>
        </w:rPr>
        <w:br/>
        <w:t>2026-II</w:t>
      </w:r>
    </w:p>
    <w:p w14:paraId="13D1F37B" w14:textId="77777777" w:rsidR="008B1A59" w:rsidRPr="000F3FE6" w:rsidRDefault="00000000">
      <w:pPr>
        <w:rPr>
          <w:lang w:val="es-ES"/>
        </w:rPr>
      </w:pPr>
      <w:r w:rsidRPr="000F3FE6">
        <w:rPr>
          <w:lang w:val="es-ES"/>
        </w:rPr>
        <w:lastRenderedPageBreak/>
        <w:br w:type="page"/>
      </w:r>
    </w:p>
    <w:p w14:paraId="78767572" w14:textId="77777777" w:rsidR="008B1A59" w:rsidRPr="000F3FE6" w:rsidRDefault="00000000">
      <w:pPr>
        <w:pStyle w:val="Ttulo1"/>
        <w:rPr>
          <w:lang w:val="es-ES"/>
        </w:rPr>
      </w:pPr>
      <w:r w:rsidRPr="000F3FE6">
        <w:rPr>
          <w:lang w:val="es-ES"/>
        </w:rPr>
        <w:lastRenderedPageBreak/>
        <w:t>1. Objetivo de la Métrica 6</w:t>
      </w:r>
    </w:p>
    <w:p w14:paraId="7384865B" w14:textId="77777777" w:rsidR="008B1A59" w:rsidRPr="000F3FE6" w:rsidRDefault="00000000">
      <w:pPr>
        <w:jc w:val="both"/>
        <w:rPr>
          <w:lang w:val="es-ES"/>
        </w:rPr>
      </w:pPr>
      <w:r w:rsidRPr="000F3FE6">
        <w:rPr>
          <w:lang w:val="es-ES"/>
        </w:rPr>
        <w:t>Evaluar la capacidad de la plataforma para transferir coherentemente la información espacial tridimensional desde el formato Ambisonics FOA hacia la salida binaural (L, R) sintetizada mediante HRTF, verificando los dos parámetros psicoacústicos fundamentales de localización auditiva humana: la Diferencia Temporal Interaural (ITD) y la Diferencia de Nivel Interaural (ILD).</w:t>
      </w:r>
    </w:p>
    <w:p w14:paraId="3E233949" w14:textId="77777777" w:rsidR="008B1A59" w:rsidRPr="000F3FE6" w:rsidRDefault="00000000">
      <w:pPr>
        <w:pStyle w:val="Ttulo1"/>
        <w:rPr>
          <w:lang w:val="es-ES"/>
        </w:rPr>
      </w:pPr>
      <w:r w:rsidRPr="000F3FE6">
        <w:rPr>
          <w:lang w:val="es-ES"/>
        </w:rPr>
        <w:t>2. Fundamentación Teórica y Metodológica</w:t>
      </w:r>
    </w:p>
    <w:p w14:paraId="68597278" w14:textId="77777777" w:rsidR="008B1A59" w:rsidRPr="000F3FE6" w:rsidRDefault="00000000">
      <w:pPr>
        <w:jc w:val="both"/>
        <w:rPr>
          <w:lang w:val="es-ES"/>
        </w:rPr>
      </w:pPr>
      <w:r w:rsidRPr="000F3FE6">
        <w:rPr>
          <w:lang w:val="es-ES"/>
        </w:rPr>
        <w:t>La percepción espacial en audífonos se fundamenta en las diferencias acústicas entre oídos: el retardo temporal relativo (ITD) derivado del desfase en la llegada de la onda sonora (típicamente entre 0 y 0.7 ms en la cabeza humana) y la diferencia de amplitud o nivel energético (ILD en dB) causada por la difracción y sombra acústica cefálica. Se verifica que fuentes posicionadas en el hemisferio lateral izquierdo induzcan adelanto temporal en canal L (ITD &gt; 0) y mayor sonoridad (ILD &gt; 0 dB), y viceversa para el hemisferio derecho, mientras que fuentes frontales presenten simetría bilateral (ITD aprox 0 ms, ILD aprox 0 dB).</w:t>
      </w:r>
    </w:p>
    <w:p w14:paraId="4A895456" w14:textId="77777777" w:rsidR="008B1A59" w:rsidRPr="000F3FE6" w:rsidRDefault="00000000">
      <w:pPr>
        <w:pStyle w:val="Ttulo1"/>
        <w:rPr>
          <w:lang w:val="es-ES"/>
        </w:rPr>
      </w:pPr>
      <w:r w:rsidRPr="000F3FE6">
        <w:rPr>
          <w:lang w:val="es-ES"/>
        </w:rPr>
        <w:t>3. Procedimiento Experimental</w:t>
      </w:r>
    </w:p>
    <w:p w14:paraId="117552EB" w14:textId="77777777" w:rsidR="008B1A59" w:rsidRPr="000F3FE6" w:rsidRDefault="00000000">
      <w:pPr>
        <w:jc w:val="both"/>
        <w:rPr>
          <w:lang w:val="es-ES"/>
        </w:rPr>
      </w:pPr>
      <w:r w:rsidRPr="000F3FE6">
        <w:rPr>
          <w:lang w:val="es-ES"/>
        </w:rPr>
        <w:t>1. Selección de casos espaciales representativos en el banco auxiliar (test_left, test_center, test_right y test_sweep), banco estéreo (A02 tono 1kHz a izquierda, centro y derecha) y banco tetraédrico (EJE +Y, EJE +X, EJE -Y).</w:t>
      </w:r>
      <w:r w:rsidRPr="000F3FE6">
        <w:rPr>
          <w:lang w:val="es-ES"/>
        </w:rPr>
        <w:br/>
        <w:t>2. Extracción de los canales binaurales L y R generados por la plataforma web.</w:t>
      </w:r>
      <w:r w:rsidRPr="000F3FE6">
        <w:rPr>
          <w:lang w:val="es-ES"/>
        </w:rPr>
        <w:br/>
        <w:t xml:space="preserve">3. </w:t>
      </w:r>
      <w:r w:rsidRPr="000F3FE6">
        <w:rPr>
          <w:lang w:val="pt-BR"/>
        </w:rPr>
        <w:t>Cálculo de ILD en dB: 20 · log10(RMS_L / RMS_R).</w:t>
      </w:r>
      <w:r w:rsidRPr="000F3FE6">
        <w:rPr>
          <w:lang w:val="pt-BR"/>
        </w:rPr>
        <w:br/>
        <w:t xml:space="preserve">4. </w:t>
      </w:r>
      <w:r w:rsidRPr="000F3FE6">
        <w:rPr>
          <w:lang w:val="es-ES"/>
        </w:rPr>
        <w:t>Cálculo de ITD en ms mediante el retardo del pico en la función de correlación cruzada normalizada R_</w:t>
      </w:r>
      <w:proofErr w:type="gramStart"/>
      <w:r w:rsidRPr="000F3FE6">
        <w:rPr>
          <w:lang w:val="es-ES"/>
        </w:rPr>
        <w:t>LR(</w:t>
      </w:r>
      <w:proofErr w:type="gramEnd"/>
      <w:r w:rsidRPr="000F3FE6">
        <w:rPr>
          <w:lang w:val="es-ES"/>
        </w:rPr>
        <w:t>tau).</w:t>
      </w:r>
      <w:r w:rsidRPr="000F3FE6">
        <w:rPr>
          <w:lang w:val="es-ES"/>
        </w:rPr>
        <w:br/>
        <w:t>5. Análisis temporal continuo de la trayectoria de paneo dinámico (test_sweep) y generación de curvas de correlograma.</w:t>
      </w:r>
    </w:p>
    <w:p w14:paraId="5CFAB585" w14:textId="77777777" w:rsidR="008B1A59" w:rsidRPr="000F3FE6" w:rsidRDefault="00000000">
      <w:pPr>
        <w:pStyle w:val="Ttulo1"/>
        <w:rPr>
          <w:lang w:val="es-ES"/>
        </w:rPr>
      </w:pPr>
      <w:r w:rsidRPr="000F3FE6">
        <w:rPr>
          <w:lang w:val="es-ES"/>
        </w:rPr>
        <w:t>4. Análisis de Resultados Obtenidos</w:t>
      </w:r>
    </w:p>
    <w:p w14:paraId="19129958" w14:textId="77777777" w:rsidR="008B1A59" w:rsidRPr="000F3FE6" w:rsidRDefault="00000000">
      <w:pPr>
        <w:jc w:val="both"/>
        <w:rPr>
          <w:lang w:val="es-ES"/>
        </w:rPr>
      </w:pPr>
      <w:r w:rsidRPr="000F3FE6">
        <w:rPr>
          <w:lang w:val="es-ES"/>
        </w:rPr>
        <w:t>Las pruebas cuantitativas demostraron coherencia psicoacústica plena. Para señales laterales en el banco auxiliar, se registraron ILD de +5.40 dB (test_left) y -6.38 dB (test_right), con un centro equilibrado en -0.39 dB. La diferencia temporal ITD se situó en +0.363 ms (izquierda) y -0.317 ms (derecha), valores perfectamente enmarcados en la ventana fisiológica humana (&lt; 0.70 ms). En tonos de 1 kHz del banco estéreo, el ILD reflejó +3.66 dB (izquierda), -0.18 dB (centro) y -3.81 dB (derecha). El barrido espacial test_sweep confirmó una trayectoria suave, continua y monótona sin saltos de fase en los indicadores binaurales.</w:t>
      </w:r>
    </w:p>
    <w:p w14:paraId="79917944" w14:textId="77777777" w:rsidR="008B1A59" w:rsidRPr="000F3FE6" w:rsidRDefault="008B1A59">
      <w:pPr>
        <w:jc w:val="both"/>
        <w:rPr>
          <w:lang w:val="es-ES"/>
        </w:rPr>
      </w:pPr>
    </w:p>
    <w:p w14:paraId="5CE61DA9" w14:textId="77777777" w:rsidR="008B1A59" w:rsidRPr="000F3FE6" w:rsidRDefault="008B1A59">
      <w:pPr>
        <w:jc w:val="both"/>
        <w:rPr>
          <w:lang w:val="es-ES"/>
        </w:rPr>
      </w:pPr>
    </w:p>
    <w:p w14:paraId="030CD542" w14:textId="77777777" w:rsidR="008B1A59" w:rsidRPr="000F3FE6" w:rsidRDefault="008B1A59">
      <w:pPr>
        <w:jc w:val="both"/>
        <w:rPr>
          <w:lang w:val="es-ES"/>
        </w:rPr>
      </w:pPr>
    </w:p>
    <w:p w14:paraId="1E5DF7EE" w14:textId="77777777" w:rsidR="008B1A59" w:rsidRPr="000F3FE6" w:rsidRDefault="00000000">
      <w:pPr>
        <w:pStyle w:val="Ttulo1"/>
        <w:rPr>
          <w:lang w:val="es-ES"/>
        </w:rPr>
      </w:pPr>
      <w:r w:rsidRPr="000F3FE6">
        <w:rPr>
          <w:lang w:val="es-ES"/>
        </w:rPr>
        <w:lastRenderedPageBreak/>
        <w:t>5. Matriz de Criterios de Aceptación y Cumplimiento</w:t>
      </w:r>
    </w:p>
    <w:p w14:paraId="15FD2CB9" w14:textId="77777777" w:rsidR="008B1A59" w:rsidRPr="000F3FE6" w:rsidRDefault="00000000">
      <w:pPr>
        <w:rPr>
          <w:lang w:val="es-ES"/>
        </w:rPr>
      </w:pPr>
      <w:r w:rsidRPr="000F3FE6">
        <w:rPr>
          <w:lang w:val="es-ES"/>
        </w:rPr>
        <w:t xml:space="preserve">A </w:t>
      </w:r>
      <w:proofErr w:type="gramStart"/>
      <w:r w:rsidRPr="000F3FE6">
        <w:rPr>
          <w:lang w:val="es-ES"/>
        </w:rPr>
        <w:t>continuación</w:t>
      </w:r>
      <w:proofErr w:type="gramEnd"/>
      <w:r w:rsidRPr="000F3FE6">
        <w:rPr>
          <w:lang w:val="es-ES"/>
        </w:rPr>
        <w:t xml:space="preserve"> se consolida la tabla oficial de verificación definida en el Protocolo de Validación:</w:t>
      </w:r>
    </w:p>
    <w:tbl>
      <w:tblPr>
        <w:tblW w:w="0" w:type="auto"/>
        <w:jc w:val="center"/>
        <w:tblLook w:val="04A0" w:firstRow="1" w:lastRow="0" w:firstColumn="1" w:lastColumn="0" w:noHBand="0" w:noVBand="1"/>
      </w:tblPr>
      <w:tblGrid>
        <w:gridCol w:w="2340"/>
        <w:gridCol w:w="2340"/>
        <w:gridCol w:w="2340"/>
        <w:gridCol w:w="2340"/>
      </w:tblGrid>
      <w:tr w:rsidR="008B1A59" w14:paraId="167670B9" w14:textId="77777777">
        <w:trPr>
          <w:jc w:val="center"/>
        </w:trPr>
        <w:tc>
          <w:tcPr>
            <w:tcW w:w="2340" w:type="dxa"/>
            <w:shd w:val="clear" w:color="auto" w:fill="1E3A8A"/>
          </w:tcPr>
          <w:p w14:paraId="2CA975B9" w14:textId="77777777" w:rsidR="008B1A59" w:rsidRDefault="00000000">
            <w:pPr>
              <w:jc w:val="center"/>
            </w:pPr>
            <w:r>
              <w:rPr>
                <w:rFonts w:ascii="Arial" w:hAnsi="Arial"/>
                <w:b/>
                <w:color w:val="FFFFFF"/>
                <w:sz w:val="19"/>
              </w:rPr>
              <w:t>Variable Evaluada</w:t>
            </w:r>
          </w:p>
        </w:tc>
        <w:tc>
          <w:tcPr>
            <w:tcW w:w="2340" w:type="dxa"/>
            <w:shd w:val="clear" w:color="auto" w:fill="1E3A8A"/>
          </w:tcPr>
          <w:p w14:paraId="7C15FCBD" w14:textId="77777777" w:rsidR="008B1A59" w:rsidRDefault="00000000">
            <w:pPr>
              <w:jc w:val="center"/>
            </w:pPr>
            <w:r>
              <w:rPr>
                <w:rFonts w:ascii="Arial" w:hAnsi="Arial"/>
                <w:b/>
                <w:color w:val="FFFFFF"/>
                <w:sz w:val="19"/>
              </w:rPr>
              <w:t>Resultado Obtenido</w:t>
            </w:r>
          </w:p>
        </w:tc>
        <w:tc>
          <w:tcPr>
            <w:tcW w:w="2340" w:type="dxa"/>
            <w:shd w:val="clear" w:color="auto" w:fill="1E3A8A"/>
          </w:tcPr>
          <w:p w14:paraId="728DEA40" w14:textId="77777777" w:rsidR="008B1A59" w:rsidRDefault="00000000">
            <w:pPr>
              <w:jc w:val="center"/>
            </w:pPr>
            <w:r>
              <w:rPr>
                <w:rFonts w:ascii="Arial" w:hAnsi="Arial"/>
                <w:b/>
                <w:color w:val="FFFFFF"/>
                <w:sz w:val="19"/>
              </w:rPr>
              <w:t>Condición Esperada</w:t>
            </w:r>
          </w:p>
        </w:tc>
        <w:tc>
          <w:tcPr>
            <w:tcW w:w="2340" w:type="dxa"/>
            <w:shd w:val="clear" w:color="auto" w:fill="1E3A8A"/>
          </w:tcPr>
          <w:p w14:paraId="49608260" w14:textId="77777777" w:rsidR="008B1A59" w:rsidRDefault="00000000">
            <w:pPr>
              <w:jc w:val="center"/>
            </w:pPr>
            <w:r>
              <w:rPr>
                <w:rFonts w:ascii="Arial" w:hAnsi="Arial"/>
                <w:b/>
                <w:color w:val="FFFFFF"/>
                <w:sz w:val="19"/>
              </w:rPr>
              <w:t>Cumple</w:t>
            </w:r>
          </w:p>
        </w:tc>
      </w:tr>
      <w:tr w:rsidR="008B1A59" w14:paraId="2FA357E9" w14:textId="77777777">
        <w:trPr>
          <w:jc w:val="center"/>
        </w:trPr>
        <w:tc>
          <w:tcPr>
            <w:tcW w:w="2340" w:type="dxa"/>
            <w:shd w:val="clear" w:color="auto" w:fill="F8FAFC"/>
          </w:tcPr>
          <w:p w14:paraId="58CF267F" w14:textId="77777777" w:rsidR="008B1A59" w:rsidRPr="000F3FE6" w:rsidRDefault="00000000">
            <w:pPr>
              <w:jc w:val="center"/>
              <w:rPr>
                <w:lang w:val="es-ES"/>
              </w:rPr>
            </w:pPr>
            <w:r w:rsidRPr="000F3FE6">
              <w:rPr>
                <w:rFonts w:ascii="Arial" w:hAnsi="Arial"/>
                <w:sz w:val="17"/>
                <w:lang w:val="es-ES"/>
              </w:rPr>
              <w:t>Diferencia de nivel (ILD lateral)</w:t>
            </w:r>
          </w:p>
        </w:tc>
        <w:tc>
          <w:tcPr>
            <w:tcW w:w="2340" w:type="dxa"/>
            <w:shd w:val="clear" w:color="auto" w:fill="F8FAFC"/>
          </w:tcPr>
          <w:p w14:paraId="1E04C64F" w14:textId="77777777" w:rsidR="008B1A59" w:rsidRDefault="00000000">
            <w:r>
              <w:rPr>
                <w:rFonts w:ascii="Arial" w:hAnsi="Arial"/>
                <w:sz w:val="17"/>
              </w:rPr>
              <w:t>ILD = +5.40 dB (Izq) e ILD = -6.38 dB (Der)</w:t>
            </w:r>
          </w:p>
        </w:tc>
        <w:tc>
          <w:tcPr>
            <w:tcW w:w="2340" w:type="dxa"/>
            <w:shd w:val="clear" w:color="auto" w:fill="F8FAFC"/>
          </w:tcPr>
          <w:p w14:paraId="383874F4" w14:textId="77777777" w:rsidR="008B1A59" w:rsidRDefault="00000000">
            <w:r>
              <w:rPr>
                <w:rFonts w:ascii="Arial" w:hAnsi="Arial"/>
                <w:sz w:val="17"/>
              </w:rPr>
              <w:t>Correspondencia direccional clara (|ILD| &gt; 1 dB)</w:t>
            </w:r>
          </w:p>
        </w:tc>
        <w:tc>
          <w:tcPr>
            <w:tcW w:w="2340" w:type="dxa"/>
            <w:shd w:val="clear" w:color="auto" w:fill="F8FAFC"/>
          </w:tcPr>
          <w:p w14:paraId="68EB8D94" w14:textId="77777777" w:rsidR="008B1A59" w:rsidRDefault="00000000">
            <w:pPr>
              <w:jc w:val="center"/>
            </w:pPr>
            <w:r>
              <w:rPr>
                <w:rFonts w:ascii="Arial" w:hAnsi="Arial"/>
                <w:b/>
                <w:color w:val="10B981"/>
                <w:sz w:val="17"/>
              </w:rPr>
              <w:t>SI</w:t>
            </w:r>
          </w:p>
        </w:tc>
      </w:tr>
      <w:tr w:rsidR="008B1A59" w14:paraId="1388C047" w14:textId="77777777">
        <w:trPr>
          <w:jc w:val="center"/>
        </w:trPr>
        <w:tc>
          <w:tcPr>
            <w:tcW w:w="2340" w:type="dxa"/>
            <w:shd w:val="clear" w:color="auto" w:fill="FFFFFF"/>
          </w:tcPr>
          <w:p w14:paraId="287043C3" w14:textId="77777777" w:rsidR="008B1A59" w:rsidRPr="000F3FE6" w:rsidRDefault="00000000">
            <w:pPr>
              <w:jc w:val="center"/>
              <w:rPr>
                <w:lang w:val="es-ES"/>
              </w:rPr>
            </w:pPr>
            <w:r w:rsidRPr="000F3FE6">
              <w:rPr>
                <w:rFonts w:ascii="Arial" w:hAnsi="Arial"/>
                <w:sz w:val="17"/>
                <w:lang w:val="es-ES"/>
              </w:rPr>
              <w:t>Diferencia de nivel (ILD centro)</w:t>
            </w:r>
          </w:p>
        </w:tc>
        <w:tc>
          <w:tcPr>
            <w:tcW w:w="2340" w:type="dxa"/>
            <w:shd w:val="clear" w:color="auto" w:fill="FFFFFF"/>
          </w:tcPr>
          <w:p w14:paraId="75E45991" w14:textId="77777777" w:rsidR="008B1A59" w:rsidRPr="000F3FE6" w:rsidRDefault="00000000">
            <w:pPr>
              <w:rPr>
                <w:lang w:val="es-ES"/>
              </w:rPr>
            </w:pPr>
            <w:r w:rsidRPr="000F3FE6">
              <w:rPr>
                <w:rFonts w:ascii="Arial" w:hAnsi="Arial"/>
                <w:sz w:val="17"/>
                <w:lang w:val="es-ES"/>
              </w:rPr>
              <w:t>ILD = -0.39 dB (Centro auxiliar) y -0.18 dB (Estéreo)</w:t>
            </w:r>
          </w:p>
        </w:tc>
        <w:tc>
          <w:tcPr>
            <w:tcW w:w="2340" w:type="dxa"/>
            <w:shd w:val="clear" w:color="auto" w:fill="FFFFFF"/>
          </w:tcPr>
          <w:p w14:paraId="544D05B0" w14:textId="77777777" w:rsidR="008B1A59" w:rsidRDefault="00000000">
            <w:r>
              <w:rPr>
                <w:rFonts w:ascii="Arial" w:hAnsi="Arial"/>
                <w:sz w:val="17"/>
              </w:rPr>
              <w:t>Simetría bilateral centrada (|ILD| &lt; 1.5 dB)</w:t>
            </w:r>
          </w:p>
        </w:tc>
        <w:tc>
          <w:tcPr>
            <w:tcW w:w="2340" w:type="dxa"/>
            <w:shd w:val="clear" w:color="auto" w:fill="FFFFFF"/>
          </w:tcPr>
          <w:p w14:paraId="29E00E13" w14:textId="77777777" w:rsidR="008B1A59" w:rsidRDefault="00000000">
            <w:pPr>
              <w:jc w:val="center"/>
            </w:pPr>
            <w:r>
              <w:rPr>
                <w:rFonts w:ascii="Arial" w:hAnsi="Arial"/>
                <w:b/>
                <w:color w:val="10B981"/>
                <w:sz w:val="17"/>
              </w:rPr>
              <w:t>SI</w:t>
            </w:r>
          </w:p>
        </w:tc>
      </w:tr>
      <w:tr w:rsidR="008B1A59" w14:paraId="22949398" w14:textId="77777777">
        <w:trPr>
          <w:jc w:val="center"/>
        </w:trPr>
        <w:tc>
          <w:tcPr>
            <w:tcW w:w="2340" w:type="dxa"/>
            <w:shd w:val="clear" w:color="auto" w:fill="F8FAFC"/>
          </w:tcPr>
          <w:p w14:paraId="00452150" w14:textId="77777777" w:rsidR="008B1A59" w:rsidRDefault="00000000">
            <w:pPr>
              <w:jc w:val="center"/>
            </w:pPr>
            <w:r>
              <w:rPr>
                <w:rFonts w:ascii="Arial" w:hAnsi="Arial"/>
                <w:sz w:val="17"/>
              </w:rPr>
              <w:t>Diferencia temporal (ITD fisiológico)</w:t>
            </w:r>
          </w:p>
        </w:tc>
        <w:tc>
          <w:tcPr>
            <w:tcW w:w="2340" w:type="dxa"/>
            <w:shd w:val="clear" w:color="auto" w:fill="F8FAFC"/>
          </w:tcPr>
          <w:p w14:paraId="771BB268" w14:textId="77777777" w:rsidR="008B1A59" w:rsidRDefault="00000000">
            <w:r>
              <w:rPr>
                <w:rFonts w:ascii="Arial" w:hAnsi="Arial"/>
                <w:sz w:val="17"/>
              </w:rPr>
              <w:t>ITD = +0.363 ms (Izq) e ITD = -0.317 ms (Der)</w:t>
            </w:r>
          </w:p>
        </w:tc>
        <w:tc>
          <w:tcPr>
            <w:tcW w:w="2340" w:type="dxa"/>
            <w:shd w:val="clear" w:color="auto" w:fill="F8FAFC"/>
          </w:tcPr>
          <w:p w14:paraId="7C983066" w14:textId="77777777" w:rsidR="008B1A59" w:rsidRDefault="00000000">
            <w:r>
              <w:rPr>
                <w:rFonts w:ascii="Arial" w:hAnsi="Arial"/>
                <w:sz w:val="17"/>
              </w:rPr>
              <w:t>Retardo coherente con rango anatómico (&lt; 0.70 ms)</w:t>
            </w:r>
          </w:p>
        </w:tc>
        <w:tc>
          <w:tcPr>
            <w:tcW w:w="2340" w:type="dxa"/>
            <w:shd w:val="clear" w:color="auto" w:fill="F8FAFC"/>
          </w:tcPr>
          <w:p w14:paraId="7585A194" w14:textId="77777777" w:rsidR="008B1A59" w:rsidRDefault="00000000">
            <w:pPr>
              <w:jc w:val="center"/>
            </w:pPr>
            <w:r>
              <w:rPr>
                <w:rFonts w:ascii="Arial" w:hAnsi="Arial"/>
                <w:b/>
                <w:color w:val="10B981"/>
                <w:sz w:val="17"/>
              </w:rPr>
              <w:t>SI</w:t>
            </w:r>
          </w:p>
        </w:tc>
      </w:tr>
      <w:tr w:rsidR="008B1A59" w14:paraId="051BA929" w14:textId="77777777">
        <w:trPr>
          <w:jc w:val="center"/>
        </w:trPr>
        <w:tc>
          <w:tcPr>
            <w:tcW w:w="2340" w:type="dxa"/>
            <w:shd w:val="clear" w:color="auto" w:fill="FFFFFF"/>
          </w:tcPr>
          <w:p w14:paraId="38EEE631" w14:textId="77777777" w:rsidR="008B1A59" w:rsidRDefault="00000000">
            <w:pPr>
              <w:jc w:val="center"/>
            </w:pPr>
            <w:r>
              <w:rPr>
                <w:rFonts w:ascii="Arial" w:hAnsi="Arial"/>
                <w:sz w:val="17"/>
              </w:rPr>
              <w:t>Diferencia temporal (ITD centro)</w:t>
            </w:r>
          </w:p>
        </w:tc>
        <w:tc>
          <w:tcPr>
            <w:tcW w:w="2340" w:type="dxa"/>
            <w:shd w:val="clear" w:color="auto" w:fill="FFFFFF"/>
          </w:tcPr>
          <w:p w14:paraId="4001B394" w14:textId="77777777" w:rsidR="008B1A59" w:rsidRPr="000F3FE6" w:rsidRDefault="00000000">
            <w:pPr>
              <w:rPr>
                <w:lang w:val="es-ES"/>
              </w:rPr>
            </w:pPr>
            <w:r w:rsidRPr="000F3FE6">
              <w:rPr>
                <w:rFonts w:ascii="Arial" w:hAnsi="Arial"/>
                <w:sz w:val="17"/>
                <w:lang w:val="es-ES"/>
              </w:rPr>
              <w:t>ITD = +0.023 ms (Centro auxiliar) y 0.000 ms (Estéreo)</w:t>
            </w:r>
          </w:p>
        </w:tc>
        <w:tc>
          <w:tcPr>
            <w:tcW w:w="2340" w:type="dxa"/>
            <w:shd w:val="clear" w:color="auto" w:fill="FFFFFF"/>
          </w:tcPr>
          <w:p w14:paraId="1C52FD13" w14:textId="77777777" w:rsidR="008B1A59" w:rsidRDefault="00000000">
            <w:r>
              <w:rPr>
                <w:rFonts w:ascii="Arial" w:hAnsi="Arial"/>
                <w:sz w:val="17"/>
              </w:rPr>
              <w:t>Llegada temporal simultánea (|ITD| &lt; 0.15 ms)</w:t>
            </w:r>
          </w:p>
        </w:tc>
        <w:tc>
          <w:tcPr>
            <w:tcW w:w="2340" w:type="dxa"/>
            <w:shd w:val="clear" w:color="auto" w:fill="FFFFFF"/>
          </w:tcPr>
          <w:p w14:paraId="36C3803E" w14:textId="77777777" w:rsidR="008B1A59" w:rsidRDefault="00000000">
            <w:pPr>
              <w:jc w:val="center"/>
            </w:pPr>
            <w:r>
              <w:rPr>
                <w:rFonts w:ascii="Arial" w:hAnsi="Arial"/>
                <w:b/>
                <w:color w:val="10B981"/>
                <w:sz w:val="17"/>
              </w:rPr>
              <w:t>SI</w:t>
            </w:r>
          </w:p>
        </w:tc>
      </w:tr>
      <w:tr w:rsidR="008B1A59" w14:paraId="526E251D" w14:textId="77777777">
        <w:trPr>
          <w:jc w:val="center"/>
        </w:trPr>
        <w:tc>
          <w:tcPr>
            <w:tcW w:w="2340" w:type="dxa"/>
            <w:shd w:val="clear" w:color="auto" w:fill="F8FAFC"/>
          </w:tcPr>
          <w:p w14:paraId="11354D2F" w14:textId="77777777" w:rsidR="008B1A59" w:rsidRDefault="00000000">
            <w:pPr>
              <w:jc w:val="center"/>
            </w:pPr>
            <w:r>
              <w:rPr>
                <w:rFonts w:ascii="Arial" w:hAnsi="Arial"/>
                <w:sz w:val="17"/>
              </w:rPr>
              <w:t>Trayectoria continua (test_sweep)</w:t>
            </w:r>
          </w:p>
        </w:tc>
        <w:tc>
          <w:tcPr>
            <w:tcW w:w="2340" w:type="dxa"/>
            <w:shd w:val="clear" w:color="auto" w:fill="F8FAFC"/>
          </w:tcPr>
          <w:p w14:paraId="44DEBBE5" w14:textId="77777777" w:rsidR="008B1A59" w:rsidRPr="000F3FE6" w:rsidRDefault="00000000">
            <w:pPr>
              <w:rPr>
                <w:lang w:val="es-ES"/>
              </w:rPr>
            </w:pPr>
            <w:r w:rsidRPr="000F3FE6">
              <w:rPr>
                <w:rFonts w:ascii="Arial" w:hAnsi="Arial"/>
                <w:sz w:val="17"/>
                <w:lang w:val="es-ES"/>
              </w:rPr>
              <w:t>Evolución suave y monótona de curvas ILD(t) e ITD(t)</w:t>
            </w:r>
          </w:p>
        </w:tc>
        <w:tc>
          <w:tcPr>
            <w:tcW w:w="2340" w:type="dxa"/>
            <w:shd w:val="clear" w:color="auto" w:fill="F8FAFC"/>
          </w:tcPr>
          <w:p w14:paraId="2FDB2665" w14:textId="77777777" w:rsidR="008B1A59" w:rsidRPr="000F3FE6" w:rsidRDefault="00000000">
            <w:pPr>
              <w:rPr>
                <w:lang w:val="es-ES"/>
              </w:rPr>
            </w:pPr>
            <w:r w:rsidRPr="000F3FE6">
              <w:rPr>
                <w:rFonts w:ascii="Arial" w:hAnsi="Arial"/>
                <w:sz w:val="17"/>
                <w:lang w:val="es-ES"/>
              </w:rPr>
              <w:t>Sin discontinuidades de fase en barridos dinámicos</w:t>
            </w:r>
          </w:p>
        </w:tc>
        <w:tc>
          <w:tcPr>
            <w:tcW w:w="2340" w:type="dxa"/>
            <w:shd w:val="clear" w:color="auto" w:fill="F8FAFC"/>
          </w:tcPr>
          <w:p w14:paraId="055CC13E" w14:textId="77777777" w:rsidR="008B1A59" w:rsidRDefault="00000000">
            <w:pPr>
              <w:jc w:val="center"/>
            </w:pPr>
            <w:r>
              <w:rPr>
                <w:rFonts w:ascii="Arial" w:hAnsi="Arial"/>
                <w:b/>
                <w:color w:val="10B981"/>
                <w:sz w:val="17"/>
              </w:rPr>
              <w:t>SI</w:t>
            </w:r>
          </w:p>
        </w:tc>
      </w:tr>
      <w:tr w:rsidR="008B1A59" w14:paraId="110C3C87" w14:textId="77777777">
        <w:trPr>
          <w:jc w:val="center"/>
        </w:trPr>
        <w:tc>
          <w:tcPr>
            <w:tcW w:w="2340" w:type="dxa"/>
            <w:shd w:val="clear" w:color="auto" w:fill="FFFFFF"/>
          </w:tcPr>
          <w:p w14:paraId="6692AF36" w14:textId="77777777" w:rsidR="008B1A59" w:rsidRDefault="00000000">
            <w:pPr>
              <w:jc w:val="center"/>
            </w:pPr>
            <w:r>
              <w:rPr>
                <w:rFonts w:ascii="Arial" w:hAnsi="Arial"/>
                <w:sz w:val="17"/>
              </w:rPr>
              <w:t>Fidelidad de renderizado binaural</w:t>
            </w:r>
          </w:p>
        </w:tc>
        <w:tc>
          <w:tcPr>
            <w:tcW w:w="2340" w:type="dxa"/>
            <w:shd w:val="clear" w:color="auto" w:fill="FFFFFF"/>
          </w:tcPr>
          <w:p w14:paraId="2458971E" w14:textId="77777777" w:rsidR="008B1A59" w:rsidRDefault="00000000">
            <w:r>
              <w:rPr>
                <w:rFonts w:ascii="Arial" w:hAnsi="Arial"/>
                <w:sz w:val="17"/>
              </w:rPr>
              <w:t>Transferencia espacial coherente desde formato FOA</w:t>
            </w:r>
          </w:p>
        </w:tc>
        <w:tc>
          <w:tcPr>
            <w:tcW w:w="2340" w:type="dxa"/>
            <w:shd w:val="clear" w:color="auto" w:fill="FFFFFF"/>
          </w:tcPr>
          <w:p w14:paraId="75AA0DF8" w14:textId="77777777" w:rsidR="008B1A59" w:rsidRDefault="00000000">
            <w:r>
              <w:rPr>
                <w:rFonts w:ascii="Arial" w:hAnsi="Arial"/>
                <w:sz w:val="17"/>
              </w:rPr>
              <w:t>Síntesis HRTF psicoacústicamente válida</w:t>
            </w:r>
          </w:p>
        </w:tc>
        <w:tc>
          <w:tcPr>
            <w:tcW w:w="2340" w:type="dxa"/>
            <w:shd w:val="clear" w:color="auto" w:fill="FFFFFF"/>
          </w:tcPr>
          <w:p w14:paraId="17E6EC84" w14:textId="77777777" w:rsidR="008B1A59" w:rsidRDefault="00000000">
            <w:pPr>
              <w:jc w:val="center"/>
            </w:pPr>
            <w:r>
              <w:rPr>
                <w:rFonts w:ascii="Arial" w:hAnsi="Arial"/>
                <w:b/>
                <w:color w:val="10B981"/>
                <w:sz w:val="17"/>
              </w:rPr>
              <w:t>SI</w:t>
            </w:r>
          </w:p>
        </w:tc>
      </w:tr>
      <w:tr w:rsidR="008B1A59" w14:paraId="744DD38D" w14:textId="77777777">
        <w:trPr>
          <w:jc w:val="center"/>
        </w:trPr>
        <w:tc>
          <w:tcPr>
            <w:tcW w:w="2340" w:type="dxa"/>
            <w:shd w:val="clear" w:color="auto" w:fill="F8FAFC"/>
          </w:tcPr>
          <w:p w14:paraId="1D7ABFD7" w14:textId="77777777" w:rsidR="008B1A59" w:rsidRDefault="00000000">
            <w:pPr>
              <w:jc w:val="center"/>
            </w:pPr>
            <w:r>
              <w:rPr>
                <w:rFonts w:ascii="Arial" w:hAnsi="Arial"/>
                <w:sz w:val="17"/>
              </w:rPr>
              <w:t>EVALUACIÓN GLOBAL</w:t>
            </w:r>
          </w:p>
        </w:tc>
        <w:tc>
          <w:tcPr>
            <w:tcW w:w="2340" w:type="dxa"/>
            <w:shd w:val="clear" w:color="auto" w:fill="F8FAFC"/>
          </w:tcPr>
          <w:p w14:paraId="091E68CF" w14:textId="77777777" w:rsidR="008B1A59" w:rsidRPr="000F3FE6" w:rsidRDefault="00000000">
            <w:pPr>
              <w:rPr>
                <w:lang w:val="es-ES"/>
              </w:rPr>
            </w:pPr>
            <w:r w:rsidRPr="000F3FE6">
              <w:rPr>
                <w:rFonts w:ascii="Arial" w:hAnsi="Arial"/>
                <w:sz w:val="17"/>
                <w:lang w:val="es-ES"/>
              </w:rPr>
              <w:t>Todos los criterios psicoacústicos conformes</w:t>
            </w:r>
          </w:p>
        </w:tc>
        <w:tc>
          <w:tcPr>
            <w:tcW w:w="2340" w:type="dxa"/>
            <w:shd w:val="clear" w:color="auto" w:fill="F8FAFC"/>
          </w:tcPr>
          <w:p w14:paraId="6EA78E89" w14:textId="77777777" w:rsidR="008B1A59" w:rsidRDefault="00000000">
            <w:r>
              <w:rPr>
                <w:rFonts w:ascii="Arial" w:hAnsi="Arial"/>
                <w:sz w:val="17"/>
              </w:rPr>
              <w:t>Percepción binaural espacial coherente</w:t>
            </w:r>
          </w:p>
        </w:tc>
        <w:tc>
          <w:tcPr>
            <w:tcW w:w="2340" w:type="dxa"/>
            <w:shd w:val="clear" w:color="auto" w:fill="F8FAFC"/>
          </w:tcPr>
          <w:p w14:paraId="2D140698" w14:textId="77777777" w:rsidR="008B1A59" w:rsidRDefault="00000000">
            <w:pPr>
              <w:jc w:val="center"/>
            </w:pPr>
            <w:r>
              <w:rPr>
                <w:rFonts w:ascii="Arial" w:hAnsi="Arial"/>
                <w:b/>
                <w:color w:val="10B981"/>
                <w:sz w:val="17"/>
              </w:rPr>
              <w:t>APROBADA</w:t>
            </w:r>
          </w:p>
        </w:tc>
      </w:tr>
    </w:tbl>
    <w:p w14:paraId="68B9BC5C" w14:textId="77777777" w:rsidR="008B1A59" w:rsidRDefault="008B1A59"/>
    <w:p w14:paraId="387C043E" w14:textId="77777777" w:rsidR="008B1A59" w:rsidRDefault="00000000">
      <w:pPr>
        <w:pStyle w:val="Ttulo1"/>
      </w:pPr>
      <w:r>
        <w:t>6. Conclusiones Técnicas</w:t>
      </w:r>
    </w:p>
    <w:p w14:paraId="08BB8ACE" w14:textId="77777777" w:rsidR="008B1A59" w:rsidRPr="000F3FE6" w:rsidRDefault="00000000">
      <w:pPr>
        <w:pStyle w:val="Listaconvietas"/>
        <w:rPr>
          <w:lang w:val="es-ES"/>
        </w:rPr>
      </w:pPr>
      <w:r w:rsidRPr="000F3FE6">
        <w:rPr>
          <w:lang w:val="es-ES"/>
        </w:rPr>
        <w:t>El motor de renderizado binaural basado en SOFA/HRTF transfiere con fidelidad física las propiedades direccionales de la escena Ambisonics.</w:t>
      </w:r>
    </w:p>
    <w:p w14:paraId="1DC8B0DE" w14:textId="77777777" w:rsidR="008B1A59" w:rsidRPr="000F3FE6" w:rsidRDefault="00000000">
      <w:pPr>
        <w:pStyle w:val="Listaconvietas"/>
        <w:rPr>
          <w:lang w:val="es-ES"/>
        </w:rPr>
      </w:pPr>
      <w:r w:rsidRPr="000F3FE6">
        <w:rPr>
          <w:lang w:val="es-ES"/>
        </w:rPr>
        <w:t>Los parámetros ITD e ILD satisfacen con rigor la teoría psicoacústica de localización en el plano horizontal.</w:t>
      </w:r>
    </w:p>
    <w:p w14:paraId="3735F8AF" w14:textId="77777777" w:rsidR="008B1A59" w:rsidRPr="000F3FE6" w:rsidRDefault="00000000">
      <w:pPr>
        <w:pStyle w:val="Listaconvietas"/>
        <w:rPr>
          <w:lang w:val="es-ES"/>
        </w:rPr>
      </w:pPr>
      <w:r w:rsidRPr="000F3FE6">
        <w:rPr>
          <w:lang w:val="es-ES"/>
        </w:rPr>
        <w:t>Se recomienda en el protocolo metodológico dar prioridad a señales de banda ancha para la verificación de ITD, reservando los tonos monofrecuenciales para el análisis de diferencias espectrales ILD.</w:t>
      </w:r>
    </w:p>
    <w:sectPr w:rsidR="008B1A59" w:rsidRPr="000F3FE6" w:rsidSect="00034616">
      <w:headerReference w:type="default" r:id="rId8"/>
      <w:pgSz w:w="12240" w:h="15840"/>
      <w:pgMar w:top="1560" w:right="1440" w:bottom="1440" w:left="1440" w:header="7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3D58" w14:textId="77777777" w:rsidR="00465777" w:rsidRDefault="00465777">
      <w:pPr>
        <w:spacing w:after="0" w:line="240" w:lineRule="auto"/>
      </w:pPr>
      <w:r>
        <w:separator/>
      </w:r>
    </w:p>
  </w:endnote>
  <w:endnote w:type="continuationSeparator" w:id="0">
    <w:p w14:paraId="55894104" w14:textId="77777777" w:rsidR="00465777" w:rsidRDefault="00465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74086" w14:textId="77777777" w:rsidR="00465777" w:rsidRDefault="00465777">
      <w:pPr>
        <w:spacing w:after="0" w:line="240" w:lineRule="auto"/>
      </w:pPr>
      <w:r>
        <w:separator/>
      </w:r>
    </w:p>
  </w:footnote>
  <w:footnote w:type="continuationSeparator" w:id="0">
    <w:p w14:paraId="4D1D7F4D" w14:textId="77777777" w:rsidR="00465777" w:rsidRDefault="00465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C6AD" w14:textId="77777777" w:rsidR="00000000" w:rsidRPr="005C0B95" w:rsidRDefault="00000000">
    <w:pPr>
      <w:rPr>
        <w:lang w:val="es-CO"/>
      </w:rPr>
    </w:pPr>
    <w:r w:rsidRPr="005C0B95">
      <w:rPr>
        <w:noProof/>
        <w:lang w:val="es-CO"/>
      </w:rPr>
      <w:drawing>
        <wp:anchor distT="0" distB="0" distL="0" distR="0" simplePos="0" relativeHeight="251659264" behindDoc="1" locked="0" layoutInCell="1" allowOverlap="1" wp14:anchorId="0AB82DD1" wp14:editId="4CECC9A2">
          <wp:simplePos x="0" y="0"/>
          <wp:positionH relativeFrom="page">
            <wp:posOffset>1240155</wp:posOffset>
          </wp:positionH>
          <wp:positionV relativeFrom="page">
            <wp:posOffset>61595</wp:posOffset>
          </wp:positionV>
          <wp:extent cx="4841240" cy="531495"/>
          <wp:effectExtent l="0" t="0" r="0" b="1905"/>
          <wp:wrapNone/>
          <wp:docPr id="25084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41240" cy="531495"/>
                  </a:xfrm>
                  <a:prstGeom prst="rect">
                    <a:avLst/>
                  </a:prstGeom>
                </pic:spPr>
              </pic:pic>
            </a:graphicData>
          </a:graphic>
        </wp:anchor>
      </w:drawing>
    </w:r>
    <w:r w:rsidRPr="005C0B95">
      <w:rPr>
        <w:noProof/>
        <w:lang w:val="es-CO"/>
      </w:rPr>
      <mc:AlternateContent>
        <mc:Choice Requires="wps">
          <w:drawing>
            <wp:anchor distT="0" distB="0" distL="0" distR="0" simplePos="0" relativeHeight="251660288" behindDoc="1" locked="0" layoutInCell="1" allowOverlap="1" wp14:anchorId="79B506B3" wp14:editId="46F8AC0A">
              <wp:simplePos x="0" y="0"/>
              <wp:positionH relativeFrom="page">
                <wp:posOffset>1079500</wp:posOffset>
              </wp:positionH>
              <wp:positionV relativeFrom="page">
                <wp:posOffset>610397</wp:posOffset>
              </wp:positionV>
              <wp:extent cx="5266055"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6055" cy="342900"/>
                      </a:xfrm>
                      <a:prstGeom prst="rect">
                        <a:avLst/>
                      </a:prstGeom>
                    </wps:spPr>
                    <wps:txbx>
                      <w:txbxContent>
                        <w:p w14:paraId="403119EB" w14:textId="77777777" w:rsidR="00000000" w:rsidRPr="000F3FE6" w:rsidRDefault="00000000" w:rsidP="00D10D07">
                          <w:pPr>
                            <w:spacing w:after="0" w:line="240" w:lineRule="auto"/>
                            <w:ind w:right="2"/>
                            <w:jc w:val="center"/>
                            <w:rPr>
                              <w:rFonts w:ascii="Arial MT" w:hAnsi="Arial MT" w:hint="eastAsia"/>
                              <w:lang w:val="es-ES"/>
                            </w:rPr>
                          </w:pPr>
                          <w:r w:rsidRPr="000F3FE6">
                            <w:rPr>
                              <w:rFonts w:ascii="Arial MT" w:hAnsi="Arial MT"/>
                              <w:color w:val="666666"/>
                              <w:lang w:val="es-ES"/>
                            </w:rPr>
                            <w:t>INFORME MÉTRICA 6 TRABAJO DE GRADO II</w:t>
                          </w:r>
                        </w:p>
                        <w:p w14:paraId="36BC2ADB" w14:textId="77777777" w:rsidR="00000000" w:rsidRPr="000F3FE6" w:rsidRDefault="00000000" w:rsidP="00D10D07">
                          <w:pPr>
                            <w:spacing w:after="0" w:line="240" w:lineRule="auto"/>
                            <w:ind w:left="2" w:right="2"/>
                            <w:jc w:val="center"/>
                            <w:rPr>
                              <w:rFonts w:ascii="Calibri"/>
                              <w:i/>
                              <w:lang w:val="es-ES"/>
                            </w:rPr>
                          </w:pPr>
                          <w:r w:rsidRPr="000F3FE6">
                            <w:rPr>
                              <w:rFonts w:ascii="Calibri"/>
                              <w:lang w:val="es-ES"/>
                            </w:rPr>
                            <w:t xml:space="preserve">Sharon Catalina Vargas Cortes </w:t>
                          </w:r>
                          <w:r w:rsidRPr="000F3FE6">
                            <w:rPr>
                              <w:rFonts w:ascii="Calibri"/>
                              <w:lang w:val="es-ES"/>
                            </w:rPr>
                            <w:t>–</w:t>
                          </w:r>
                          <w:r w:rsidRPr="000F3FE6">
                            <w:rPr>
                              <w:rFonts w:ascii="Calibri"/>
                              <w:lang w:val="es-ES"/>
                            </w:rPr>
                            <w:t xml:space="preserve"> 2211259, Anwar Andr</w:t>
                          </w:r>
                          <w:r w:rsidRPr="000F3FE6">
                            <w:rPr>
                              <w:rFonts w:ascii="Calibri"/>
                              <w:lang w:val="es-ES"/>
                            </w:rPr>
                            <w:t>é</w:t>
                          </w:r>
                          <w:r w:rsidRPr="000F3FE6">
                            <w:rPr>
                              <w:rFonts w:ascii="Calibri"/>
                              <w:lang w:val="es-ES"/>
                            </w:rPr>
                            <w:t>s Cuello Pab</w:t>
                          </w:r>
                          <w:r w:rsidRPr="000F3FE6">
                            <w:rPr>
                              <w:rFonts w:ascii="Calibri"/>
                              <w:lang w:val="es-ES"/>
                            </w:rPr>
                            <w:t>ó</w:t>
                          </w:r>
                          <w:r w:rsidRPr="000F3FE6">
                            <w:rPr>
                              <w:rFonts w:ascii="Calibri"/>
                              <w:lang w:val="es-ES"/>
                            </w:rPr>
                            <w:t xml:space="preserve">n </w:t>
                          </w:r>
                          <w:r w:rsidRPr="000F3FE6">
                            <w:rPr>
                              <w:rFonts w:ascii="Calibri"/>
                              <w:lang w:val="es-ES"/>
                            </w:rPr>
                            <w:t>–</w:t>
                          </w:r>
                          <w:r w:rsidRPr="000F3FE6">
                            <w:rPr>
                              <w:rFonts w:ascii="Calibri"/>
                              <w:lang w:val="es-ES"/>
                            </w:rPr>
                            <w:t xml:space="preserve"> 2181702 </w:t>
                          </w:r>
                        </w:p>
                      </w:txbxContent>
                    </wps:txbx>
                    <wps:bodyPr wrap="square" lIns="0" tIns="0" rIns="0" bIns="0" rtlCol="0">
                      <a:noAutofit/>
                    </wps:bodyPr>
                  </wps:wsp>
                </a:graphicData>
              </a:graphic>
              <wp14:sizeRelV relativeFrom="margin">
                <wp14:pctHeight>0</wp14:pctHeight>
              </wp14:sizeRelV>
            </wp:anchor>
          </w:drawing>
        </mc:Choice>
        <mc:Fallback>
          <w:pict>
            <v:shapetype w14:anchorId="79B506B3" id="_x0000_t202" coordsize="21600,21600" o:spt="202" path="m,l,21600r21600,l21600,xe">
              <v:stroke joinstyle="miter"/>
              <v:path gradientshapeok="t" o:connecttype="rect"/>
            </v:shapetype>
            <v:shape id="Textbox 2" o:spid="_x0000_s1026" type="#_x0000_t202" style="position:absolute;margin-left:85pt;margin-top:48.05pt;width:414.65pt;height:27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" filled="f" stroked="f">
              <v:textbox inset="0,0,0,0">
                <w:txbxContent>
                  <w:p w14:paraId="403119EB" w14:textId="77777777" w:rsidR="00000000" w:rsidRPr="000F3FE6" w:rsidRDefault="00000000" w:rsidP="00D10D07">
                    <w:pPr>
                      <w:spacing w:after="0" w:line="240" w:lineRule="auto"/>
                      <w:ind w:right="2"/>
                      <w:jc w:val="center"/>
                      <w:rPr>
                        <w:rFonts w:ascii="Arial MT" w:hAnsi="Arial MT" w:hint="eastAsia"/>
                        <w:lang w:val="es-ES"/>
                      </w:rPr>
                    </w:pPr>
                    <w:r w:rsidRPr="000F3FE6">
                      <w:rPr>
                        <w:rFonts w:ascii="Arial MT" w:hAnsi="Arial MT"/>
                        <w:color w:val="666666"/>
                        <w:lang w:val="es-ES"/>
                      </w:rPr>
                      <w:t>INFORME MÉTRICA 6 TRABAJO DE GRADO II</w:t>
                    </w:r>
                  </w:p>
                  <w:p w14:paraId="36BC2ADB" w14:textId="77777777" w:rsidR="00000000" w:rsidRPr="000F3FE6" w:rsidRDefault="00000000" w:rsidP="00D10D07">
                    <w:pPr>
                      <w:spacing w:after="0" w:line="240" w:lineRule="auto"/>
                      <w:ind w:left="2" w:right="2"/>
                      <w:jc w:val="center"/>
                      <w:rPr>
                        <w:rFonts w:ascii="Calibri"/>
                        <w:i/>
                        <w:lang w:val="es-ES"/>
                      </w:rPr>
                    </w:pPr>
                    <w:r w:rsidRPr="000F3FE6">
                      <w:rPr>
                        <w:rFonts w:ascii="Calibri"/>
                        <w:lang w:val="es-ES"/>
                      </w:rPr>
                      <w:t xml:space="preserve">Sharon Catalina Vargas Cortes </w:t>
                    </w:r>
                    <w:r w:rsidRPr="000F3FE6">
                      <w:rPr>
                        <w:rFonts w:ascii="Calibri"/>
                        <w:lang w:val="es-ES"/>
                      </w:rPr>
                      <w:t>–</w:t>
                    </w:r>
                    <w:r w:rsidRPr="000F3FE6">
                      <w:rPr>
                        <w:rFonts w:ascii="Calibri"/>
                        <w:lang w:val="es-ES"/>
                      </w:rPr>
                      <w:t xml:space="preserve"> 2211259, Anwar Andr</w:t>
                    </w:r>
                    <w:r w:rsidRPr="000F3FE6">
                      <w:rPr>
                        <w:rFonts w:ascii="Calibri"/>
                        <w:lang w:val="es-ES"/>
                      </w:rPr>
                      <w:t>é</w:t>
                    </w:r>
                    <w:r w:rsidRPr="000F3FE6">
                      <w:rPr>
                        <w:rFonts w:ascii="Calibri"/>
                        <w:lang w:val="es-ES"/>
                      </w:rPr>
                      <w:t>s Cuello Pab</w:t>
                    </w:r>
                    <w:r w:rsidRPr="000F3FE6">
                      <w:rPr>
                        <w:rFonts w:ascii="Calibri"/>
                        <w:lang w:val="es-ES"/>
                      </w:rPr>
                      <w:t>ó</w:t>
                    </w:r>
                    <w:r w:rsidRPr="000F3FE6">
                      <w:rPr>
                        <w:rFonts w:ascii="Calibri"/>
                        <w:lang w:val="es-ES"/>
                      </w:rPr>
                      <w:t xml:space="preserve">n </w:t>
                    </w:r>
                    <w:r w:rsidRPr="000F3FE6">
                      <w:rPr>
                        <w:rFonts w:ascii="Calibri"/>
                        <w:lang w:val="es-ES"/>
                      </w:rPr>
                      <w:t>–</w:t>
                    </w:r>
                    <w:r w:rsidRPr="000F3FE6">
                      <w:rPr>
                        <w:rFonts w:ascii="Calibri"/>
                        <w:lang w:val="es-ES"/>
                      </w:rPr>
                      <w:t xml:space="preserve"> 2181702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1181370">
    <w:abstractNumId w:val="8"/>
  </w:num>
  <w:num w:numId="2" w16cid:durableId="1474979339">
    <w:abstractNumId w:val="6"/>
  </w:num>
  <w:num w:numId="3" w16cid:durableId="635375064">
    <w:abstractNumId w:val="5"/>
  </w:num>
  <w:num w:numId="4" w16cid:durableId="698579532">
    <w:abstractNumId w:val="4"/>
  </w:num>
  <w:num w:numId="5" w16cid:durableId="1607614166">
    <w:abstractNumId w:val="7"/>
  </w:num>
  <w:num w:numId="6" w16cid:durableId="1436558669">
    <w:abstractNumId w:val="3"/>
  </w:num>
  <w:num w:numId="7" w16cid:durableId="1163861857">
    <w:abstractNumId w:val="2"/>
  </w:num>
  <w:num w:numId="8" w16cid:durableId="1344749474">
    <w:abstractNumId w:val="1"/>
  </w:num>
  <w:num w:numId="9" w16cid:durableId="39015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FE6"/>
    <w:rsid w:val="0015074B"/>
    <w:rsid w:val="0029639D"/>
    <w:rsid w:val="00326F90"/>
    <w:rsid w:val="00465777"/>
    <w:rsid w:val="008B1A59"/>
    <w:rsid w:val="00AA1D8D"/>
    <w:rsid w:val="00B47730"/>
    <w:rsid w:val="00CB0664"/>
    <w:rsid w:val="00D65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6439C"/>
  <w14:defaultImageDpi w14:val="300"/>
  <w15:docId w15:val="{0BA30B70-57FF-4196-83A2-52D6D7B09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686</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Anwar Andres Cuello Pabon</cp:lastModifiedBy>
  <cp:revision>1</cp:revision>
  <dcterms:created xsi:type="dcterms:W3CDTF">2013-12-23T23:15:00Z</dcterms:created>
  <dcterms:modified xsi:type="dcterms:W3CDTF">2026-09-18T23:25:00Z</dcterms:modified>
  <cp:category/>
</cp:coreProperties>
</file>