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4962" w14:textId="77777777" w:rsidR="001C1957" w:rsidRDefault="00000000">
      <w:pPr>
        <w:spacing w:after="20"/>
      </w:pPr>
      <w:r>
        <w:rPr>
          <w:b/>
          <w:bCs/>
          <w:color w:val="1F3864"/>
          <w:sz w:val="34"/>
          <w:szCs w:val="34"/>
        </w:rPr>
        <w:t>Analysis Proposal</w:t>
      </w:r>
    </w:p>
    <w:p w14:paraId="632BED18" w14:textId="77777777" w:rsidR="001C1957" w:rsidRDefault="00000000">
      <w:pPr>
        <w:spacing w:after="180"/>
      </w:pPr>
      <w:r>
        <w:rPr>
          <w:color w:val="595959"/>
          <w:sz w:val="19"/>
          <w:szCs w:val="19"/>
        </w:rPr>
        <w:t>Prepared for Drinking Excess Alcohol is Dangerous (</w:t>
      </w:r>
      <w:proofErr w:type="gramStart"/>
      <w:r>
        <w:rPr>
          <w:color w:val="595959"/>
          <w:sz w:val="19"/>
          <w:szCs w:val="19"/>
        </w:rPr>
        <w:t>DEAD)  •</w:t>
      </w:r>
      <w:proofErr w:type="gramEnd"/>
      <w:r>
        <w:rPr>
          <w:color w:val="595959"/>
          <w:sz w:val="19"/>
          <w:szCs w:val="19"/>
        </w:rPr>
        <w:t xml:space="preserve">  Prepared by Otis Hunt</w:t>
      </w:r>
    </w:p>
    <w:p w14:paraId="2733B046" w14:textId="77777777" w:rsidR="001C1957" w:rsidRDefault="00000000">
      <w:pPr>
        <w:spacing w:after="120"/>
      </w:pPr>
      <w:r>
        <w:t>DEAD has asked us to help identify what drives higher or lower alcohol purchasing across Iowa, so that campaigns can be timed to when they will have the most impact. Having already tested and ruled out day-to-day weather as a meaningful driver, we propose focusing this phase of the analysis on calendar occasions — holidays, the Iowa State Fair, and Iowa Hawkeyes / Iowa State Cyclones home football games — which are known in advance and can be planned around.</w:t>
      </w:r>
    </w:p>
    <w:p w14:paraId="04FE3F41" w14:textId="77777777" w:rsidR="001C1957" w:rsidRDefault="00000000">
      <w:pPr>
        <w:pStyle w:val="Heading2"/>
        <w:spacing w:before="220" w:after="80"/>
      </w:pPr>
      <w:r>
        <w:rPr>
          <w:b/>
          <w:bCs/>
          <w:color w:val="1F3864"/>
          <w:sz w:val="24"/>
          <w:szCs w:val="24"/>
        </w:rPr>
        <w:t>Data &amp; Wrangling Plan</w:t>
      </w:r>
    </w:p>
    <w:p w14:paraId="28CD6194" w14:textId="77777777" w:rsidR="001C1957" w:rsidRDefault="00000000">
      <w:pPr>
        <w:spacing w:after="120"/>
      </w:pPr>
      <w:r>
        <w:t xml:space="preserve">The core dataset is the state’s Iowa liquor order records, 2022 through 2026. An early data-quality check showed that order dates are overwhelmingly concentrated on weekdays, which tells us this reflects when retailers </w:t>
      </w:r>
      <w:proofErr w:type="gramStart"/>
      <w:r>
        <w:t>restock</w:t>
      </w:r>
      <w:proofErr w:type="gramEnd"/>
      <w:r>
        <w:t xml:space="preserve"> through the state distribution system, not when a consumer buys a drink. To work around this, we aggregate to a weekly grain (Monday–Sunday) rather than daily, separately for the statewide total and for the two largest college markets (Iowa City, Ames), so a campus-specific football effect isn’t averaged away in a statewide number.</w:t>
      </w:r>
    </w:p>
    <w:p w14:paraId="6A2530BF" w14:textId="77777777" w:rsidR="001C1957" w:rsidRDefault="00000000">
      <w:pPr>
        <w:spacing w:after="120"/>
      </w:pPr>
      <w:r>
        <w:t xml:space="preserve">We are building a companion calendar-events table alongside it: fixed and rule-based holidays computed directly (so the logic holds for any year), plus Super Bowl Sunday, Iowa State Fair dates, and home-game schedules pulled from public sources. Each event becomes a weekly indicator — did this week </w:t>
      </w:r>
      <w:proofErr w:type="gramStart"/>
      <w:r>
        <w:t>contain</w:t>
      </w:r>
      <w:proofErr w:type="gramEnd"/>
      <w:r>
        <w:t xml:space="preserve"> the occasion — which merges cleanly onto the sales panel.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154"/>
        <w:gridCol w:w="2972"/>
        <w:gridCol w:w="2908"/>
      </w:tblGrid>
      <w:tr w:rsidR="001C1957" w14:paraId="0ABD0A73"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2FCC0241" w14:textId="77777777" w:rsidR="001C1957" w:rsidRDefault="00000000">
            <w:r>
              <w:rPr>
                <w:b/>
                <w:bCs/>
                <w:color w:val="FFFFFF"/>
                <w:sz w:val="18"/>
                <w:szCs w:val="18"/>
              </w:rPr>
              <w:t>Dataset</w:t>
            </w:r>
          </w:p>
        </w:tc>
        <w:tc>
          <w:tcPr>
            <w:tcW w:w="2000" w:type="dxa"/>
            <w:shd w:val="clear" w:color="auto" w:fill="1F3864"/>
            <w:tcMar>
              <w:top w:w="60" w:type="dxa"/>
              <w:left w:w="100" w:type="dxa"/>
              <w:bottom w:w="60" w:type="dxa"/>
              <w:right w:w="100" w:type="dxa"/>
            </w:tcMar>
            <w:vAlign w:val="center"/>
          </w:tcPr>
          <w:p w14:paraId="407F3C8C" w14:textId="77777777" w:rsidR="001C1957" w:rsidRDefault="00000000">
            <w:r>
              <w:rPr>
                <w:b/>
                <w:bCs/>
                <w:color w:val="FFFFFF"/>
                <w:sz w:val="18"/>
                <w:szCs w:val="18"/>
              </w:rPr>
              <w:t>Grain</w:t>
            </w:r>
          </w:p>
        </w:tc>
        <w:tc>
          <w:tcPr>
            <w:tcW w:w="2760" w:type="dxa"/>
            <w:shd w:val="clear" w:color="auto" w:fill="1F3864"/>
            <w:tcMar>
              <w:top w:w="60" w:type="dxa"/>
              <w:left w:w="100" w:type="dxa"/>
              <w:bottom w:w="60" w:type="dxa"/>
              <w:right w:w="100" w:type="dxa"/>
            </w:tcMar>
            <w:vAlign w:val="center"/>
          </w:tcPr>
          <w:p w14:paraId="6C42A4E4" w14:textId="77777777" w:rsidR="001C1957" w:rsidRDefault="00000000">
            <w:r>
              <w:rPr>
                <w:b/>
                <w:bCs/>
                <w:color w:val="FFFFFF"/>
                <w:sz w:val="18"/>
                <w:szCs w:val="18"/>
              </w:rPr>
              <w:t>Source</w:t>
            </w:r>
          </w:p>
        </w:tc>
        <w:tc>
          <w:tcPr>
            <w:tcW w:w="2700" w:type="dxa"/>
            <w:shd w:val="clear" w:color="auto" w:fill="1F3864"/>
            <w:tcMar>
              <w:top w:w="60" w:type="dxa"/>
              <w:left w:w="100" w:type="dxa"/>
              <w:bottom w:w="60" w:type="dxa"/>
              <w:right w:w="100" w:type="dxa"/>
            </w:tcMar>
            <w:vAlign w:val="center"/>
          </w:tcPr>
          <w:p w14:paraId="53BCBD75" w14:textId="77777777" w:rsidR="001C1957" w:rsidRDefault="00000000">
            <w:r>
              <w:rPr>
                <w:b/>
                <w:bCs/>
                <w:color w:val="FFFFFF"/>
                <w:sz w:val="18"/>
                <w:szCs w:val="18"/>
              </w:rPr>
              <w:t>Role in analysis</w:t>
            </w:r>
          </w:p>
        </w:tc>
      </w:tr>
      <w:tr w:rsidR="001C1957" w14:paraId="4BB8F299" w14:textId="77777777">
        <w:tblPrEx>
          <w:tblCellMar>
            <w:top w:w="0" w:type="dxa"/>
            <w:bottom w:w="0" w:type="dxa"/>
          </w:tblCellMar>
        </w:tblPrEx>
        <w:tc>
          <w:tcPr>
            <w:tcW w:w="1900" w:type="dxa"/>
            <w:tcMar>
              <w:top w:w="60" w:type="dxa"/>
              <w:left w:w="100" w:type="dxa"/>
              <w:bottom w:w="60" w:type="dxa"/>
              <w:right w:w="100" w:type="dxa"/>
            </w:tcMar>
            <w:vAlign w:val="center"/>
          </w:tcPr>
          <w:p w14:paraId="11468232" w14:textId="77777777" w:rsidR="001C1957" w:rsidRDefault="00000000">
            <w:r>
              <w:rPr>
                <w:color w:val="000000"/>
                <w:sz w:val="18"/>
                <w:szCs w:val="18"/>
              </w:rPr>
              <w:t>Iowa liquor wholesale orders</w:t>
            </w:r>
          </w:p>
        </w:tc>
        <w:tc>
          <w:tcPr>
            <w:tcW w:w="2000" w:type="dxa"/>
            <w:tcMar>
              <w:top w:w="60" w:type="dxa"/>
              <w:left w:w="100" w:type="dxa"/>
              <w:bottom w:w="60" w:type="dxa"/>
              <w:right w:w="100" w:type="dxa"/>
            </w:tcMar>
            <w:vAlign w:val="center"/>
          </w:tcPr>
          <w:p w14:paraId="58FD7647" w14:textId="77777777" w:rsidR="001C1957" w:rsidRDefault="00000000">
            <w:r>
              <w:rPr>
                <w:color w:val="000000"/>
                <w:sz w:val="18"/>
                <w:szCs w:val="18"/>
              </w:rPr>
              <w:t>Transaction-level, 2022–2026 (~13.2M rows)</w:t>
            </w:r>
          </w:p>
        </w:tc>
        <w:tc>
          <w:tcPr>
            <w:tcW w:w="2760" w:type="dxa"/>
            <w:tcMar>
              <w:top w:w="60" w:type="dxa"/>
              <w:left w:w="100" w:type="dxa"/>
              <w:bottom w:w="60" w:type="dxa"/>
              <w:right w:w="100" w:type="dxa"/>
            </w:tcMar>
            <w:vAlign w:val="center"/>
          </w:tcPr>
          <w:p w14:paraId="0EAF71E4" w14:textId="77777777" w:rsidR="001C1957" w:rsidRDefault="00000000">
            <w:r>
              <w:rPr>
                <w:color w:val="000000"/>
                <w:sz w:val="18"/>
                <w:szCs w:val="18"/>
              </w:rPr>
              <w:t>State of Iowa liquor distribution records</w:t>
            </w:r>
          </w:p>
        </w:tc>
        <w:tc>
          <w:tcPr>
            <w:tcW w:w="2700" w:type="dxa"/>
            <w:tcMar>
              <w:top w:w="60" w:type="dxa"/>
              <w:left w:w="100" w:type="dxa"/>
              <w:bottom w:w="60" w:type="dxa"/>
              <w:right w:w="100" w:type="dxa"/>
            </w:tcMar>
            <w:vAlign w:val="center"/>
          </w:tcPr>
          <w:p w14:paraId="7BB0E11C" w14:textId="77777777" w:rsidR="001C1957" w:rsidRDefault="00000000">
            <w:r>
              <w:rPr>
                <w:color w:val="000000"/>
                <w:sz w:val="18"/>
                <w:szCs w:val="18"/>
              </w:rPr>
              <w:t>Aggregated to weekly ordering volume, statewide and by city</w:t>
            </w:r>
          </w:p>
        </w:tc>
      </w:tr>
      <w:tr w:rsidR="001C1957" w14:paraId="110AFC9A" w14:textId="77777777">
        <w:tblPrEx>
          <w:tblCellMar>
            <w:top w:w="0" w:type="dxa"/>
            <w:bottom w:w="0" w:type="dxa"/>
          </w:tblCellMar>
        </w:tblPrEx>
        <w:tc>
          <w:tcPr>
            <w:tcW w:w="1900" w:type="dxa"/>
            <w:tcMar>
              <w:top w:w="60" w:type="dxa"/>
              <w:left w:w="100" w:type="dxa"/>
              <w:bottom w:w="60" w:type="dxa"/>
              <w:right w:w="100" w:type="dxa"/>
            </w:tcMar>
            <w:vAlign w:val="center"/>
          </w:tcPr>
          <w:p w14:paraId="113FA224" w14:textId="77777777" w:rsidR="001C1957" w:rsidRDefault="00000000">
            <w:r>
              <w:rPr>
                <w:color w:val="000000"/>
                <w:sz w:val="18"/>
                <w:szCs w:val="18"/>
              </w:rPr>
              <w:t>Calendar events</w:t>
            </w:r>
          </w:p>
        </w:tc>
        <w:tc>
          <w:tcPr>
            <w:tcW w:w="2000" w:type="dxa"/>
            <w:tcMar>
              <w:top w:w="60" w:type="dxa"/>
              <w:left w:w="100" w:type="dxa"/>
              <w:bottom w:w="60" w:type="dxa"/>
              <w:right w:w="100" w:type="dxa"/>
            </w:tcMar>
            <w:vAlign w:val="center"/>
          </w:tcPr>
          <w:p w14:paraId="513BE84A" w14:textId="77777777" w:rsidR="001C1957" w:rsidRDefault="00000000">
            <w:r>
              <w:rPr>
                <w:color w:val="000000"/>
                <w:sz w:val="18"/>
                <w:szCs w:val="18"/>
              </w:rPr>
              <w:t>Daily, 2022–2026</w:t>
            </w:r>
          </w:p>
        </w:tc>
        <w:tc>
          <w:tcPr>
            <w:tcW w:w="2760" w:type="dxa"/>
            <w:tcMar>
              <w:top w:w="60" w:type="dxa"/>
              <w:left w:w="100" w:type="dxa"/>
              <w:bottom w:w="60" w:type="dxa"/>
              <w:right w:w="100" w:type="dxa"/>
            </w:tcMar>
            <w:vAlign w:val="center"/>
          </w:tcPr>
          <w:p w14:paraId="024B34FB" w14:textId="77777777" w:rsidR="001C1957" w:rsidRDefault="00000000">
            <w:r>
              <w:rPr>
                <w:color w:val="000000"/>
                <w:sz w:val="18"/>
                <w:szCs w:val="18"/>
              </w:rPr>
              <w:t>Computed (fixed &amp; rule-based holidays); Super Bowl / Iowa State Fair dates and Hawkeyes / Cyclones home-game schedules from public sources</w:t>
            </w:r>
          </w:p>
        </w:tc>
        <w:tc>
          <w:tcPr>
            <w:tcW w:w="2700" w:type="dxa"/>
            <w:tcMar>
              <w:top w:w="60" w:type="dxa"/>
              <w:left w:w="100" w:type="dxa"/>
              <w:bottom w:w="60" w:type="dxa"/>
              <w:right w:w="100" w:type="dxa"/>
            </w:tcMar>
            <w:vAlign w:val="center"/>
          </w:tcPr>
          <w:p w14:paraId="1A3C2959" w14:textId="77777777" w:rsidR="001C1957" w:rsidRDefault="00000000">
            <w:r>
              <w:rPr>
                <w:color w:val="000000"/>
                <w:sz w:val="18"/>
                <w:szCs w:val="18"/>
              </w:rPr>
              <w:t>Converted to weekly “event occurred this week” indicators</w:t>
            </w:r>
          </w:p>
        </w:tc>
      </w:tr>
    </w:tbl>
    <w:p w14:paraId="3394C222" w14:textId="2A0FF68C" w:rsidR="002F06C1" w:rsidRDefault="002F06C1">
      <w:pPr>
        <w:pStyle w:val="Heading2"/>
        <w:spacing w:before="220" w:after="80"/>
        <w:rPr>
          <w:b/>
          <w:bCs/>
          <w:color w:val="1F3864"/>
          <w:sz w:val="24"/>
          <w:szCs w:val="24"/>
        </w:rPr>
      </w:pPr>
      <w:r>
        <w:rPr>
          <w:b/>
          <w:bCs/>
          <w:noProof/>
          <w:color w:val="1F3864"/>
          <w:sz w:val="24"/>
          <w:szCs w:val="24"/>
        </w:rPr>
        <w:drawing>
          <wp:inline distT="0" distB="0" distL="0" distR="0" wp14:anchorId="417212EE" wp14:editId="454853FB">
            <wp:extent cx="6149340" cy="4245974"/>
            <wp:effectExtent l="0" t="0" r="3810" b="2540"/>
            <wp:docPr id="198142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018" name="Picture 1981420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0850" cy="4274635"/>
                    </a:xfrm>
                    <a:prstGeom prst="rect">
                      <a:avLst/>
                    </a:prstGeom>
                  </pic:spPr>
                </pic:pic>
              </a:graphicData>
            </a:graphic>
          </wp:inline>
        </w:drawing>
      </w:r>
    </w:p>
    <w:p w14:paraId="47387494" w14:textId="1AC74338" w:rsidR="001C1957" w:rsidRDefault="00000000">
      <w:pPr>
        <w:pStyle w:val="Heading2"/>
        <w:spacing w:before="220" w:after="80"/>
      </w:pPr>
      <w:r>
        <w:rPr>
          <w:b/>
          <w:bCs/>
          <w:color w:val="1F3864"/>
          <w:sz w:val="24"/>
          <w:szCs w:val="24"/>
        </w:rPr>
        <w:lastRenderedPageBreak/>
        <w:t>Modeling Approach &amp; Validation</w:t>
      </w:r>
    </w:p>
    <w:p w14:paraId="5BDD3F62" w14:textId="11D5D0D1" w:rsidR="001C1957" w:rsidRDefault="00000000">
      <w:pPr>
        <w:spacing w:after="120"/>
      </w:pPr>
      <w:r>
        <w:t>The observational unit is one week within one geography (statewide, Iowa City, or Ames); the target variable is the log of total bottles ordered that week, log-transformed because sales volume is highly right-skewed. We plan to fit linear regression models only — no ensemble or black-box methods — so every coefficient has a direct, defensible interpretation for a non-technical client: each model regresses log weekly volume on a linear time trend, calendar-month fixed effects (to absorb ordinary seasonality), and a set of event/game indicators.</w:t>
      </w:r>
    </w:p>
    <w:p w14:paraId="51D588D6" w14:textId="2B9767FB" w:rsidR="001C1957" w:rsidRDefault="00000000">
      <w:pPr>
        <w:spacing w:after="120"/>
      </w:pPr>
      <w:r>
        <w:t>Model selection will center on whether the event terms earn their place: we’ll compare each candidate model against a no-events baseline using a nested F-test and AIC/BIC, rather than relying on raw R-squared, which can look artificially strong once seasonality alone is in the model. Because this is time-ordered data, validation will use a time-based holdout — training on earlier weeks and testing on the most recent months — rather than a random split, plus standard residual diagnostics (checking for non-constant variance and autocorrelation) so we can be honest about how much to trust the reported significance levels.</w:t>
      </w:r>
    </w:p>
    <w:p w14:paraId="200D335F" w14:textId="19AD4CC8" w:rsidR="002F06C1" w:rsidRDefault="002A3950">
      <w:pPr>
        <w:spacing w:before="40" w:after="140"/>
        <w:ind w:left="260"/>
      </w:pPr>
      <w:r>
        <w:rPr>
          <w:noProof/>
        </w:rPr>
        <w:drawing>
          <wp:inline distT="0" distB="0" distL="0" distR="0" wp14:anchorId="28674BCE" wp14:editId="67BC7E5B">
            <wp:extent cx="6013346" cy="4914900"/>
            <wp:effectExtent l="0" t="0" r="6985" b="0"/>
            <wp:docPr id="59157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7820" name="Picture 5915778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22737" cy="4922575"/>
                    </a:xfrm>
                    <a:prstGeom prst="rect">
                      <a:avLst/>
                    </a:prstGeom>
                  </pic:spPr>
                </pic:pic>
              </a:graphicData>
            </a:graphic>
          </wp:inline>
        </w:drawing>
      </w:r>
    </w:p>
    <w:p w14:paraId="0703E329" w14:textId="77777777" w:rsidR="001C1957" w:rsidRDefault="00000000">
      <w:pPr>
        <w:pStyle w:val="Heading2"/>
        <w:spacing w:before="220" w:after="80"/>
      </w:pPr>
      <w:r>
        <w:rPr>
          <w:b/>
          <w:bCs/>
          <w:color w:val="1F3864"/>
          <w:sz w:val="24"/>
          <w:szCs w:val="24"/>
        </w:rPr>
        <w:t>What DEAD Can Expect</w:t>
      </w:r>
    </w:p>
    <w:p w14:paraId="3B2E5EA8" w14:textId="77777777" w:rsidR="001C1957" w:rsidRDefault="00000000">
      <w:pPr>
        <w:spacing w:after="40"/>
      </w:pPr>
      <w:r>
        <w:t xml:space="preserve">Our final analysis will identify which specific calendar occasions, if any, are associated with a meaningful and statistically defensible increase in alcohol ordering, ranked by size and confidence and broken out by geography where </w:t>
      </w:r>
      <w:proofErr w:type="gramStart"/>
      <w:r>
        <w:t>that matters</w:t>
      </w:r>
      <w:proofErr w:type="gramEnd"/>
      <w:r>
        <w:t>. We’ll be upfront about the limits of what distribution-level data can and can’t show about actual consumer behavior, and we’ll flag any occasions where the evidence is too weak or inconsistent to act on. The goal is a short, prioritized list DEAD can use to decide when — not just whether — to run a campaign.</w:t>
      </w:r>
    </w:p>
    <w:sectPr w:rsidR="001C19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06EE6"/>
    <w:multiLevelType w:val="hybridMultilevel"/>
    <w:tmpl w:val="6750CF42"/>
    <w:lvl w:ilvl="0" w:tplc="8B768E8A">
      <w:start w:val="1"/>
      <w:numFmt w:val="bullet"/>
      <w:lvlText w:val="●"/>
      <w:lvlJc w:val="left"/>
      <w:pPr>
        <w:ind w:left="720" w:hanging="360"/>
      </w:pPr>
    </w:lvl>
    <w:lvl w:ilvl="1" w:tplc="B084233C">
      <w:start w:val="1"/>
      <w:numFmt w:val="bullet"/>
      <w:lvlText w:val="○"/>
      <w:lvlJc w:val="left"/>
      <w:pPr>
        <w:ind w:left="1440" w:hanging="360"/>
      </w:pPr>
    </w:lvl>
    <w:lvl w:ilvl="2" w:tplc="3D72BA00">
      <w:start w:val="1"/>
      <w:numFmt w:val="bullet"/>
      <w:lvlText w:val="■"/>
      <w:lvlJc w:val="left"/>
      <w:pPr>
        <w:ind w:left="2160" w:hanging="360"/>
      </w:pPr>
    </w:lvl>
    <w:lvl w:ilvl="3" w:tplc="061A93A2">
      <w:start w:val="1"/>
      <w:numFmt w:val="bullet"/>
      <w:lvlText w:val="●"/>
      <w:lvlJc w:val="left"/>
      <w:pPr>
        <w:ind w:left="2880" w:hanging="360"/>
      </w:pPr>
    </w:lvl>
    <w:lvl w:ilvl="4" w:tplc="230ABF96">
      <w:start w:val="1"/>
      <w:numFmt w:val="bullet"/>
      <w:lvlText w:val="○"/>
      <w:lvlJc w:val="left"/>
      <w:pPr>
        <w:ind w:left="3600" w:hanging="360"/>
      </w:pPr>
    </w:lvl>
    <w:lvl w:ilvl="5" w:tplc="8AA2CF40">
      <w:start w:val="1"/>
      <w:numFmt w:val="bullet"/>
      <w:lvlText w:val="■"/>
      <w:lvlJc w:val="left"/>
      <w:pPr>
        <w:ind w:left="4320" w:hanging="360"/>
      </w:pPr>
    </w:lvl>
    <w:lvl w:ilvl="6" w:tplc="762A8486">
      <w:start w:val="1"/>
      <w:numFmt w:val="bullet"/>
      <w:lvlText w:val="●"/>
      <w:lvlJc w:val="left"/>
      <w:pPr>
        <w:ind w:left="5040" w:hanging="360"/>
      </w:pPr>
    </w:lvl>
    <w:lvl w:ilvl="7" w:tplc="B330ACA2">
      <w:start w:val="1"/>
      <w:numFmt w:val="bullet"/>
      <w:lvlText w:val="●"/>
      <w:lvlJc w:val="left"/>
      <w:pPr>
        <w:ind w:left="5760" w:hanging="360"/>
      </w:pPr>
    </w:lvl>
    <w:lvl w:ilvl="8" w:tplc="63426832">
      <w:start w:val="1"/>
      <w:numFmt w:val="bullet"/>
      <w:lvlText w:val="●"/>
      <w:lvlJc w:val="left"/>
      <w:pPr>
        <w:ind w:left="6480" w:hanging="360"/>
      </w:pPr>
    </w:lvl>
  </w:abstractNum>
  <w:num w:numId="1" w16cid:durableId="447089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957"/>
    <w:rsid w:val="001C1957"/>
    <w:rsid w:val="002A3950"/>
    <w:rsid w:val="002F06C1"/>
    <w:rsid w:val="004B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221"/>
  <w15:docId w15:val="{92B50A8B-A526-4604-8FEF-C4D22FBB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Jake Cheung</cp:lastModifiedBy>
  <cp:revision>4</cp:revision>
  <dcterms:created xsi:type="dcterms:W3CDTF">2026-09-12T23:48:00Z</dcterms:created>
  <dcterms:modified xsi:type="dcterms:W3CDTF">2026-09-13T02:48:00Z</dcterms:modified>
</cp:coreProperties>
</file>