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736424">
      <w:pPr>
        <w:pStyle w:val="ProjectName"/>
        <w:rPr>
          <w:rFonts w:ascii="바탕체" w:hAnsi="바탕체"/>
        </w:rPr>
      </w:pPr>
      <w:r w:rsidRPr="00736424">
        <w:rPr>
          <w:rFonts w:ascii="바탕체" w:hAnsi="바탕체" w:hint="eastAsia"/>
        </w:rPr>
        <w:t>월별 Trend (</w:t>
      </w:r>
      <w:r w:rsidR="00A84CC8">
        <w:rPr>
          <w:rFonts w:ascii="바탕체" w:hAnsi="바탕체" w:hint="eastAsia"/>
        </w:rPr>
        <w:t>파이프라인</w:t>
      </w:r>
      <w:r w:rsidRPr="00736424">
        <w:rPr>
          <w:rFonts w:ascii="바탕체" w:hAnsi="바탕체" w:hint="eastAsia"/>
        </w:rPr>
        <w:t>)</w:t>
      </w:r>
      <w:r w:rsidR="00D260FB">
        <w:rPr>
          <w:rFonts w:ascii="바탕체" w:hAnsi="바탕체" w:hint="eastAsia"/>
        </w:rPr>
        <w:t xml:space="preserve"> </w:t>
      </w:r>
      <w:proofErr w:type="spellStart"/>
      <w:r w:rsidR="00D260FB">
        <w:rPr>
          <w:rFonts w:ascii="바탕체" w:hAnsi="바탕체" w:hint="eastAsia"/>
        </w:rPr>
        <w:t>유첨</w:t>
      </w:r>
      <w:proofErr w:type="spellEnd"/>
      <w:proofErr w:type="gramStart"/>
      <w:r w:rsidR="00D260FB">
        <w:rPr>
          <w:rFonts w:ascii="바탕체" w:hAnsi="바탕체" w:hint="eastAsia"/>
        </w:rPr>
        <w:t>.국가별</w:t>
      </w:r>
      <w:proofErr w:type="gramEnd"/>
      <w:r w:rsidR="00D260FB">
        <w:rPr>
          <w:rFonts w:ascii="바탕체" w:hAnsi="바탕체" w:hint="eastAsia"/>
        </w:rPr>
        <w:t>/제품별</w:t>
      </w:r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C866A8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C866A8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A84CC8" w:rsidRDefault="00A84CC8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2016.02.24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A84CC8" w:rsidRDefault="00A84CC8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84CC8">
              <w:rPr>
                <w:rFonts w:ascii="바탕체" w:hAnsi="바탕체" w:hint="eastAsia"/>
              </w:rPr>
              <w:t>2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24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C866A8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C866A8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C866A8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noProof/>
          </w:rPr>
          <w:t>월별</w:t>
        </w:r>
        <w:r w:rsidR="00736424" w:rsidRPr="007A37D2">
          <w:rPr>
            <w:rStyle w:val="ae"/>
            <w:noProof/>
          </w:rPr>
          <w:t xml:space="preserve"> Trend (</w:t>
        </w:r>
        <w:r w:rsidR="00A84CC8">
          <w:rPr>
            <w:rStyle w:val="ae"/>
            <w:rFonts w:hint="eastAsia"/>
            <w:noProof/>
          </w:rPr>
          <w:t>파이프라인</w:t>
        </w:r>
        <w:r w:rsidR="00736424" w:rsidRPr="007A37D2">
          <w:rPr>
            <w:rStyle w:val="ae"/>
            <w:noProof/>
          </w:rPr>
          <w:t xml:space="preserve">) </w:t>
        </w:r>
        <w:r w:rsidR="00736424" w:rsidRPr="007A37D2">
          <w:rPr>
            <w:rStyle w:val="ae"/>
            <w:noProof/>
          </w:rPr>
          <w:t>조회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736424" w:rsidRPr="007A37D2">
          <w:rPr>
            <w:rStyle w:val="ae"/>
            <w:rFonts w:ascii="GulimChe" w:hAnsi="GulimChe" w:cs="GulimChe"/>
            <w:noProof/>
          </w:rPr>
          <w:t>SP_CD_RES_SMR_</w:t>
        </w:r>
        <w:r w:rsidR="00D260FB">
          <w:rPr>
            <w:rStyle w:val="ae"/>
            <w:rFonts w:ascii="GulimChe" w:hAnsi="GulimChe" w:cs="GulimChe" w:hint="eastAsia"/>
            <w:noProof/>
          </w:rPr>
          <w:t>B2B_PIPE_DIV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C866A8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C866A8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736424" w:rsidRPr="00736424">
        <w:rPr>
          <w:rFonts w:ascii="바탕" w:eastAsia="바탕" w:hAnsi="바탕" w:cs="Courier New" w:hint="eastAsia"/>
        </w:rPr>
        <w:t>월별 Trend (</w:t>
      </w:r>
      <w:r w:rsidR="006D68D8">
        <w:rPr>
          <w:rFonts w:ascii="바탕" w:eastAsia="바탕" w:hAnsi="바탕" w:cs="Courier New" w:hint="eastAsia"/>
        </w:rPr>
        <w:t>파이프라인</w:t>
      </w:r>
      <w:r w:rsidR="00736424" w:rsidRPr="00736424">
        <w:rPr>
          <w:rFonts w:ascii="바탕" w:eastAsia="바탕" w:hAnsi="바탕" w:cs="Courier New" w:hint="eastAsia"/>
        </w:rPr>
        <w:t>)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6D68D8">
        <w:rPr>
          <w:rFonts w:ascii="바탕" w:eastAsia="바탕" w:hAnsi="바탕" w:cs="Courier New" w:hint="eastAsia"/>
        </w:rPr>
        <w:t>파이프라인</w:t>
      </w:r>
      <w:r w:rsidR="00AE6CF6" w:rsidRPr="00AE6CF6">
        <w:rPr>
          <w:rFonts w:ascii="바탕" w:eastAsia="바탕" w:hAnsi="바탕" w:cs="Courier New" w:hint="eastAsia"/>
        </w:rPr>
        <w:t xml:space="preserve"> 추이</w:t>
      </w:r>
      <w:r w:rsidR="001E58CF" w:rsidRPr="001E58CF">
        <w:rPr>
          <w:rFonts w:ascii="바탕" w:eastAsia="바탕" w:hAnsi="바탕" w:cs="Courier New"/>
        </w:rPr>
        <w:t>를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736424" w:rsidRPr="00736424">
        <w:rPr>
          <w:rFonts w:ascii="바탕" w:eastAsia="바탕" w:hAnsi="바탕" w:cs="Courier New" w:hint="eastAsia"/>
        </w:rPr>
        <w:t>월별 Trend (</w:t>
      </w:r>
      <w:r w:rsidR="00A34121">
        <w:rPr>
          <w:rFonts w:ascii="바탕" w:eastAsia="바탕" w:hAnsi="바탕" w:cs="Courier New" w:hint="eastAsia"/>
        </w:rPr>
        <w:t>파이프라인</w:t>
      </w:r>
      <w:r w:rsidR="00736424" w:rsidRPr="00736424">
        <w:rPr>
          <w:rFonts w:ascii="바탕" w:eastAsia="바탕" w:hAnsi="바탕" w:cs="Courier New" w:hint="eastAsia"/>
        </w:rPr>
        <w:t>)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081A1D"/>
    <w:p w:rsidR="00081A1D" w:rsidRDefault="00BD4956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.5pt;margin-top:6.45pt;width:60pt;height:36pt;z-index:251637760;v-text-anchor:middle" filled="f" fillcolor="#0c9">
            <v:textbox>
              <w:txbxContent>
                <w:p w:rsidR="00A34121" w:rsidRDefault="00A34121">
                  <w:r>
                    <w:rPr>
                      <w:rFonts w:hint="eastAsia"/>
                    </w:rPr>
                    <w:t>ORACLE</w:t>
                  </w:r>
                </w:p>
              </w:txbxContent>
            </v:textbox>
          </v:shape>
        </w:pict>
      </w:r>
    </w:p>
    <w:p w:rsidR="00081A1D" w:rsidRDefault="00BD495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77.55pt;margin-top:4.7pt;width:414.45pt;height:58.5pt;z-index:251636736;v-text-anchor:top-baseline" filled="f" fillcolor="#0c9" stroked="f">
            <v:textbox style="mso-next-textbox:#_x0000_s2190">
              <w:txbxContent>
                <w:p w:rsidR="00A84CC8" w:rsidRPr="00BD4956" w:rsidRDefault="00A34121" w:rsidP="001E58CF">
                  <w:pP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</w:pPr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TB_DSM_KPI_DIV_B2B_S 테이블에서 계정과목이 수주잔고(</w:t>
                  </w:r>
                  <w:r w:rsidRPr="00BD4956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BACKLOGBALAMT</w:t>
                  </w:r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)</w:t>
                  </w:r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/ </w:t>
                  </w:r>
                  <w:proofErr w:type="spellStart"/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순매출</w:t>
                  </w:r>
                  <w:proofErr w:type="spellEnd"/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(</w:t>
                  </w:r>
                  <w:r w:rsidR="00BD4956" w:rsidRPr="00BD4956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BEP20000B2B</w:t>
                  </w:r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) / </w:t>
                  </w:r>
                  <w:proofErr w:type="spellStart"/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순매출</w:t>
                  </w:r>
                  <w:proofErr w:type="spellEnd"/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_프로젝트(</w:t>
                  </w:r>
                  <w:r w:rsidR="00BD4956" w:rsidRPr="00BD4956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BEP20000B2BP</w:t>
                  </w:r>
                  <w:r w:rsidR="00BD4956"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) 인 계정을 추출하여 DB2에</w:t>
                  </w:r>
                </w:p>
                <w:p w:rsidR="00BD4956" w:rsidRPr="00BD4956" w:rsidRDefault="00BD4956" w:rsidP="00BD4956">
                  <w:pP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</w:pPr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IPTDWIF.IPTDWIF_RES_N2G_KPI_DIV_B2B_S에 적재</w:t>
                  </w:r>
                </w:p>
                <w:p w:rsidR="00BD4956" w:rsidRPr="00BD4956" w:rsidRDefault="00BD4956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SQL</w:t>
                  </w:r>
                  <w:proofErr w:type="spellStart"/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로</w:t>
                  </w:r>
                  <w:proofErr w:type="spellEnd"/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적재</w:t>
                  </w:r>
                </w:p>
              </w:txbxContent>
            </v:textbox>
          </v:shape>
        </w:pict>
      </w:r>
    </w:p>
    <w:p w:rsidR="00081A1D" w:rsidRDefault="00081A1D"/>
    <w:p w:rsidR="00081A1D" w:rsidRDefault="00BD4956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16" type="#_x0000_t34" style="position:absolute;margin-left:26.25pt;margin-top:7.95pt;width:71.25pt;height:61.5pt;z-index:251662336" o:connectortype="elbow" adj="10792,-129863,-29785">
            <v:stroke endarrow="block"/>
          </v:shape>
        </w:pict>
      </w:r>
    </w:p>
    <w:p w:rsidR="00AA6C94" w:rsidRDefault="00AA6C94"/>
    <w:p w:rsidR="00AA6C94" w:rsidRDefault="00AA6C94"/>
    <w:p w:rsidR="00AA6C94" w:rsidRDefault="00AA6C94"/>
    <w:p w:rsidR="00FF1785" w:rsidRDefault="00BD4956">
      <w:r>
        <w:rPr>
          <w:noProof/>
        </w:rPr>
        <w:pict>
          <v:shape id="_x0000_s2314" type="#_x0000_t22" style="position:absolute;margin-left:97.5pt;margin-top:9.95pt;width:60pt;height:36pt;z-index:251660288;v-text-anchor:middle" filled="f" fillcolor="#0c9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FF1785" w:rsidRDefault="00FF1785"/>
    <w:p w:rsidR="00FF1785" w:rsidRDefault="00BD4956">
      <w:r>
        <w:rPr>
          <w:noProof/>
        </w:rPr>
        <w:pict>
          <v:shape id="_x0000_s2318" type="#_x0000_t202" style="position:absolute;margin-left:200.25pt;margin-top:7.95pt;width:249pt;height:45pt;z-index:251664384;v-text-anchor:top-baseline" filled="f" fillcolor="#0c9" stroked="f">
            <v:textbox style="mso-next-textbox:#_x0000_s2318">
              <w:txbxContent>
                <w:p w:rsidR="00BD4956" w:rsidRPr="00BD4956" w:rsidRDefault="00BD495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proofErr w:type="gramStart"/>
                  <w:r w:rsidRPr="00BD4956">
                    <w:rPr>
                      <w:rFonts w:asciiTheme="minorHAnsi" w:eastAsiaTheme="minorHAnsi" w:hAnsiTheme="minorHAnsi"/>
                      <w:b/>
                      <w:szCs w:val="16"/>
                    </w:rPr>
                    <w:t>ETL_IDW.</w:t>
                  </w:r>
                  <w:proofErr w:type="gramEnd"/>
                  <w:r w:rsidR="00D260FB" w:rsidRPr="00D260FB">
                    <w:t xml:space="preserve"> </w:t>
                  </w:r>
                  <w:r w:rsidR="00D260FB" w:rsidRPr="00D260FB">
                    <w:rPr>
                      <w:rFonts w:asciiTheme="minorHAnsi" w:eastAsiaTheme="minorHAnsi" w:hAnsiTheme="minorHAnsi"/>
                      <w:b/>
                      <w:szCs w:val="16"/>
                    </w:rPr>
                    <w:t>SP_CD_RES_SMR_B2B_PIPE_DIV</w:t>
                  </w:r>
                  <w:r w:rsidRPr="00BD4956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 xml:space="preserve"> 프로시저로 EXCEL생성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7" type="#_x0000_t34" style="position:absolute;margin-left:2in;margin-top:13.95pt;width:61.5pt;height:34.5pt;rotation:90;flip:x;z-index:251663360" o:connectortype="elbow" adj="263,303339,-34507">
            <v:stroke endarrow="block"/>
          </v:shape>
        </w:pict>
      </w:r>
    </w:p>
    <w:p w:rsidR="00FF1785" w:rsidRDefault="00FF1785"/>
    <w:p w:rsidR="00957AFA" w:rsidRDefault="00957AFA" w:rsidP="00957AFA"/>
    <w:p w:rsidR="00957AFA" w:rsidRDefault="00957AFA" w:rsidP="00957AFA"/>
    <w:p w:rsidR="00957AFA" w:rsidRDefault="00957AFA" w:rsidP="005A1052">
      <w:pPr>
        <w:rPr>
          <w:rFonts w:hint="eastAsia"/>
        </w:rPr>
      </w:pPr>
    </w:p>
    <w:p w:rsidR="00A34121" w:rsidRDefault="00BD4956" w:rsidP="005A1052">
      <w:pPr>
        <w:rPr>
          <w:rFonts w:hint="eastAsia"/>
        </w:rPr>
      </w:pPr>
      <w:r>
        <w:rPr>
          <w:rFonts w:hint="eastAsia"/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157.5pt;margin-top:4.5pt;width:1in;height:48pt;z-index:251661312">
            <v:textbox>
              <w:txbxContent>
                <w:p w:rsidR="00BD4956" w:rsidRDefault="00BD4956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>
      <w:pPr>
        <w:rPr>
          <w:rFonts w:hint="eastAsia"/>
        </w:rPr>
      </w:pPr>
    </w:p>
    <w:p w:rsidR="00A34121" w:rsidRDefault="00A34121" w:rsidP="005A1052"/>
    <w:p w:rsidR="00081A1D" w:rsidRDefault="00736424">
      <w:pPr>
        <w:pStyle w:val="1"/>
      </w:pPr>
      <w:bookmarkStart w:id="31" w:name="_Toc442348358"/>
      <w:r w:rsidRPr="00736424">
        <w:rPr>
          <w:rFonts w:hint="eastAsia"/>
        </w:rPr>
        <w:lastRenderedPageBreak/>
        <w:t>월별</w:t>
      </w:r>
      <w:r w:rsidRPr="00736424">
        <w:rPr>
          <w:rFonts w:hint="eastAsia"/>
        </w:rPr>
        <w:t xml:space="preserve"> Trend (</w:t>
      </w:r>
      <w:r w:rsidR="006D68D8">
        <w:rPr>
          <w:rFonts w:hint="eastAsia"/>
        </w:rPr>
        <w:t>파이프라인</w:t>
      </w:r>
      <w:r w:rsidRPr="00736424">
        <w:rPr>
          <w:rFonts w:hint="eastAsia"/>
        </w:rPr>
        <w:t>)</w:t>
      </w:r>
      <w:r w:rsidR="00964CC6" w:rsidRPr="00964CC6">
        <w:rPr>
          <w:rFonts w:hint="eastAsia"/>
        </w:rPr>
        <w:t xml:space="preserve"> </w:t>
      </w:r>
      <w:r w:rsidR="00AE6CF6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360"/>
      <w:r>
        <w:rPr>
          <w:rFonts w:hint="eastAsia"/>
        </w:rPr>
        <w:t xml:space="preserve">2.1.1 </w:t>
      </w:r>
      <w:r w:rsidR="00736424" w:rsidRPr="00736424">
        <w:rPr>
          <w:rFonts w:ascii="GulimChe" w:hAnsi="GulimChe" w:cs="GulimChe"/>
          <w:color w:val="000000"/>
        </w:rPr>
        <w:t>SP_CD_RES_SMR_</w:t>
      </w:r>
      <w:r w:rsidR="00D260FB">
        <w:rPr>
          <w:rFonts w:ascii="GulimChe" w:hAnsi="GulimChe" w:cs="GulimChe" w:hint="eastAsia"/>
          <w:color w:val="000000"/>
        </w:rPr>
        <w:t>B2B_PIPE_DIV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736424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6D68D8">
              <w:rPr>
                <w:rFonts w:ascii="바탕" w:eastAsia="바탕" w:hAnsi="바탕" w:cs="Courier New" w:hint="eastAsia"/>
              </w:rPr>
              <w:t>파이프라인</w:t>
            </w:r>
            <w:r w:rsidRPr="00AE6CF6">
              <w:rPr>
                <w:rFonts w:ascii="바탕" w:eastAsia="바탕" w:hAnsi="바탕" w:cs="Courier New" w:hint="eastAsia"/>
              </w:rPr>
              <w:t xml:space="preserve"> 추이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>BEP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 xml:space="preserve">수익성(BEP)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E647E6">
              <w:rPr>
                <w:rFonts w:ascii="바탕" w:eastAsia="바탕" w:hAnsi="바탕" w:cs="Courier New" w:hint="eastAsia"/>
              </w:rPr>
              <w:t xml:space="preserve">B2B/B2C별 </w:t>
            </w:r>
            <w:r w:rsidR="00A34121">
              <w:rPr>
                <w:rFonts w:ascii="바탕" w:eastAsia="바탕" w:hAnsi="바탕" w:cs="Courier New" w:hint="eastAsia"/>
              </w:rPr>
              <w:t>수주잔고</w:t>
            </w:r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 xml:space="preserve">결과를 조회하여 그 결과를 </w:t>
            </w:r>
            <w:proofErr w:type="spellStart"/>
            <w:r>
              <w:rPr>
                <w:rFonts w:ascii="바탕" w:eastAsia="바탕" w:hAnsi="바탕" w:cs="Courier New" w:hint="eastAsia"/>
              </w:rPr>
              <w:t>프로시져를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호출한 화면에서 조회나 엑셀다운로드 등을 할 수 있도록 테이블(</w:t>
            </w:r>
            <w:r w:rsidR="00CA4AD7" w:rsidRPr="00CA4AD7">
              <w:rPr>
                <w:rFonts w:asciiTheme="minorHAnsi" w:eastAsiaTheme="minorHAnsi" w:hAnsiTheme="minorHAnsi" w:cs="GulimChe" w:hint="eastAsia"/>
                <w:b/>
              </w:rPr>
              <w:t>IPTDWIF.IPTDWIF_RES_N2G_KPI_DIV_B2B_S</w:t>
            </w:r>
            <w:r>
              <w:rPr>
                <w:rFonts w:ascii="바탕" w:eastAsia="바탕" w:hAnsi="바탕" w:cs="Courier New" w:hint="eastAsia"/>
              </w:rPr>
              <w:t>)에</w:t>
            </w:r>
            <w:r w:rsidR="00CA4AD7">
              <w:rPr>
                <w:rFonts w:ascii="바탕" w:eastAsia="바탕" w:hAnsi="바탕" w:cs="Courier New" w:hint="eastAsia"/>
              </w:rPr>
              <w:t xml:space="preserve">서 </w:t>
            </w:r>
            <w:r w:rsidR="00BF15AD">
              <w:rPr>
                <w:rFonts w:ascii="바탕" w:eastAsia="바탕" w:hAnsi="바탕" w:cs="Courier New" w:hint="eastAsia"/>
              </w:rPr>
              <w:t>조회함</w:t>
            </w:r>
          </w:p>
          <w:p w:rsidR="004E63DC" w:rsidRPr="00BF15AD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입력받은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CA4AD7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</w:t>
            </w:r>
            <w:r w:rsidR="00D260FB">
              <w:rPr>
                <w:rFonts w:ascii="바탕" w:eastAsia="바탕" w:hAnsi="바탕" w:cs="Courier New" w:hint="eastAsia"/>
              </w:rPr>
              <w:t>DIV</w:t>
            </w:r>
            <w:r w:rsidR="002845F4" w:rsidRPr="002845F4">
              <w:rPr>
                <w:rFonts w:ascii="바탕" w:eastAsia="바탕" w:hAnsi="바탕" w:cs="Courier New"/>
              </w:rPr>
              <w:t>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D260FB">
              <w:rPr>
                <w:rFonts w:ascii="바탕" w:eastAsia="바탕" w:hAnsi="바탕" w:cs="Courier New" w:hint="eastAsia"/>
              </w:rPr>
              <w:t>사업부</w:t>
            </w:r>
          </w:p>
          <w:p w:rsidR="00D260FB" w:rsidRDefault="00D260FB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>(3) P_SUBSDR_</w:t>
            </w:r>
            <w:proofErr w:type="gramStart"/>
            <w:r>
              <w:rPr>
                <w:rFonts w:ascii="바탕" w:eastAsia="바탕" w:hAnsi="바탕" w:cs="Courier New" w:hint="eastAsia"/>
              </w:rPr>
              <w:t>CD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법인</w:t>
            </w:r>
          </w:p>
          <w:p w:rsidR="004E63DC" w:rsidRPr="00D260FB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>SELECT B.KOR_NM             AS COL_INDEX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,CASE WHEN C.SEQ = 1 THEN 'ALL'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    WHEN C.SEQ = 2 THEN D.DISP_KOR_NM END AS NATION_NM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260FB">
              <w:rPr>
                <w:rFonts w:ascii="GulimChe" w:hAnsi="GulimChe" w:cs="GulimChe" w:hint="eastAsia"/>
              </w:rPr>
              <w:t xml:space="preserve">            </w:t>
            </w:r>
            <w:proofErr w:type="gramStart"/>
            <w:r w:rsidRPr="00D260FB">
              <w:rPr>
                <w:rFonts w:ascii="GulimChe" w:hAnsi="GulimChe" w:cs="GulimChe" w:hint="eastAsia"/>
              </w:rPr>
              <w:t>,CASE</w:t>
            </w:r>
            <w:proofErr w:type="gramEnd"/>
            <w:r w:rsidRPr="00D260FB">
              <w:rPr>
                <w:rFonts w:ascii="GulimChe" w:hAnsi="GulimChe" w:cs="GulimChe" w:hint="eastAsia"/>
              </w:rPr>
              <w:t xml:space="preserve"> WHEN A.ACCT_CD = 'BACKLOGBALAMT' THEN '</w:t>
            </w:r>
            <w:r w:rsidRPr="00D260FB">
              <w:rPr>
                <w:rFonts w:ascii="GulimChe" w:hAnsi="GulimChe" w:cs="GulimChe" w:hint="eastAsia"/>
              </w:rPr>
              <w:t>수주잔고</w:t>
            </w:r>
            <w:r w:rsidRPr="00D260FB">
              <w:rPr>
                <w:rFonts w:ascii="GulimChe" w:hAnsi="GulimChe" w:cs="GulimChe" w:hint="eastAsia"/>
              </w:rPr>
              <w:t>'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260FB">
              <w:rPr>
                <w:rFonts w:ascii="GulimChe" w:hAnsi="GulimChe" w:cs="GulimChe" w:hint="eastAsia"/>
              </w:rPr>
              <w:t xml:space="preserve">                  WHEN A.ACCT_CD = 'BEP20000B2B'   THEN '</w:t>
            </w:r>
            <w:r w:rsidRPr="00D260FB">
              <w:rPr>
                <w:rFonts w:ascii="GulimChe" w:hAnsi="GulimChe" w:cs="GulimChe" w:hint="eastAsia"/>
              </w:rPr>
              <w:t>매출</w:t>
            </w:r>
            <w:r w:rsidRPr="00D260FB">
              <w:rPr>
                <w:rFonts w:ascii="GulimChe" w:hAnsi="GulimChe" w:cs="GulimChe" w:hint="eastAsia"/>
              </w:rPr>
              <w:t>(</w:t>
            </w:r>
            <w:r w:rsidRPr="00D260FB">
              <w:rPr>
                <w:rFonts w:ascii="GulimChe" w:hAnsi="GulimChe" w:cs="GulimChe" w:hint="eastAsia"/>
              </w:rPr>
              <w:t>전체</w:t>
            </w:r>
            <w:r w:rsidRPr="00D260FB">
              <w:rPr>
                <w:rFonts w:ascii="GulimChe" w:hAnsi="GulimChe" w:cs="GulimChe" w:hint="eastAsia"/>
              </w:rPr>
              <w:t>)'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260FB">
              <w:rPr>
                <w:rFonts w:ascii="GulimChe" w:hAnsi="GulimChe" w:cs="GulimChe" w:hint="eastAsia"/>
              </w:rPr>
              <w:t xml:space="preserve">                  WHEN A.ACCT_CD = </w:t>
            </w:r>
            <w:proofErr w:type="gramStart"/>
            <w:r w:rsidRPr="00D260FB">
              <w:rPr>
                <w:rFonts w:ascii="GulimChe" w:hAnsi="GulimChe" w:cs="GulimChe" w:hint="eastAsia"/>
              </w:rPr>
              <w:t>'BEP20000B2BP'  THEN</w:t>
            </w:r>
            <w:proofErr w:type="gramEnd"/>
            <w:r w:rsidRPr="00D260FB">
              <w:rPr>
                <w:rFonts w:ascii="GulimChe" w:hAnsi="GulimChe" w:cs="GulimChe" w:hint="eastAsia"/>
              </w:rPr>
              <w:t xml:space="preserve"> '</w:t>
            </w:r>
            <w:r w:rsidRPr="00D260FB">
              <w:rPr>
                <w:rFonts w:ascii="GulimChe" w:hAnsi="GulimChe" w:cs="GulimChe" w:hint="eastAsia"/>
              </w:rPr>
              <w:t>매출</w:t>
            </w:r>
            <w:r w:rsidRPr="00D260FB">
              <w:rPr>
                <w:rFonts w:ascii="GulimChe" w:hAnsi="GulimChe" w:cs="GulimChe" w:hint="eastAsia"/>
              </w:rPr>
              <w:t>(</w:t>
            </w:r>
            <w:r w:rsidRPr="00D260FB">
              <w:rPr>
                <w:rFonts w:ascii="GulimChe" w:hAnsi="GulimChe" w:cs="GulimChe" w:hint="eastAsia"/>
              </w:rPr>
              <w:t>프로젝트</w:t>
            </w:r>
            <w:r w:rsidRPr="00D260FB">
              <w:rPr>
                <w:rFonts w:ascii="GulimChe" w:hAnsi="GulimChe" w:cs="GulimChe" w:hint="eastAsia"/>
              </w:rPr>
              <w:t>)' END AS KPI_CD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,A.BASE_YYYYMM        AS BASE_YYYYMM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,MIN(B.DISP_SEQ)      AS DISP_SEQ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,MIN(B.ENG_NM)        AS COL_INDEX_ENG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FROM   IPTDWIF.IPTDWIF_RES_N2G_KPI_DIV_B2B_S A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,(SELECT DIVISION_CODE AS DIV_CD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      ,DISPLAY_NAME1 AS KOR_NM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      ,DISPLAY_NAME2 AS ENG_NM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      ,DISPLAY_ORDER_SEQ AS DISP_SEQ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FROM   IPTDW.IPTDW_RES_DIM_CORP_DISPLAY_MASTER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WHERE  CODE_TYPE = 'PIPELINE'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AND    USE_FLAG = 'Y'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AND    DIVISION_CODE = P_DIV_CD ) B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,(SELECT 1 AS SEQ FROM SYSIBM.SYSDUMMY1 UNION ALL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SELECT 2 AS SEQ FROM SYSIBM.SYSDUMMY1) C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,(SELECT A.CORPORATION_CODE AS CORP_CD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      ,B.DISPLAY_NAME2 AS DISP_ENG_NM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lastRenderedPageBreak/>
              <w:t xml:space="preserve">                    ,B.DISPLAY_NAME1 AS DISP_KOR_NM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      ,A.DISPLAY_ORDER_SEQ AS DISP_SEQ     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FROM   IPTDW.IPTDW_RES_DIM_CORP_DISPLAY_MASTER A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      ,IPTDW.IPTDW_RES_DIM_CORP_DISPLAY_MASTER B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WHERE  A.CODE_TYPE = 'SMART_CORP_NATION'        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AND    B.CODE_TYPE = 'SMART_CNTRY_NAME'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AND    A.DIVISION_CODE = B.DIVISION_CODE) D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D260FB">
              <w:rPr>
                <w:rFonts w:ascii="GulimChe" w:hAnsi="GulimChe" w:cs="GulimChe"/>
              </w:rPr>
              <w:t>to_date</w:t>
            </w:r>
            <w:proofErr w:type="spellEnd"/>
            <w:r w:rsidRPr="00D260FB">
              <w:rPr>
                <w:rFonts w:ascii="GulimChe" w:hAnsi="GulimChe" w:cs="GulimChe"/>
              </w:rPr>
              <w:t>(P_BASIS_YYYYMM, 'YYYYMM') - 24 MONTH, 'YYYYMM') AND P_BASIS_YYYYMM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AND    A.SUBSDR_CD = P_SUBSDR_CD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AND    A.SUBSDR_CD = D.CORP_CD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AND    A.ACCT_CD in ( 'BACKLOGBALAMT','BEP20000B2B','BEP20000B2BP')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AND    A.DIV_BIZ_TYPE_CD = 'B2B_ALL'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AND    A.PROD_CD = B.DIV_CD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AND    A.SCENARIO_TYPE_CD = 'AC0'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GROUP BY B.KOR_NM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,CASE WHEN C.SEQ = 1 THEN 'ALL'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      WHEN C.SEQ = 2 THEN D.DISP_KOR_NM END 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260FB">
              <w:rPr>
                <w:rFonts w:ascii="GulimChe" w:hAnsi="GulimChe" w:cs="GulimChe" w:hint="eastAsia"/>
              </w:rPr>
              <w:t xml:space="preserve">              </w:t>
            </w:r>
            <w:proofErr w:type="gramStart"/>
            <w:r w:rsidRPr="00D260FB">
              <w:rPr>
                <w:rFonts w:ascii="GulimChe" w:hAnsi="GulimChe" w:cs="GulimChe" w:hint="eastAsia"/>
              </w:rPr>
              <w:t>,CASE</w:t>
            </w:r>
            <w:proofErr w:type="gramEnd"/>
            <w:r w:rsidRPr="00D260FB">
              <w:rPr>
                <w:rFonts w:ascii="GulimChe" w:hAnsi="GulimChe" w:cs="GulimChe" w:hint="eastAsia"/>
              </w:rPr>
              <w:t xml:space="preserve"> WHEN A.ACCT_CD = 'BACKLOGBALAMT' THEN '</w:t>
            </w:r>
            <w:r w:rsidRPr="00D260FB">
              <w:rPr>
                <w:rFonts w:ascii="GulimChe" w:hAnsi="GulimChe" w:cs="GulimChe" w:hint="eastAsia"/>
              </w:rPr>
              <w:t>수주잔고</w:t>
            </w:r>
            <w:r w:rsidRPr="00D260FB">
              <w:rPr>
                <w:rFonts w:ascii="GulimChe" w:hAnsi="GulimChe" w:cs="GulimChe" w:hint="eastAsia"/>
              </w:rPr>
              <w:t>'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260FB">
              <w:rPr>
                <w:rFonts w:ascii="GulimChe" w:hAnsi="GulimChe" w:cs="GulimChe" w:hint="eastAsia"/>
              </w:rPr>
              <w:t xml:space="preserve">                        WHEN A.ACCT_CD = 'BEP20000B2B'   THEN '</w:t>
            </w:r>
            <w:r w:rsidRPr="00D260FB">
              <w:rPr>
                <w:rFonts w:ascii="GulimChe" w:hAnsi="GulimChe" w:cs="GulimChe" w:hint="eastAsia"/>
              </w:rPr>
              <w:t>매출</w:t>
            </w:r>
            <w:r w:rsidRPr="00D260FB">
              <w:rPr>
                <w:rFonts w:ascii="GulimChe" w:hAnsi="GulimChe" w:cs="GulimChe" w:hint="eastAsia"/>
              </w:rPr>
              <w:t>(</w:t>
            </w:r>
            <w:r w:rsidRPr="00D260FB">
              <w:rPr>
                <w:rFonts w:ascii="GulimChe" w:hAnsi="GulimChe" w:cs="GulimChe" w:hint="eastAsia"/>
              </w:rPr>
              <w:t>전체</w:t>
            </w:r>
            <w:r w:rsidRPr="00D260FB">
              <w:rPr>
                <w:rFonts w:ascii="GulimChe" w:hAnsi="GulimChe" w:cs="GulimChe" w:hint="eastAsia"/>
              </w:rPr>
              <w:t>)'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D260FB">
              <w:rPr>
                <w:rFonts w:ascii="GulimChe" w:hAnsi="GulimChe" w:cs="GulimChe" w:hint="eastAsia"/>
              </w:rPr>
              <w:t xml:space="preserve">                        WHEN A.ACCT_CD = </w:t>
            </w:r>
            <w:proofErr w:type="gramStart"/>
            <w:r w:rsidRPr="00D260FB">
              <w:rPr>
                <w:rFonts w:ascii="GulimChe" w:hAnsi="GulimChe" w:cs="GulimChe" w:hint="eastAsia"/>
              </w:rPr>
              <w:t>'BEP20000B2BP'  THEN</w:t>
            </w:r>
            <w:proofErr w:type="gramEnd"/>
            <w:r w:rsidRPr="00D260FB">
              <w:rPr>
                <w:rFonts w:ascii="GulimChe" w:hAnsi="GulimChe" w:cs="GulimChe" w:hint="eastAsia"/>
              </w:rPr>
              <w:t xml:space="preserve"> '</w:t>
            </w:r>
            <w:r w:rsidRPr="00D260FB">
              <w:rPr>
                <w:rFonts w:ascii="GulimChe" w:hAnsi="GulimChe" w:cs="GulimChe" w:hint="eastAsia"/>
              </w:rPr>
              <w:t>매출</w:t>
            </w:r>
            <w:r w:rsidRPr="00D260FB">
              <w:rPr>
                <w:rFonts w:ascii="GulimChe" w:hAnsi="GulimChe" w:cs="GulimChe" w:hint="eastAsia"/>
              </w:rPr>
              <w:t>(</w:t>
            </w:r>
            <w:r w:rsidRPr="00D260FB">
              <w:rPr>
                <w:rFonts w:ascii="GulimChe" w:hAnsi="GulimChe" w:cs="GulimChe" w:hint="eastAsia"/>
              </w:rPr>
              <w:t>프로젝트</w:t>
            </w:r>
            <w:r w:rsidRPr="00D260FB">
              <w:rPr>
                <w:rFonts w:ascii="GulimChe" w:hAnsi="GulimChe" w:cs="GulimChe" w:hint="eastAsia"/>
              </w:rPr>
              <w:t>)' END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        ,A.BASE_YYYYMM</w:t>
            </w:r>
          </w:p>
          <w:p w:rsidR="00D260FB" w:rsidRPr="00D260FB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34121" w:rsidRPr="00736424" w:rsidRDefault="00D260FB" w:rsidP="00D260FB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D260FB">
              <w:rPr>
                <w:rFonts w:ascii="GulimChe" w:hAnsi="GulimChe" w:cs="GulimChe"/>
              </w:rPr>
              <w:t xml:space="preserve">      WITH UR;</w:t>
            </w:r>
          </w:p>
          <w:p w:rsidR="004E63DC" w:rsidRPr="00964CC6" w:rsidRDefault="00736424" w:rsidP="00736424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736424">
              <w:rPr>
                <w:rFonts w:ascii="GulimChe" w:hAnsi="GulimChe" w:cs="GulimChe"/>
              </w:rPr>
              <w:t>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C40C5E">
            <w:pPr>
              <w:rPr>
                <w:rFonts w:eastAsia="바탕" w:cs="Arial"/>
                <w:color w:val="000000"/>
              </w:rPr>
            </w:pPr>
            <w:r w:rsidRPr="00CA4AD7">
              <w:rPr>
                <w:rFonts w:ascii="GulimChe" w:hAnsi="GulimChe" w:cs="GulimChe"/>
              </w:rPr>
              <w:t>IPTDWIF.IPTDWIF_RES_N2G_KPI_DIV_B2B_S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081A1D"/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081A1D"/>
        </w:tc>
      </w:tr>
      <w:tr w:rsidR="003C60B2" w:rsidTr="00C40C5E">
        <w:tc>
          <w:tcPr>
            <w:tcW w:w="4949" w:type="dxa"/>
          </w:tcPr>
          <w:p w:rsidR="003C60B2" w:rsidRPr="004E63DC" w:rsidRDefault="00C40C5E" w:rsidP="004E63DC">
            <w:pPr>
              <w:rPr>
                <w:rFonts w:eastAsia="바탕" w:cs="Arial"/>
                <w:color w:val="000000"/>
              </w:rPr>
            </w:pPr>
            <w:r w:rsidRPr="00CA4AD7">
              <w:rPr>
                <w:rFonts w:ascii="GulimChe" w:hAnsi="GulimChe" w:cs="GulimChe"/>
              </w:rPr>
              <w:t>IPTDW.IPTDW_RES_DIM_CORP_DISPLAY_MASTER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351732" w:rsidRDefault="00521358" w:rsidP="0073567B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521358" w:rsidRDefault="00521358"/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7964" w:rsidRDefault="00F57964">
      <w:r>
        <w:separator/>
      </w:r>
    </w:p>
  </w:endnote>
  <w:endnote w:type="continuationSeparator" w:id="0">
    <w:p w:rsidR="00F57964" w:rsidRDefault="00F579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proofErr w:type="spellStart"/>
    <w:r w:rsidRPr="00964CC6">
      <w:rPr>
        <w:rFonts w:eastAsia="굴림" w:hint="eastAsia"/>
        <w:i w:val="0"/>
        <w:sz w:val="16"/>
      </w:rPr>
      <w:t>프로시져설계서</w:t>
    </w:r>
    <w:proofErr w:type="spellEnd"/>
    <w:r w:rsidRPr="00964CC6">
      <w:rPr>
        <w:rFonts w:eastAsia="굴림" w:hint="eastAsia"/>
        <w:i w:val="0"/>
        <w:sz w:val="16"/>
      </w:rPr>
      <w:t>_</w:t>
    </w:r>
    <w:r w:rsidRPr="00736424">
      <w:rPr>
        <w:rFonts w:hint="eastAsia"/>
      </w:rPr>
      <w:t xml:space="preserve"> </w:t>
    </w:r>
    <w:r w:rsidRPr="00736424">
      <w:rPr>
        <w:rFonts w:eastAsia="굴림" w:hint="eastAsia"/>
        <w:i w:val="0"/>
        <w:sz w:val="16"/>
      </w:rPr>
      <w:t>월별</w:t>
    </w:r>
    <w:r w:rsidRPr="00736424">
      <w:rPr>
        <w:rFonts w:eastAsia="굴림" w:hint="eastAsia"/>
        <w:i w:val="0"/>
        <w:sz w:val="16"/>
      </w:rPr>
      <w:t xml:space="preserve"> Trend (Overhead)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>
      <w:rPr>
        <w:rFonts w:ascii="Times New Roman" w:eastAsia="굴림"/>
        <w:i w:val="0"/>
        <w:sz w:val="16"/>
      </w:rPr>
      <w:fldChar w:fldCharType="separate"/>
    </w:r>
    <w:r w:rsidR="00D260FB">
      <w:rPr>
        <w:rFonts w:ascii="Times New Roman" w:eastAsia="굴림"/>
        <w:i w:val="0"/>
        <w:noProof/>
        <w:sz w:val="16"/>
      </w:rPr>
      <w:t>1</w:t>
    </w:r>
    <w:r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A84CC8" w:rsidRDefault="00A84CC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7964" w:rsidRDefault="00F57964">
      <w:r>
        <w:separator/>
      </w:r>
    </w:p>
  </w:footnote>
  <w:footnote w:type="continuationSeparator" w:id="0">
    <w:p w:rsidR="00F57964" w:rsidRDefault="00F5796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4CC8" w:rsidRDefault="00A84CC8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18FA"/>
    <w:rsid w:val="00134983"/>
    <w:rsid w:val="00137027"/>
    <w:rsid w:val="001412FC"/>
    <w:rsid w:val="00141DF4"/>
    <w:rsid w:val="0014467E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209C0"/>
    <w:rsid w:val="00521358"/>
    <w:rsid w:val="0052402A"/>
    <w:rsid w:val="00525549"/>
    <w:rsid w:val="005313BD"/>
    <w:rsid w:val="00532D89"/>
    <w:rsid w:val="00544D50"/>
    <w:rsid w:val="00554D49"/>
    <w:rsid w:val="005551A9"/>
    <w:rsid w:val="005564BF"/>
    <w:rsid w:val="0055748A"/>
    <w:rsid w:val="00561061"/>
    <w:rsid w:val="00561E6A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C1837"/>
    <w:rsid w:val="00CC6106"/>
    <w:rsid w:val="00CD2EF8"/>
    <w:rsid w:val="00CE0C49"/>
    <w:rsid w:val="00CE35A4"/>
    <w:rsid w:val="00CE4E32"/>
    <w:rsid w:val="00CF7CF8"/>
    <w:rsid w:val="00D04F00"/>
    <w:rsid w:val="00D0585F"/>
    <w:rsid w:val="00D100CF"/>
    <w:rsid w:val="00D1289F"/>
    <w:rsid w:val="00D130E1"/>
    <w:rsid w:val="00D23B86"/>
    <w:rsid w:val="00D258B9"/>
    <w:rsid w:val="00D260FB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30D0"/>
    <w:rsid w:val="00EB152D"/>
    <w:rsid w:val="00EB1E8D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57964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433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1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16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4465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sejiwon</cp:lastModifiedBy>
  <cp:revision>3</cp:revision>
  <cp:lastPrinted>2004-03-03T09:26:00Z</cp:lastPrinted>
  <dcterms:created xsi:type="dcterms:W3CDTF">2016-02-24T02:03:00Z</dcterms:created>
  <dcterms:modified xsi:type="dcterms:W3CDTF">2016-02-24T02:09:00Z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