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69E15" w14:textId="77777777" w:rsidR="00842D11" w:rsidRPr="00DD1E3D" w:rsidRDefault="00842D11" w:rsidP="00DD1E3D">
      <w:pPr>
        <w:pStyle w:val="Heading3"/>
        <w:jc w:val="center"/>
        <w:rPr>
          <w:rFonts w:ascii="Times New Roman" w:hAnsi="Times New Roman" w:cs="Times New Roman"/>
          <w:color w:val="auto"/>
          <w:sz w:val="24"/>
          <w:szCs w:val="24"/>
        </w:rPr>
      </w:pPr>
      <w:r w:rsidRPr="00DD1E3D">
        <w:rPr>
          <w:rStyle w:val="Strong"/>
          <w:rFonts w:ascii="Times New Roman" w:hAnsi="Times New Roman" w:cs="Times New Roman"/>
          <w:color w:val="auto"/>
          <w:sz w:val="24"/>
          <w:szCs w:val="24"/>
        </w:rPr>
        <w:t>Analysis Resources</w:t>
      </w:r>
    </w:p>
    <w:p w14:paraId="378B895C" w14:textId="77777777" w:rsidR="00842D11" w:rsidRPr="00DD1E3D" w:rsidRDefault="00842D11" w:rsidP="00DD1E3D">
      <w:pPr>
        <w:pStyle w:val="isselectedend"/>
        <w:jc w:val="both"/>
      </w:pPr>
      <w:r w:rsidRPr="00DD1E3D">
        <w:t>To ensure full transparency and reproducibility, all statistical scripts, analytical procedures, and model specifications used in this study have been systematically documented and made available.</w:t>
      </w:r>
    </w:p>
    <w:p w14:paraId="3E7EB176" w14:textId="106598A8" w:rsidR="00842D11" w:rsidRPr="00DD1E3D" w:rsidRDefault="00842D11" w:rsidP="00DD1E3D">
      <w:pPr>
        <w:pStyle w:val="isselectedend"/>
        <w:jc w:val="both"/>
      </w:pPr>
      <w:r w:rsidRPr="00DD1E3D">
        <w:t>The analytical workflow consists of three complementary techniques: Partial Least Squares Structural Equation Modeling (PLS-SEM), fuzzy-set Qualitative Comparative Analysis (fsQCA), and Necessary Condition Analysis (NCA).</w:t>
      </w:r>
    </w:p>
    <w:p w14:paraId="1D6ADC01" w14:textId="77777777" w:rsidR="00842D11" w:rsidRPr="00DD1E3D" w:rsidRDefault="00842D11" w:rsidP="00DD1E3D">
      <w:pPr>
        <w:pStyle w:val="Heading4"/>
        <w:jc w:val="both"/>
        <w:rPr>
          <w:rFonts w:ascii="Times New Roman" w:hAnsi="Times New Roman" w:cs="Times New Roman"/>
          <w:color w:val="auto"/>
        </w:rPr>
      </w:pPr>
      <w:r w:rsidRPr="00DD1E3D">
        <w:rPr>
          <w:rStyle w:val="Strong"/>
          <w:rFonts w:ascii="Times New Roman" w:hAnsi="Times New Roman" w:cs="Times New Roman"/>
          <w:b w:val="0"/>
          <w:bCs w:val="0"/>
          <w:color w:val="auto"/>
        </w:rPr>
        <w:t>(1) PLS-SEM Model Estimation</w:t>
      </w:r>
    </w:p>
    <w:p w14:paraId="2786C790" w14:textId="77777777" w:rsidR="00842D11" w:rsidRPr="00DD1E3D" w:rsidRDefault="00842D11" w:rsidP="00DD1E3D">
      <w:pPr>
        <w:pStyle w:val="isselectedend"/>
        <w:jc w:val="both"/>
      </w:pPr>
      <w:r w:rsidRPr="00DD1E3D">
        <w:t>PLS-SEM was employed to examine the linear relationships among constructs and to test the proposed hypotheses. The analysis followed a two-stage approach, including measurement model evaluation and structural model assessment.</w:t>
      </w:r>
    </w:p>
    <w:p w14:paraId="78A2B7CD" w14:textId="77777777" w:rsidR="00842D11" w:rsidRPr="00DD1E3D" w:rsidRDefault="00842D11" w:rsidP="00DD1E3D">
      <w:pPr>
        <w:pStyle w:val="isselectedend"/>
        <w:jc w:val="both"/>
      </w:pPr>
      <w:r w:rsidRPr="00DD1E3D">
        <w:t>The measurement model was assessed in terms of internal consistency reliability (Cronbach’s alpha and composite reliability), convergent validity (average variance extracted – AVE), and discriminant validity (Heterotrait–Monotrait ratio – HTMT). The structural model was evaluated using path coefficients, bootstrapping procedures, coefficient of determination (R²), effect sizes (f²), and predictive relevance (Q²).</w:t>
      </w:r>
    </w:p>
    <w:p w14:paraId="566F4576" w14:textId="5FF9A694" w:rsidR="00842D11" w:rsidRPr="00DD1E3D" w:rsidRDefault="00842D11" w:rsidP="00DD1E3D">
      <w:pPr>
        <w:pStyle w:val="isselectedend"/>
        <w:jc w:val="both"/>
      </w:pPr>
      <w:r w:rsidRPr="00DD1E3D">
        <w:t>All estimation procedures, bootstrapping routines, and model outputs are fully documented in the provided scripts.</w:t>
      </w:r>
    </w:p>
    <w:p w14:paraId="05C8ADB7" w14:textId="77777777" w:rsidR="00842D11" w:rsidRPr="00DD1E3D" w:rsidRDefault="00842D11" w:rsidP="00DD1E3D">
      <w:pPr>
        <w:pStyle w:val="Heading4"/>
        <w:jc w:val="both"/>
        <w:rPr>
          <w:rFonts w:ascii="Times New Roman" w:hAnsi="Times New Roman" w:cs="Times New Roman"/>
          <w:color w:val="auto"/>
        </w:rPr>
      </w:pPr>
      <w:r w:rsidRPr="00DD1E3D">
        <w:rPr>
          <w:rStyle w:val="Strong"/>
          <w:rFonts w:ascii="Times New Roman" w:hAnsi="Times New Roman" w:cs="Times New Roman"/>
          <w:b w:val="0"/>
          <w:bCs w:val="0"/>
          <w:color w:val="auto"/>
        </w:rPr>
        <w:t>(2) fsQCA Procedures</w:t>
      </w:r>
    </w:p>
    <w:p w14:paraId="7EBD03E4" w14:textId="77777777" w:rsidR="00842D11" w:rsidRPr="00DD1E3D" w:rsidRDefault="00842D11" w:rsidP="00DD1E3D">
      <w:pPr>
        <w:pStyle w:val="isselectedend"/>
        <w:jc w:val="both"/>
      </w:pPr>
      <w:r w:rsidRPr="00DD1E3D">
        <w:t>fsQCA was applied to identify configurational pathways leading to high levels of digital procurement transformation. The analysis involved three main steps:</w:t>
      </w:r>
    </w:p>
    <w:p w14:paraId="344B4DCC" w14:textId="77777777" w:rsidR="00842D11" w:rsidRPr="00DD1E3D" w:rsidRDefault="00842D11" w:rsidP="00DD1E3D">
      <w:pPr>
        <w:numPr>
          <w:ilvl w:val="0"/>
          <w:numId w:val="1"/>
        </w:numPr>
        <w:spacing w:before="100" w:beforeAutospacing="1" w:after="100" w:afterAutospacing="1" w:line="240" w:lineRule="auto"/>
        <w:jc w:val="both"/>
        <w:rPr>
          <w:rFonts w:ascii="Times New Roman" w:hAnsi="Times New Roman" w:cs="Times New Roman"/>
        </w:rPr>
      </w:pPr>
      <w:r w:rsidRPr="00DD1E3D">
        <w:rPr>
          <w:rStyle w:val="Strong"/>
          <w:rFonts w:ascii="Times New Roman" w:hAnsi="Times New Roman" w:cs="Times New Roman"/>
        </w:rPr>
        <w:t>Calibration:</w:t>
      </w:r>
      <w:r w:rsidRPr="00DD1E3D">
        <w:rPr>
          <w:rFonts w:ascii="Times New Roman" w:hAnsi="Times New Roman" w:cs="Times New Roman"/>
        </w:rPr>
        <w:t xml:space="preserve"> All variables were transformed into fuzzy-set membership scores using the direct calibration method based on three qualitative anchors: full membership, crossover point, and full non-membership.</w:t>
      </w:r>
    </w:p>
    <w:p w14:paraId="47F44A46" w14:textId="77777777" w:rsidR="00842D11" w:rsidRPr="00DD1E3D" w:rsidRDefault="00842D11" w:rsidP="00DD1E3D">
      <w:pPr>
        <w:numPr>
          <w:ilvl w:val="0"/>
          <w:numId w:val="1"/>
        </w:numPr>
        <w:spacing w:before="100" w:beforeAutospacing="1" w:after="100" w:afterAutospacing="1" w:line="240" w:lineRule="auto"/>
        <w:jc w:val="both"/>
        <w:rPr>
          <w:rFonts w:ascii="Times New Roman" w:hAnsi="Times New Roman" w:cs="Times New Roman"/>
        </w:rPr>
      </w:pPr>
      <w:r w:rsidRPr="00DD1E3D">
        <w:rPr>
          <w:rStyle w:val="Strong"/>
          <w:rFonts w:ascii="Times New Roman" w:hAnsi="Times New Roman" w:cs="Times New Roman"/>
        </w:rPr>
        <w:t>Truth Table Construction:</w:t>
      </w:r>
      <w:r w:rsidRPr="00DD1E3D">
        <w:rPr>
          <w:rFonts w:ascii="Times New Roman" w:hAnsi="Times New Roman" w:cs="Times New Roman"/>
        </w:rPr>
        <w:t xml:space="preserve"> A truth table was generated with predefined frequency and consistency thresholds to identify empirically relevant configurations.</w:t>
      </w:r>
    </w:p>
    <w:p w14:paraId="01D23DFE" w14:textId="77777777" w:rsidR="00842D11" w:rsidRPr="00DD1E3D" w:rsidRDefault="00842D11" w:rsidP="00DD1E3D">
      <w:pPr>
        <w:numPr>
          <w:ilvl w:val="0"/>
          <w:numId w:val="1"/>
        </w:numPr>
        <w:spacing w:before="100" w:beforeAutospacing="1" w:after="100" w:afterAutospacing="1" w:line="240" w:lineRule="auto"/>
        <w:jc w:val="both"/>
        <w:rPr>
          <w:rFonts w:ascii="Times New Roman" w:hAnsi="Times New Roman" w:cs="Times New Roman"/>
        </w:rPr>
      </w:pPr>
      <w:r w:rsidRPr="00DD1E3D">
        <w:rPr>
          <w:rStyle w:val="Strong"/>
          <w:rFonts w:ascii="Times New Roman" w:hAnsi="Times New Roman" w:cs="Times New Roman"/>
        </w:rPr>
        <w:t>Solution Derivation:</w:t>
      </w:r>
      <w:r w:rsidRPr="00DD1E3D">
        <w:rPr>
          <w:rFonts w:ascii="Times New Roman" w:hAnsi="Times New Roman" w:cs="Times New Roman"/>
        </w:rPr>
        <w:t xml:space="preserve"> Intermediate and parsimonious solutions were computed to determine sufficient configurations, with consistency and coverage used as evaluation criteria.</w:t>
      </w:r>
    </w:p>
    <w:p w14:paraId="2EFA842A" w14:textId="30AF3381" w:rsidR="00842D11" w:rsidRPr="00DD1E3D" w:rsidRDefault="00842D11" w:rsidP="00DD1E3D">
      <w:pPr>
        <w:pStyle w:val="isselectedend"/>
        <w:jc w:val="both"/>
      </w:pPr>
      <w:r w:rsidRPr="00DD1E3D">
        <w:t>Robustness checks were conducted by varying calibration thresholds and consistency cut-offs to ensure the stability of results.</w:t>
      </w:r>
    </w:p>
    <w:p w14:paraId="5BAD15CC" w14:textId="77777777" w:rsidR="00842D11" w:rsidRPr="00DD1E3D" w:rsidRDefault="00842D11" w:rsidP="00DD1E3D">
      <w:pPr>
        <w:pStyle w:val="Heading4"/>
        <w:jc w:val="both"/>
        <w:rPr>
          <w:rFonts w:ascii="Times New Roman" w:hAnsi="Times New Roman" w:cs="Times New Roman"/>
          <w:color w:val="auto"/>
        </w:rPr>
      </w:pPr>
      <w:r w:rsidRPr="00DD1E3D">
        <w:rPr>
          <w:rStyle w:val="Strong"/>
          <w:rFonts w:ascii="Times New Roman" w:hAnsi="Times New Roman" w:cs="Times New Roman"/>
          <w:b w:val="0"/>
          <w:bCs w:val="0"/>
          <w:color w:val="auto"/>
        </w:rPr>
        <w:lastRenderedPageBreak/>
        <w:t>(3) Necessary Condition Analysis (NCA)</w:t>
      </w:r>
    </w:p>
    <w:p w14:paraId="1A2A2B72" w14:textId="77777777" w:rsidR="00842D11" w:rsidRPr="00DD1E3D" w:rsidRDefault="00842D11" w:rsidP="00DD1E3D">
      <w:pPr>
        <w:pStyle w:val="isselectedend"/>
        <w:jc w:val="both"/>
      </w:pPr>
      <w:r w:rsidRPr="00DD1E3D">
        <w:t>Where applicable, NCA was conducted to identify necessary conditions for achieving high procurement performance. The analysis involved calculating effect sizes and bottleneck levels to determine whether specific conditions must be present for the outcome to occur.</w:t>
      </w:r>
    </w:p>
    <w:p w14:paraId="26A7782B" w14:textId="3E698AEA" w:rsidR="00842D11" w:rsidRPr="00DD1E3D" w:rsidRDefault="00842D11" w:rsidP="00DD1E3D">
      <w:pPr>
        <w:pStyle w:val="isselectedend"/>
        <w:jc w:val="both"/>
      </w:pPr>
      <w:r w:rsidRPr="00DD1E3D">
        <w:t xml:space="preserve">The NCA procedure complements PLS-SEM and fsQCA by distinguishing </w:t>
      </w:r>
      <w:r w:rsidR="00DD1E3D">
        <w:t>between necessary and sufficient conditions, thereby enhancing the study's explanatory power</w:t>
      </w:r>
      <w:r w:rsidRPr="00DD1E3D">
        <w:t>.</w:t>
      </w:r>
    </w:p>
    <w:p w14:paraId="01B9D6E0" w14:textId="77777777" w:rsidR="00842D11" w:rsidRPr="00DD1E3D" w:rsidRDefault="00842D11" w:rsidP="00DD1E3D">
      <w:pPr>
        <w:pStyle w:val="Heading4"/>
        <w:jc w:val="both"/>
        <w:rPr>
          <w:rFonts w:ascii="Times New Roman" w:hAnsi="Times New Roman" w:cs="Times New Roman"/>
          <w:color w:val="auto"/>
        </w:rPr>
      </w:pPr>
      <w:r w:rsidRPr="00DD1E3D">
        <w:rPr>
          <w:rStyle w:val="Strong"/>
          <w:rFonts w:ascii="Times New Roman" w:hAnsi="Times New Roman" w:cs="Times New Roman"/>
          <w:b w:val="0"/>
          <w:bCs w:val="0"/>
          <w:color w:val="auto"/>
        </w:rPr>
        <w:t>(4) Model Specifications and Formulas</w:t>
      </w:r>
    </w:p>
    <w:p w14:paraId="51750D44" w14:textId="77777777" w:rsidR="00842D11" w:rsidRPr="00DD1E3D" w:rsidRDefault="00842D11" w:rsidP="00DD1E3D">
      <w:pPr>
        <w:pStyle w:val="isselectedend"/>
        <w:jc w:val="both"/>
      </w:pPr>
      <w:r w:rsidRPr="00DD1E3D">
        <w:t>All model specifications and analytical formulas used in this study are fully documented. These include:</w:t>
      </w:r>
    </w:p>
    <w:p w14:paraId="128AC4E5" w14:textId="77777777" w:rsidR="00842D11" w:rsidRPr="00DD1E3D" w:rsidRDefault="00842D11" w:rsidP="00DD1E3D">
      <w:pPr>
        <w:numPr>
          <w:ilvl w:val="0"/>
          <w:numId w:val="2"/>
        </w:numPr>
        <w:spacing w:before="100" w:beforeAutospacing="1" w:after="100" w:afterAutospacing="1" w:line="240" w:lineRule="auto"/>
        <w:jc w:val="both"/>
        <w:rPr>
          <w:rFonts w:ascii="Times New Roman" w:hAnsi="Times New Roman" w:cs="Times New Roman"/>
        </w:rPr>
      </w:pPr>
      <w:r w:rsidRPr="00DD1E3D">
        <w:rPr>
          <w:rFonts w:ascii="Times New Roman" w:hAnsi="Times New Roman" w:cs="Times New Roman"/>
        </w:rPr>
        <w:t>Structural equations for PLS-SEM;</w:t>
      </w:r>
    </w:p>
    <w:p w14:paraId="70B051D7" w14:textId="77777777" w:rsidR="00842D11" w:rsidRPr="00DD1E3D" w:rsidRDefault="00842D11" w:rsidP="00DD1E3D">
      <w:pPr>
        <w:numPr>
          <w:ilvl w:val="0"/>
          <w:numId w:val="2"/>
        </w:numPr>
        <w:spacing w:before="100" w:beforeAutospacing="1" w:after="100" w:afterAutospacing="1" w:line="240" w:lineRule="auto"/>
        <w:jc w:val="both"/>
        <w:rPr>
          <w:rFonts w:ascii="Times New Roman" w:hAnsi="Times New Roman" w:cs="Times New Roman"/>
        </w:rPr>
      </w:pPr>
      <w:r w:rsidRPr="00DD1E3D">
        <w:rPr>
          <w:rFonts w:ascii="Times New Roman" w:hAnsi="Times New Roman" w:cs="Times New Roman"/>
        </w:rPr>
        <w:t>Calibration functions for fuzzy-set transformation;</w:t>
      </w:r>
    </w:p>
    <w:p w14:paraId="37409E57" w14:textId="77777777" w:rsidR="00842D11" w:rsidRPr="00DD1E3D" w:rsidRDefault="00842D11" w:rsidP="00DD1E3D">
      <w:pPr>
        <w:numPr>
          <w:ilvl w:val="0"/>
          <w:numId w:val="2"/>
        </w:numPr>
        <w:spacing w:before="100" w:beforeAutospacing="1" w:after="100" w:afterAutospacing="1" w:line="240" w:lineRule="auto"/>
        <w:jc w:val="both"/>
        <w:rPr>
          <w:rFonts w:ascii="Times New Roman" w:hAnsi="Times New Roman" w:cs="Times New Roman"/>
        </w:rPr>
      </w:pPr>
      <w:r w:rsidRPr="00DD1E3D">
        <w:rPr>
          <w:rFonts w:ascii="Times New Roman" w:hAnsi="Times New Roman" w:cs="Times New Roman"/>
        </w:rPr>
        <w:t>Consistency and coverage metrics for fsQCA;</w:t>
      </w:r>
    </w:p>
    <w:p w14:paraId="4507458C" w14:textId="77777777" w:rsidR="00842D11" w:rsidRPr="00DD1E3D" w:rsidRDefault="00842D11" w:rsidP="00DD1E3D">
      <w:pPr>
        <w:numPr>
          <w:ilvl w:val="0"/>
          <w:numId w:val="2"/>
        </w:numPr>
        <w:spacing w:before="100" w:beforeAutospacing="1" w:after="100" w:afterAutospacing="1" w:line="240" w:lineRule="auto"/>
        <w:jc w:val="both"/>
        <w:rPr>
          <w:rFonts w:ascii="Times New Roman" w:hAnsi="Times New Roman" w:cs="Times New Roman"/>
        </w:rPr>
      </w:pPr>
      <w:r w:rsidRPr="00DD1E3D">
        <w:rPr>
          <w:rFonts w:ascii="Times New Roman" w:hAnsi="Times New Roman" w:cs="Times New Roman"/>
        </w:rPr>
        <w:t>Effect size and necessity metrics for NCA.</w:t>
      </w:r>
    </w:p>
    <w:p w14:paraId="0986DF12" w14:textId="67AC8611" w:rsidR="00842D11" w:rsidRPr="00DD1E3D" w:rsidRDefault="00842D11" w:rsidP="00DD1E3D">
      <w:pPr>
        <w:pStyle w:val="isselectedend"/>
        <w:jc w:val="both"/>
      </w:pPr>
      <w:r w:rsidRPr="00DD1E3D">
        <w:t>Detailed scripts and step-by-step procedures are provided in the accompanying repository, allowing full replication of all reported results.</w:t>
      </w:r>
    </w:p>
    <w:p w14:paraId="16287049" w14:textId="77777777" w:rsidR="00842D11" w:rsidRPr="00DD1E3D" w:rsidRDefault="00842D11" w:rsidP="00DD1E3D">
      <w:pPr>
        <w:pStyle w:val="Heading4"/>
        <w:jc w:val="both"/>
        <w:rPr>
          <w:rFonts w:ascii="Times New Roman" w:hAnsi="Times New Roman" w:cs="Times New Roman"/>
          <w:color w:val="auto"/>
        </w:rPr>
      </w:pPr>
      <w:r w:rsidRPr="00DD1E3D">
        <w:rPr>
          <w:rStyle w:val="Strong"/>
          <w:rFonts w:ascii="Times New Roman" w:hAnsi="Times New Roman" w:cs="Times New Roman"/>
          <w:b w:val="0"/>
          <w:bCs w:val="0"/>
          <w:color w:val="auto"/>
        </w:rPr>
        <w:t>(5) Availability of Analytical Materials</w:t>
      </w:r>
    </w:p>
    <w:p w14:paraId="2F383781" w14:textId="7CCA19F8" w:rsidR="00842D11" w:rsidRPr="00DD1E3D" w:rsidRDefault="00842D11" w:rsidP="00DD1E3D">
      <w:pPr>
        <w:pStyle w:val="isselectedend"/>
        <w:jc w:val="both"/>
      </w:pPr>
      <w:r w:rsidRPr="00DD1E3D">
        <w:t>All statistical scripts (Python code), calibration procedures, and analytical outputs are publicly accessible via the repository indicated in the Data Availability Statement.</w:t>
      </w:r>
    </w:p>
    <w:sectPr w:rsidR="00842D11" w:rsidRPr="00DD1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92573"/>
    <w:multiLevelType w:val="multilevel"/>
    <w:tmpl w:val="B6F0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36ED8"/>
    <w:multiLevelType w:val="multilevel"/>
    <w:tmpl w:val="69B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40370">
    <w:abstractNumId w:val="1"/>
  </w:num>
  <w:num w:numId="2" w16cid:durableId="845053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sDel="0" w:formatting="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D11"/>
    <w:rsid w:val="00754FD7"/>
    <w:rsid w:val="00842D11"/>
    <w:rsid w:val="00D11367"/>
    <w:rsid w:val="00DD1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2CAE6"/>
  <w15:chartTrackingRefBased/>
  <w15:docId w15:val="{60F09A4E-578B-4D7C-8675-35319108B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2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2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D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D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2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2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D11"/>
    <w:rPr>
      <w:rFonts w:eastAsiaTheme="majorEastAsia" w:cstheme="majorBidi"/>
      <w:color w:val="272727" w:themeColor="text1" w:themeTint="D8"/>
    </w:rPr>
  </w:style>
  <w:style w:type="paragraph" w:styleId="Title">
    <w:name w:val="Title"/>
    <w:basedOn w:val="Normal"/>
    <w:next w:val="Normal"/>
    <w:link w:val="TitleChar"/>
    <w:uiPriority w:val="10"/>
    <w:qFormat/>
    <w:rsid w:val="00842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D11"/>
    <w:pPr>
      <w:spacing w:before="160"/>
      <w:jc w:val="center"/>
    </w:pPr>
    <w:rPr>
      <w:i/>
      <w:iCs/>
      <w:color w:val="404040" w:themeColor="text1" w:themeTint="BF"/>
    </w:rPr>
  </w:style>
  <w:style w:type="character" w:customStyle="1" w:styleId="QuoteChar">
    <w:name w:val="Quote Char"/>
    <w:basedOn w:val="DefaultParagraphFont"/>
    <w:link w:val="Quote"/>
    <w:uiPriority w:val="29"/>
    <w:rsid w:val="00842D11"/>
    <w:rPr>
      <w:i/>
      <w:iCs/>
      <w:color w:val="404040" w:themeColor="text1" w:themeTint="BF"/>
    </w:rPr>
  </w:style>
  <w:style w:type="paragraph" w:styleId="ListParagraph">
    <w:name w:val="List Paragraph"/>
    <w:basedOn w:val="Normal"/>
    <w:uiPriority w:val="34"/>
    <w:qFormat/>
    <w:rsid w:val="00842D11"/>
    <w:pPr>
      <w:ind w:left="720"/>
      <w:contextualSpacing/>
    </w:pPr>
  </w:style>
  <w:style w:type="character" w:styleId="IntenseEmphasis">
    <w:name w:val="Intense Emphasis"/>
    <w:basedOn w:val="DefaultParagraphFont"/>
    <w:uiPriority w:val="21"/>
    <w:qFormat/>
    <w:rsid w:val="00842D11"/>
    <w:rPr>
      <w:i/>
      <w:iCs/>
      <w:color w:val="0F4761" w:themeColor="accent1" w:themeShade="BF"/>
    </w:rPr>
  </w:style>
  <w:style w:type="paragraph" w:styleId="IntenseQuote">
    <w:name w:val="Intense Quote"/>
    <w:basedOn w:val="Normal"/>
    <w:next w:val="Normal"/>
    <w:link w:val="IntenseQuoteChar"/>
    <w:uiPriority w:val="30"/>
    <w:qFormat/>
    <w:rsid w:val="00842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D11"/>
    <w:rPr>
      <w:i/>
      <w:iCs/>
      <w:color w:val="0F4761" w:themeColor="accent1" w:themeShade="BF"/>
    </w:rPr>
  </w:style>
  <w:style w:type="character" w:styleId="IntenseReference">
    <w:name w:val="Intense Reference"/>
    <w:basedOn w:val="DefaultParagraphFont"/>
    <w:uiPriority w:val="32"/>
    <w:qFormat/>
    <w:rsid w:val="00842D11"/>
    <w:rPr>
      <w:b/>
      <w:bCs/>
      <w:smallCaps/>
      <w:color w:val="0F4761" w:themeColor="accent1" w:themeShade="BF"/>
      <w:spacing w:val="5"/>
    </w:rPr>
  </w:style>
  <w:style w:type="character" w:styleId="Strong">
    <w:name w:val="Strong"/>
    <w:basedOn w:val="DefaultParagraphFont"/>
    <w:uiPriority w:val="22"/>
    <w:qFormat/>
    <w:rsid w:val="00842D11"/>
    <w:rPr>
      <w:b/>
      <w:bCs/>
    </w:rPr>
  </w:style>
  <w:style w:type="paragraph" w:customStyle="1" w:styleId="isselectedend">
    <w:name w:val="isselectedend"/>
    <w:basedOn w:val="Normal"/>
    <w:rsid w:val="00842D1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42D1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 Nguyen</dc:creator>
  <cp:keywords/>
  <dc:description/>
  <cp:lastModifiedBy>Phi- Nguyen</cp:lastModifiedBy>
  <cp:revision>3</cp:revision>
  <dcterms:created xsi:type="dcterms:W3CDTF">2026-04-07T10:16:00Z</dcterms:created>
  <dcterms:modified xsi:type="dcterms:W3CDTF">2026-04-07T10:17:00Z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3e6d169f-2c06-47b1-a1de-8fd44d492b46</vt:lpwstr>
  </property>
</Properties>
</file>