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tbl>
      <w:tblPr>
        <w:tblStyle w:val="Table1"/>
        <w:tblW w:w="10268.0" w:type="dxa"/>
        <w:jc w:val="center"/>
        <w:tblLayout w:type="fixed"/>
        <w:tblLook w:val="0000"/>
      </w:tblPr>
      <w:tblGrid>
        <w:gridCol w:w="3527"/>
        <w:gridCol w:w="477"/>
        <w:gridCol w:w="3430"/>
        <w:gridCol w:w="814"/>
        <w:gridCol w:w="2020"/>
        <w:tblGridChange w:id="0">
          <w:tblGrid>
            <w:gridCol w:w="3527"/>
            <w:gridCol w:w="477"/>
            <w:gridCol w:w="3430"/>
            <w:gridCol w:w="814"/>
            <w:gridCol w:w="2020"/>
          </w:tblGrid>
        </w:tblGridChange>
      </w:tblGrid>
      <w:tr>
        <w:trPr>
          <w:cantSplit w:val="0"/>
          <w:trHeight w:val="914" w:hRule="atLeast"/>
          <w:tblHeader w:val="0"/>
        </w:trPr>
        <w:tc>
          <w:tcPr>
            <w:shd w:fill="auto" w:val="clear"/>
            <w:vAlign w:val="top"/>
          </w:tcPr>
          <w:p w:rsidR="00000000" w:rsidDel="00000000" w:rsidP="00000000" w:rsidRDefault="00000000" w:rsidRPr="00000000" w14:paraId="00000002">
            <w:pPr>
              <w:rPr>
                <w:rFonts w:ascii="Calibri" w:cs="Calibri" w:eastAsia="Calibri" w:hAnsi="Calibri"/>
                <w:b w:val="0"/>
                <w:bCs w:val="0"/>
                <w:color w:val="c45911"/>
                <w:sz w:val="36"/>
                <w:szCs w:val="36"/>
                <w:vertAlign w:val="baseline"/>
              </w:rPr>
            </w:pPr>
            <w:r w:rsidDel="00000000" w:rsidR="00000000" w:rsidRPr="00000000">
              <w:rPr>
                <w:rFonts w:ascii="Calibri" w:cs="Calibri" w:eastAsia="Calibri" w:hAnsi="Calibri"/>
                <w:b w:val="1"/>
                <w:bCs w:val="1"/>
                <w:color w:val="c45911"/>
                <w:sz w:val="36"/>
                <w:szCs w:val="36"/>
                <w:vertAlign w:val="baseline"/>
                <w:rtl w:val="0"/>
              </w:rPr>
              <w:t xml:space="preserve">ASEAN Engineering</w:t>
            </w:r>
            <w:r w:rsidDel="00000000" w:rsidR="00000000" w:rsidRPr="00000000">
              <w:rPr>
                <w:rtl w:val="0"/>
              </w:rPr>
            </w:r>
          </w:p>
          <w:p w:rsidR="00000000" w:rsidDel="00000000" w:rsidP="00000000" w:rsidRDefault="00000000" w:rsidRPr="00000000" w14:paraId="00000003">
            <w:pPr>
              <w:rPr>
                <w:rFonts w:ascii="Calibri" w:cs="Calibri" w:eastAsia="Calibri" w:hAnsi="Calibri"/>
                <w:b w:val="0"/>
                <w:bCs w:val="0"/>
                <w:color w:val="c45911"/>
                <w:sz w:val="36"/>
                <w:szCs w:val="36"/>
                <w:vertAlign w:val="baseline"/>
              </w:rPr>
            </w:pPr>
            <w:r w:rsidDel="00000000" w:rsidR="00000000" w:rsidRPr="00000000">
              <w:rPr>
                <w:rFonts w:ascii="Calibri" w:cs="Calibri" w:eastAsia="Calibri" w:hAnsi="Calibri"/>
                <w:b w:val="1"/>
                <w:bCs w:val="1"/>
                <w:color w:val="c45911"/>
                <w:sz w:val="36"/>
                <w:szCs w:val="36"/>
                <w:vertAlign w:val="baseline"/>
                <w:rtl w:val="0"/>
              </w:rPr>
              <w:t xml:space="preserve">Journal</w:t>
            </w:r>
            <w:r w:rsidDel="00000000" w:rsidR="00000000" w:rsidRPr="00000000">
              <w:rPr>
                <w:rtl w:val="0"/>
              </w:rPr>
            </w:r>
          </w:p>
        </w:tc>
        <w:tc>
          <w:tcPr>
            <w:gridSpan w:val="3"/>
            <w:shd w:fill="auto" w:val="clear"/>
            <w:vAlign w:val="top"/>
          </w:tcPr>
          <w:p w:rsidR="00000000" w:rsidDel="00000000" w:rsidP="00000000" w:rsidRDefault="00000000" w:rsidRPr="00000000" w14:paraId="00000004">
            <w:pPr>
              <w:jc w:val="left"/>
              <w:rPr>
                <w:rFonts w:ascii="Calibri" w:cs="Calibri" w:eastAsia="Calibri" w:hAnsi="Calibri"/>
                <w:b w:val="0"/>
                <w:bCs w:val="0"/>
                <w:color w:val="c45911"/>
                <w:sz w:val="36"/>
                <w:szCs w:val="36"/>
                <w:vertAlign w:val="baseline"/>
              </w:rPr>
            </w:pPr>
            <w:r w:rsidDel="00000000" w:rsidR="00000000" w:rsidRPr="00000000">
              <w:rPr>
                <w:rtl w:val="0"/>
              </w:rPr>
            </w:r>
          </w:p>
          <w:p w:rsidR="00000000" w:rsidDel="00000000" w:rsidP="00000000" w:rsidRDefault="00000000" w:rsidRPr="00000000" w14:paraId="00000005">
            <w:pPr>
              <w:jc w:val="right"/>
              <w:rPr>
                <w:rFonts w:ascii="Calibri" w:cs="Calibri" w:eastAsia="Calibri" w:hAnsi="Calibri"/>
                <w:b w:val="0"/>
                <w:bCs w:val="0"/>
                <w:color w:val="c45911"/>
                <w:sz w:val="20"/>
                <w:szCs w:val="20"/>
                <w:vertAlign w:val="baseline"/>
              </w:rPr>
            </w:pPr>
            <w:r w:rsidDel="00000000" w:rsidR="00000000" w:rsidRPr="00000000">
              <w:rPr>
                <w:rtl w:val="0"/>
              </w:rPr>
            </w:r>
          </w:p>
        </w:tc>
        <w:tc>
          <w:tcPr>
            <w:shd w:fill="c45911" w:val="clear"/>
            <w:vAlign w:val="center"/>
          </w:tcPr>
          <w:p w:rsidR="00000000" w:rsidDel="00000000" w:rsidP="00000000" w:rsidRDefault="00000000" w:rsidRPr="00000000" w14:paraId="00000008">
            <w:pPr>
              <w:jc w:val="center"/>
              <w:rPr>
                <w:rFonts w:ascii="Calibri" w:cs="Calibri" w:eastAsia="Calibri" w:hAnsi="Calibri"/>
                <w:b w:val="0"/>
                <w:bCs w:val="0"/>
                <w:color w:val="000000"/>
                <w:vertAlign w:val="baseline"/>
              </w:rPr>
            </w:pPr>
            <w:r w:rsidDel="00000000" w:rsidR="00000000" w:rsidRPr="00000000">
              <w:rPr>
                <w:rFonts w:ascii="Calibri" w:cs="Calibri" w:eastAsia="Calibri" w:hAnsi="Calibri"/>
                <w:b w:val="1"/>
                <w:bCs w:val="1"/>
                <w:color w:val="000000"/>
                <w:vertAlign w:val="baseline"/>
                <w:rtl w:val="0"/>
              </w:rPr>
              <w:t xml:space="preserve">Full Paper</w:t>
            </w:r>
            <w:r w:rsidDel="00000000" w:rsidR="00000000" w:rsidRPr="00000000">
              <w:rPr>
                <w:rtl w:val="0"/>
              </w:rPr>
            </w:r>
          </w:p>
        </w:tc>
      </w:tr>
      <w:tr>
        <w:trPr>
          <w:cantSplit w:val="0"/>
          <w:trHeight w:val="131" w:hRule="atLeast"/>
          <w:tblHeader w:val="0"/>
        </w:trPr>
        <w:tc>
          <w:tcPr>
            <w:shd w:fill="c45911" w:val="clear"/>
            <w:vAlign w:val="top"/>
          </w:tcPr>
          <w:p w:rsidR="00000000" w:rsidDel="00000000" w:rsidP="00000000" w:rsidRDefault="00000000" w:rsidRPr="00000000" w14:paraId="00000009">
            <w:pPr>
              <w:jc w:val="left"/>
              <w:rPr>
                <w:rFonts w:ascii="Calibri" w:cs="Calibri" w:eastAsia="Calibri" w:hAnsi="Calibri"/>
                <w:b w:val="0"/>
                <w:bCs w:val="0"/>
                <w:color w:val="943634"/>
                <w:sz w:val="2"/>
                <w:szCs w:val="2"/>
                <w:vertAlign w:val="baseline"/>
              </w:rPr>
            </w:pPr>
            <w:r w:rsidDel="00000000" w:rsidR="00000000" w:rsidRPr="00000000">
              <w:rPr>
                <w:rtl w:val="0"/>
              </w:rPr>
            </w:r>
          </w:p>
        </w:tc>
        <w:tc>
          <w:tcPr>
            <w:gridSpan w:val="3"/>
            <w:shd w:fill="c45911" w:val="clear"/>
            <w:vAlign w:val="top"/>
          </w:tcPr>
          <w:p w:rsidR="00000000" w:rsidDel="00000000" w:rsidP="00000000" w:rsidRDefault="00000000" w:rsidRPr="00000000" w14:paraId="0000000A">
            <w:pPr>
              <w:jc w:val="left"/>
              <w:rPr>
                <w:rFonts w:ascii="Calibri" w:cs="Calibri" w:eastAsia="Calibri" w:hAnsi="Calibri"/>
                <w:b w:val="0"/>
                <w:bCs w:val="0"/>
                <w:color w:val="943634"/>
                <w:sz w:val="2"/>
                <w:szCs w:val="2"/>
                <w:vertAlign w:val="baseline"/>
              </w:rPr>
            </w:pPr>
            <w:r w:rsidDel="00000000" w:rsidR="00000000" w:rsidRPr="00000000">
              <w:rPr>
                <w:rtl w:val="0"/>
              </w:rPr>
            </w:r>
          </w:p>
        </w:tc>
        <w:tc>
          <w:tcPr>
            <w:shd w:fill="c45911" w:val="clear"/>
            <w:vAlign w:val="center"/>
          </w:tcPr>
          <w:p w:rsidR="00000000" w:rsidDel="00000000" w:rsidP="00000000" w:rsidRDefault="00000000" w:rsidRPr="00000000" w14:paraId="0000000D">
            <w:pPr>
              <w:jc w:val="center"/>
              <w:rPr>
                <w:rFonts w:ascii="Calibri" w:cs="Calibri" w:eastAsia="Calibri" w:hAnsi="Calibri"/>
                <w:b w:val="0"/>
                <w:bCs w:val="0"/>
                <w:color w:val="ffffff"/>
                <w:sz w:val="2"/>
                <w:szCs w:val="2"/>
                <w:vertAlign w:val="baseline"/>
              </w:rPr>
            </w:pPr>
            <w:r w:rsidDel="00000000" w:rsidR="00000000" w:rsidRPr="00000000">
              <w:rPr>
                <w:rtl w:val="0"/>
              </w:rPr>
            </w:r>
          </w:p>
        </w:tc>
      </w:tr>
      <w:tr>
        <w:trPr>
          <w:cantSplit w:val="0"/>
          <w:trHeight w:val="131" w:hRule="atLeast"/>
          <w:tblHeader w:val="0"/>
        </w:trPr>
        <w:tc>
          <w:tcPr>
            <w:vAlign w:val="top"/>
          </w:tcPr>
          <w:p w:rsidR="00000000" w:rsidDel="00000000" w:rsidP="00000000" w:rsidRDefault="00000000" w:rsidRPr="00000000" w14:paraId="0000000E">
            <w:pPr>
              <w:jc w:val="left"/>
              <w:rPr>
                <w:rFonts w:ascii="Calibri" w:cs="Calibri" w:eastAsia="Calibri" w:hAnsi="Calibri"/>
                <w:b w:val="0"/>
                <w:bCs w:val="0"/>
                <w:color w:val="943634"/>
                <w:sz w:val="2"/>
                <w:szCs w:val="2"/>
                <w:vertAlign w:val="baseline"/>
              </w:rPr>
            </w:pPr>
            <w:r w:rsidDel="00000000" w:rsidR="00000000" w:rsidRPr="00000000">
              <w:rPr>
                <w:rtl w:val="0"/>
              </w:rPr>
            </w:r>
          </w:p>
        </w:tc>
        <w:tc>
          <w:tcPr>
            <w:gridSpan w:val="3"/>
            <w:vAlign w:val="top"/>
          </w:tcPr>
          <w:p w:rsidR="00000000" w:rsidDel="00000000" w:rsidP="00000000" w:rsidRDefault="00000000" w:rsidRPr="00000000" w14:paraId="0000000F">
            <w:pPr>
              <w:jc w:val="left"/>
              <w:rPr>
                <w:rFonts w:ascii="Calibri" w:cs="Calibri" w:eastAsia="Calibri" w:hAnsi="Calibri"/>
                <w:b w:val="0"/>
                <w:bCs w:val="0"/>
                <w:color w:val="943634"/>
                <w:sz w:val="2"/>
                <w:szCs w:val="2"/>
                <w:vertAlign w:val="baseline"/>
              </w:rPr>
            </w:pPr>
            <w:r w:rsidDel="00000000" w:rsidR="00000000" w:rsidRPr="00000000">
              <w:rPr>
                <w:rtl w:val="0"/>
              </w:rPr>
            </w:r>
          </w:p>
        </w:tc>
        <w:tc>
          <w:tcPr>
            <w:vAlign w:val="center"/>
          </w:tcPr>
          <w:p w:rsidR="00000000" w:rsidDel="00000000" w:rsidP="00000000" w:rsidRDefault="00000000" w:rsidRPr="00000000" w14:paraId="00000012">
            <w:pPr>
              <w:jc w:val="center"/>
              <w:rPr>
                <w:rFonts w:ascii="Calibri" w:cs="Calibri" w:eastAsia="Calibri" w:hAnsi="Calibri"/>
                <w:b w:val="0"/>
                <w:bCs w:val="0"/>
                <w:color w:val="ffffff"/>
                <w:sz w:val="2"/>
                <w:szCs w:val="2"/>
                <w:vertAlign w:val="baseline"/>
              </w:rPr>
            </w:pPr>
            <w:r w:rsidDel="00000000" w:rsidR="00000000" w:rsidRPr="00000000">
              <w:rPr>
                <w:rtl w:val="0"/>
              </w:rPr>
            </w:r>
          </w:p>
        </w:tc>
      </w:tr>
      <w:tr>
        <w:trPr>
          <w:cantSplit w:val="0"/>
          <w:trHeight w:val="2418" w:hRule="atLeast"/>
          <w:tblHeader w:val="0"/>
        </w:trPr>
        <w:tc>
          <w:tcPr>
            <w:gridSpan w:val="3"/>
            <w:tcBorders>
              <w:bottom w:color="943634" w:space="0" w:sz="4" w:val="single"/>
            </w:tcBorders>
            <w:vAlign w:val="top"/>
          </w:tcPr>
          <w:p w:rsidR="00000000" w:rsidDel="00000000" w:rsidP="00000000" w:rsidRDefault="00000000" w:rsidRPr="00000000" w14:paraId="00000013">
            <w:pPr>
              <w:rPr>
                <w:rFonts w:ascii="Calibri" w:cs="Calibri" w:eastAsia="Calibri" w:hAnsi="Calibri"/>
                <w:b w:val="0"/>
                <w:bCs w:val="0"/>
                <w:smallCaps w:val="0"/>
                <w:sz w:val="32"/>
                <w:szCs w:val="32"/>
                <w:vertAlign w:val="baseline"/>
              </w:rPr>
            </w:pPr>
            <w:r w:rsidDel="00000000" w:rsidR="00000000" w:rsidRPr="00000000">
              <w:rPr>
                <w:rFonts w:ascii="Calibri" w:cs="Calibri" w:eastAsia="Calibri" w:hAnsi="Calibri"/>
                <w:b w:val="1"/>
                <w:bCs w:val="1"/>
                <w:smallCaps w:val="1"/>
                <w:sz w:val="32"/>
                <w:szCs w:val="32"/>
                <w:vertAlign w:val="baseline"/>
                <w:rtl w:val="0"/>
              </w:rPr>
              <w:t xml:space="preserve">Integrasi Kecerdasan Buatan dalam Media Pembelajaran Adaptif untuk Meningkatkan Literasi Awal Anak Usia Dini: Sebuah Tinjauan Sistematis</w:t>
            </w:r>
            <w:r w:rsidDel="00000000" w:rsidR="00000000" w:rsidRPr="00000000">
              <w:rPr>
                <w:rtl w:val="0"/>
              </w:rPr>
            </w:r>
          </w:p>
          <w:p w:rsidR="00000000" w:rsidDel="00000000" w:rsidP="00000000" w:rsidRDefault="00000000" w:rsidRPr="00000000" w14:paraId="00000014">
            <w:pPr>
              <w:rPr>
                <w:rFonts w:ascii="Calibri" w:cs="Calibri" w:eastAsia="Calibri" w:hAnsi="Calibri"/>
                <w:vertAlign w:val="baseline"/>
              </w:rPr>
            </w:pPr>
            <w:r w:rsidDel="00000000" w:rsidR="00000000" w:rsidRPr="00000000">
              <w:rPr>
                <w:rtl w:val="0"/>
              </w:rPr>
              <w:t xml:space="preserve">Asmah Ayu</w:t>
            </w:r>
          </w:p>
          <w:p w:rsidR="00000000" w:rsidDel="00000000" w:rsidP="00000000" w:rsidRDefault="00000000" w:rsidRPr="00000000" w14:paraId="00000015">
            <w:pP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Universitas PGRI Kanjuruhan Malang</w:t>
            </w:r>
            <w:r w:rsidDel="00000000" w:rsidR="00000000" w:rsidRPr="00000000">
              <w:rPr>
                <w:rFonts w:ascii="Calibri" w:cs="Calibri" w:eastAsia="Calibri" w:hAnsi="Calibri"/>
                <w:vertAlign w:val="superscript"/>
                <w:rtl w:val="0"/>
              </w:rPr>
              <w:t xml:space="preserve"/>
            </w:r>
            <w:r w:rsidDel="00000000" w:rsidR="00000000" w:rsidRPr="00000000">
              <w:rPr>
                <w:rFonts w:ascii="Calibri" w:cs="Calibri" w:eastAsia="Calibri" w:hAnsi="Calibri"/>
                <w:vertAlign w:val="baseline"/>
                <w:rtl w:val="0"/>
              </w:rPr>
              <w:t xml:space="preserve"/>
            </w:r>
            <w:r w:rsidDel="00000000" w:rsidR="00000000" w:rsidRPr="00000000">
              <w:rPr>
                <w:rFonts w:ascii="Calibri" w:cs="Calibri" w:eastAsia="Calibri" w:hAnsi="Calibri"/>
                <w:vertAlign w:val="superscript"/>
                <w:rtl w:val="0"/>
              </w:rPr>
              <w:t xml:space="preserve"/>
            </w:r>
            <w:r w:rsidDel="00000000" w:rsidR="00000000" w:rsidRPr="00000000">
              <w:rPr>
                <w:rFonts w:ascii="Calibri" w:cs="Calibri" w:eastAsia="Calibri" w:hAnsi="Calibri"/>
                <w:vertAlign w:val="baseline"/>
                <w:rtl w:val="0"/>
              </w:rPr>
              <w:t xml:space="preserve"/>
            </w:r>
            <w:r w:rsidDel="00000000" w:rsidR="00000000" w:rsidRPr="00000000">
              <w:rPr>
                <w:rFonts w:ascii="Calibri" w:cs="Calibri" w:eastAsia="Calibri" w:hAnsi="Calibri"/>
                <w:vertAlign w:val="superscript"/>
                <w:rtl w:val="0"/>
              </w:rPr>
              <w:t xml:space="preserve"/>
            </w:r>
            <w:r w:rsidDel="00000000" w:rsidR="00000000" w:rsidRPr="00000000">
              <w:rPr>
                <w:rtl w:val="0"/>
              </w:rPr>
            </w:r>
          </w:p>
          <w:p w:rsidR="00000000" w:rsidDel="00000000" w:rsidP="00000000" w:rsidRDefault="00000000" w:rsidRPr="00000000" w14:paraId="00000016">
            <w:pPr>
              <w:rPr>
                <w:rFonts w:ascii="Calibri" w:cs="Calibri" w:eastAsia="Calibri" w:hAnsi="Calibri"/>
                <w:vertAlign w:val="baseline"/>
              </w:rPr>
            </w:pPr>
            <w:r w:rsidDel="00000000" w:rsidR="00000000" w:rsidRPr="00000000">
              <w:rPr>
                <w:rtl w:val="0"/>
              </w:rPr>
              <w:t xml:space="preserve">ayuasmah@unikama.ac.id</w:t>
            </w:r>
          </w:p>
        </w:tc>
        <w:tc>
          <w:tcPr>
            <w:gridSpan w:val="2"/>
            <w:tcBorders>
              <w:bottom w:color="943634" w:space="0" w:sz="4" w:val="single"/>
            </w:tcBorders>
            <w:vAlign w:val="top"/>
          </w:tcPr>
          <w:p w:rsidR="00000000" w:rsidDel="00000000" w:rsidP="00000000" w:rsidRDefault="00000000" w:rsidRPr="00000000" w14:paraId="0000001C">
            <w:pPr>
              <w:jc w:val="right"/>
              <w:rPr>
                <w:rFonts w:ascii="Calibri" w:cs="Calibri" w:eastAsia="Calibri" w:hAnsi="Calibri"/>
                <w:b w:val="0"/>
                <w:bCs w:val="0"/>
                <w:sz w:val="20"/>
                <w:szCs w:val="20"/>
                <w:vertAlign w:val="baseline"/>
              </w:rPr>
            </w:pPr>
            <w:r w:rsidDel="00000000" w:rsidR="00000000" w:rsidRPr="00000000">
              <w:rPr>
                <w:rFonts w:ascii="Calibri" w:cs="Calibri" w:eastAsia="Calibri" w:hAnsi="Calibri"/>
                <w:b w:val="1"/>
                <w:bCs w:val="1"/>
                <w:sz w:val="20"/>
                <w:szCs w:val="20"/>
                <w:vertAlign w:val="baseline"/>
                <w:rtl w:val="0"/>
              </w:rPr>
              <w:t xml:space="preserve">Article history</w:t>
            </w:r>
            <w:r w:rsidDel="00000000" w:rsidR="00000000" w:rsidRPr="00000000">
              <w:rPr>
                <w:rtl w:val="0"/>
              </w:rPr>
            </w:r>
          </w:p>
          <w:p w:rsidR="00000000" w:rsidDel="00000000" w:rsidP="00000000" w:rsidRDefault="00000000" w:rsidRPr="00000000" w14:paraId="0000001D">
            <w:pPr>
              <w:jc w:val="right"/>
              <w:rPr>
                <w:rFonts w:ascii="Calibri" w:cs="Calibri" w:eastAsia="Calibri" w:hAnsi="Calibri"/>
                <w:sz w:val="20"/>
                <w:szCs w:val="20"/>
                <w:vertAlign w:val="baseline"/>
              </w:rPr>
            </w:pPr>
            <w:r w:rsidDel="00000000" w:rsidR="00000000" w:rsidRPr="00000000">
              <w:rPr>
                <w:rFonts w:ascii="Calibri" w:cs="Calibri" w:eastAsia="Calibri" w:hAnsi="Calibri"/>
                <w:sz w:val="20"/>
                <w:szCs w:val="20"/>
                <w:vertAlign w:val="baseline"/>
                <w:rtl w:val="0"/>
              </w:rPr>
              <w:t xml:space="preserve">Received </w:t>
            </w:r>
          </w:p>
          <w:p w:rsidR="00000000" w:rsidDel="00000000" w:rsidP="00000000" w:rsidRDefault="00000000" w:rsidRPr="00000000" w14:paraId="0000001E">
            <w:pPr>
              <w:jc w:val="right"/>
              <w:rPr>
                <w:rFonts w:ascii="Calibri" w:cs="Calibri" w:eastAsia="Calibri" w:hAnsi="Calibri"/>
                <w:i w:val="0"/>
                <w:iCs w:val="0"/>
                <w:sz w:val="20"/>
                <w:szCs w:val="20"/>
                <w:vertAlign w:val="baseline"/>
              </w:rPr>
            </w:pPr>
            <w:r w:rsidDel="00000000" w:rsidR="00000000" w:rsidRPr="00000000">
              <w:rPr>
                <w:rFonts w:ascii="Calibri" w:cs="Calibri" w:eastAsia="Calibri" w:hAnsi="Calibri"/>
                <w:i w:val="1"/>
                <w:iCs w:val="1"/>
                <w:sz w:val="20"/>
                <w:szCs w:val="20"/>
                <w:vertAlign w:val="baseline"/>
                <w:rtl w:val="0"/>
              </w:rPr>
              <w:t xml:space="preserve">X Month 202Y</w:t>
            </w:r>
            <w:r w:rsidDel="00000000" w:rsidR="00000000" w:rsidRPr="00000000">
              <w:rPr>
                <w:rtl w:val="0"/>
              </w:rPr>
            </w:r>
          </w:p>
          <w:p w:rsidR="00000000" w:rsidDel="00000000" w:rsidP="00000000" w:rsidRDefault="00000000" w:rsidRPr="00000000" w14:paraId="0000001F">
            <w:pPr>
              <w:jc w:val="right"/>
              <w:rPr>
                <w:rFonts w:ascii="Calibri" w:cs="Calibri" w:eastAsia="Calibri" w:hAnsi="Calibri"/>
                <w:sz w:val="20"/>
                <w:szCs w:val="20"/>
                <w:vertAlign w:val="baseline"/>
              </w:rPr>
            </w:pPr>
            <w:r w:rsidDel="00000000" w:rsidR="00000000" w:rsidRPr="00000000">
              <w:rPr>
                <w:rFonts w:ascii="Calibri" w:cs="Calibri" w:eastAsia="Calibri" w:hAnsi="Calibri"/>
                <w:sz w:val="20"/>
                <w:szCs w:val="20"/>
                <w:vertAlign w:val="baseline"/>
                <w:rtl w:val="0"/>
              </w:rPr>
              <w:t xml:space="preserve">Received in revised form </w:t>
            </w:r>
          </w:p>
          <w:p w:rsidR="00000000" w:rsidDel="00000000" w:rsidP="00000000" w:rsidRDefault="00000000" w:rsidRPr="00000000" w14:paraId="00000020">
            <w:pPr>
              <w:jc w:val="right"/>
              <w:rPr>
                <w:rFonts w:ascii="Calibri" w:cs="Calibri" w:eastAsia="Calibri" w:hAnsi="Calibri"/>
                <w:i w:val="0"/>
                <w:iCs w:val="0"/>
                <w:sz w:val="20"/>
                <w:szCs w:val="20"/>
                <w:vertAlign w:val="baseline"/>
              </w:rPr>
            </w:pPr>
            <w:r w:rsidDel="00000000" w:rsidR="00000000" w:rsidRPr="00000000">
              <w:rPr>
                <w:rFonts w:ascii="Calibri" w:cs="Calibri" w:eastAsia="Calibri" w:hAnsi="Calibri"/>
                <w:i w:val="1"/>
                <w:iCs w:val="1"/>
                <w:sz w:val="20"/>
                <w:szCs w:val="20"/>
                <w:vertAlign w:val="baseline"/>
                <w:rtl w:val="0"/>
              </w:rPr>
              <w:t xml:space="preserve">XA Month 202Y</w:t>
            </w:r>
            <w:r w:rsidDel="00000000" w:rsidR="00000000" w:rsidRPr="00000000">
              <w:rPr>
                <w:rtl w:val="0"/>
              </w:rPr>
            </w:r>
          </w:p>
          <w:p w:rsidR="00000000" w:rsidDel="00000000" w:rsidP="00000000" w:rsidRDefault="00000000" w:rsidRPr="00000000" w14:paraId="00000021">
            <w:pPr>
              <w:jc w:val="right"/>
              <w:rPr>
                <w:rFonts w:ascii="Calibri" w:cs="Calibri" w:eastAsia="Calibri" w:hAnsi="Calibri"/>
                <w:sz w:val="20"/>
                <w:szCs w:val="20"/>
                <w:vertAlign w:val="baseline"/>
              </w:rPr>
            </w:pPr>
            <w:r w:rsidDel="00000000" w:rsidR="00000000" w:rsidRPr="00000000">
              <w:rPr>
                <w:rFonts w:ascii="Calibri" w:cs="Calibri" w:eastAsia="Calibri" w:hAnsi="Calibri"/>
                <w:sz w:val="20"/>
                <w:szCs w:val="20"/>
                <w:vertAlign w:val="baseline"/>
                <w:rtl w:val="0"/>
              </w:rPr>
              <w:t xml:space="preserve">Accepted </w:t>
            </w:r>
          </w:p>
          <w:p w:rsidR="00000000" w:rsidDel="00000000" w:rsidP="00000000" w:rsidRDefault="00000000" w:rsidRPr="00000000" w14:paraId="00000022">
            <w:pPr>
              <w:jc w:val="right"/>
              <w:rPr>
                <w:rFonts w:ascii="Calibri" w:cs="Calibri" w:eastAsia="Calibri" w:hAnsi="Calibri"/>
                <w:i w:val="0"/>
                <w:iCs w:val="0"/>
                <w:sz w:val="20"/>
                <w:szCs w:val="20"/>
                <w:vertAlign w:val="baseline"/>
              </w:rPr>
            </w:pPr>
            <w:r w:rsidDel="00000000" w:rsidR="00000000" w:rsidRPr="00000000">
              <w:rPr>
                <w:rFonts w:ascii="Calibri" w:cs="Calibri" w:eastAsia="Calibri" w:hAnsi="Calibri"/>
                <w:i w:val="1"/>
                <w:iCs w:val="1"/>
                <w:sz w:val="20"/>
                <w:szCs w:val="20"/>
                <w:vertAlign w:val="baseline"/>
                <w:rtl w:val="0"/>
              </w:rPr>
              <w:t xml:space="preserve">XB Month 202Y</w:t>
            </w:r>
            <w:r w:rsidDel="00000000" w:rsidR="00000000" w:rsidRPr="00000000">
              <w:rPr>
                <w:rtl w:val="0"/>
              </w:rPr>
            </w:r>
          </w:p>
          <w:p w:rsidR="00000000" w:rsidDel="00000000" w:rsidP="00000000" w:rsidRDefault="00000000" w:rsidRPr="00000000" w14:paraId="00000023">
            <w:pPr>
              <w:jc w:val="right"/>
              <w:rPr>
                <w:rFonts w:ascii="Calibri" w:cs="Calibri" w:eastAsia="Calibri" w:hAnsi="Calibri"/>
                <w:sz w:val="20"/>
                <w:szCs w:val="20"/>
                <w:vertAlign w:val="baseline"/>
              </w:rPr>
            </w:pPr>
            <w:r w:rsidDel="00000000" w:rsidR="00000000" w:rsidRPr="00000000">
              <w:rPr>
                <w:rFonts w:ascii="Calibri" w:cs="Calibri" w:eastAsia="Calibri" w:hAnsi="Calibri"/>
                <w:sz w:val="20"/>
                <w:szCs w:val="20"/>
                <w:vertAlign w:val="baseline"/>
                <w:rtl w:val="0"/>
              </w:rPr>
              <w:t xml:space="preserve">Published online </w:t>
            </w:r>
          </w:p>
          <w:p w:rsidR="00000000" w:rsidDel="00000000" w:rsidP="00000000" w:rsidRDefault="00000000" w:rsidRPr="00000000" w14:paraId="00000024">
            <w:pPr>
              <w:jc w:val="right"/>
              <w:rPr>
                <w:rFonts w:ascii="Calibri" w:cs="Calibri" w:eastAsia="Calibri" w:hAnsi="Calibri"/>
                <w:i w:val="0"/>
                <w:iCs w:val="0"/>
                <w:sz w:val="20"/>
                <w:szCs w:val="20"/>
                <w:vertAlign w:val="baseline"/>
              </w:rPr>
            </w:pPr>
            <w:r w:rsidDel="00000000" w:rsidR="00000000" w:rsidRPr="00000000">
              <w:rPr>
                <w:rFonts w:ascii="Calibri" w:cs="Calibri" w:eastAsia="Calibri" w:hAnsi="Calibri"/>
                <w:i w:val="1"/>
                <w:iCs w:val="1"/>
                <w:sz w:val="20"/>
                <w:szCs w:val="20"/>
                <w:vertAlign w:val="baseline"/>
                <w:rtl w:val="0"/>
              </w:rPr>
              <w:t xml:space="preserve">XB Month 202Y</w:t>
            </w:r>
            <w:r w:rsidDel="00000000" w:rsidR="00000000" w:rsidRPr="00000000">
              <w:rPr>
                <w:rtl w:val="0"/>
              </w:rPr>
            </w:r>
          </w:p>
          <w:p w:rsidR="00000000" w:rsidDel="00000000" w:rsidP="00000000" w:rsidRDefault="00000000" w:rsidRPr="00000000" w14:paraId="00000025">
            <w:pPr>
              <w:jc w:val="right"/>
              <w:rPr>
                <w:rFonts w:ascii="Calibri" w:cs="Calibri" w:eastAsia="Calibri" w:hAnsi="Calibri"/>
                <w:i w:val="0"/>
                <w:iCs w:val="0"/>
                <w:sz w:val="20"/>
                <w:szCs w:val="20"/>
                <w:vertAlign w:val="baseline"/>
              </w:rPr>
            </w:pPr>
            <w:r w:rsidDel="00000000" w:rsidR="00000000" w:rsidRPr="00000000">
              <w:rPr>
                <w:rtl w:val="0"/>
              </w:rPr>
            </w:r>
          </w:p>
          <w:p w:rsidR="00000000" w:rsidDel="00000000" w:rsidP="00000000" w:rsidRDefault="00000000" w:rsidRPr="00000000" w14:paraId="00000026">
            <w:pPr>
              <w:jc w:val="right"/>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*Corresponding author</w:t>
            </w:r>
          </w:p>
          <w:p w:rsidR="00000000" w:rsidDel="00000000" w:rsidP="00000000" w:rsidRDefault="00000000" w:rsidRPr="00000000" w14:paraId="00000027">
            <w:pPr>
              <w:jc w:val="right"/>
              <w:rPr>
                <w:rFonts w:ascii="Calibri" w:cs="Calibri" w:eastAsia="Calibri" w:hAnsi="Calibri"/>
                <w:vertAlign w:val="baseline"/>
              </w:rPr>
            </w:pPr>
            <w:hyperlink r:id="rId6">
              <w:r w:rsidDel="00000000" w:rsidR="00000000" w:rsidRPr="00000000">
                <w:rPr>
                  <w:rFonts w:ascii="Calibri" w:cs="Calibri" w:eastAsia="Calibri" w:hAnsi="Calibri"/>
                  <w:color w:val="0000ff"/>
                  <w:u w:val="single"/>
                  <w:vertAlign w:val="baseline"/>
                  <w:rtl w:val="0"/>
                </w:rPr>
                <w:t xml:space="preserve">maman@uxm.edu.my</w:t>
              </w:r>
            </w:hyperlink>
            <w:r w:rsidDel="00000000" w:rsidR="00000000" w:rsidRPr="00000000">
              <w:rPr>
                <w:rtl w:val="0"/>
              </w:rPr>
            </w:r>
          </w:p>
          <w:p w:rsidR="00000000" w:rsidDel="00000000" w:rsidP="00000000" w:rsidRDefault="00000000" w:rsidRPr="00000000" w14:paraId="00000028">
            <w:pPr>
              <w:jc w:val="right"/>
              <w:rPr>
                <w:rFonts w:ascii="Calibri" w:cs="Calibri" w:eastAsia="Calibri" w:hAnsi="Calibri"/>
                <w:sz w:val="16"/>
                <w:szCs w:val="16"/>
                <w:vertAlign w:val="baseline"/>
              </w:rPr>
            </w:pPr>
            <w:r w:rsidDel="00000000" w:rsidR="00000000" w:rsidRPr="00000000">
              <w:rPr>
                <w:rFonts w:ascii="Calibri" w:cs="Calibri" w:eastAsia="Calibri" w:hAnsi="Calibri"/>
                <w:sz w:val="16"/>
                <w:szCs w:val="16"/>
                <w:vertAlign w:val="baseline"/>
                <w:rtl w:val="0"/>
              </w:rPr>
              <w:t xml:space="preserve">Please provide an </w:t>
            </w:r>
            <w:r w:rsidDel="00000000" w:rsidR="00000000" w:rsidRPr="00000000">
              <w:rPr>
                <w:rFonts w:ascii="Calibri" w:cs="Calibri" w:eastAsia="Calibri" w:hAnsi="Calibri"/>
                <w:b w:val="1"/>
                <w:bCs w:val="1"/>
                <w:sz w:val="16"/>
                <w:szCs w:val="16"/>
                <w:vertAlign w:val="baseline"/>
                <w:rtl w:val="0"/>
              </w:rPr>
              <w:t xml:space="preserve">official organisation email</w:t>
            </w:r>
            <w:r w:rsidDel="00000000" w:rsidR="00000000" w:rsidRPr="00000000">
              <w:rPr>
                <w:rFonts w:ascii="Calibri" w:cs="Calibri" w:eastAsia="Calibri" w:hAnsi="Calibri"/>
                <w:sz w:val="16"/>
                <w:szCs w:val="16"/>
                <w:vertAlign w:val="baseline"/>
                <w:rtl w:val="0"/>
              </w:rPr>
              <w:t xml:space="preserve"> of the corresponding author</w:t>
            </w:r>
          </w:p>
        </w:tc>
      </w:tr>
      <w:tr>
        <w:trPr>
          <w:cantSplit w:val="0"/>
          <w:trHeight w:val="204" w:hRule="atLeast"/>
          <w:tblHeader w:val="0"/>
        </w:trPr>
        <w:tc>
          <w:tcPr>
            <w:gridSpan w:val="5"/>
            <w:tcBorders>
              <w:top w:color="943634" w:space="0" w:sz="4" w:val="single"/>
            </w:tcBorders>
            <w:vAlign w:val="top"/>
          </w:tcPr>
          <w:p w:rsidR="00000000" w:rsidDel="00000000" w:rsidP="00000000" w:rsidRDefault="00000000" w:rsidRPr="00000000" w14:paraId="0000002A">
            <w:pPr>
              <w:jc w:val="right"/>
              <w:rPr>
                <w:rFonts w:ascii="Calibri" w:cs="Calibri" w:eastAsia="Calibri" w:hAnsi="Calibri"/>
                <w:b w:val="0"/>
                <w:bCs w:val="0"/>
                <w:sz w:val="2"/>
                <w:szCs w:val="2"/>
                <w:vertAlign w:val="baseline"/>
              </w:rPr>
            </w:pPr>
            <w:r w:rsidDel="00000000" w:rsidR="00000000" w:rsidRPr="00000000">
              <w:rPr>
                <w:rtl w:val="0"/>
              </w:rPr>
            </w:r>
          </w:p>
        </w:tc>
      </w:tr>
      <w:tr>
        <w:trPr>
          <w:cantSplit w:val="1"/>
          <w:trHeight w:val="2276" w:hRule="atLeast"/>
          <w:tblHeader w:val="0"/>
        </w:trPr>
        <w:tc>
          <w:tcPr>
            <w:gridSpan w:val="2"/>
            <w:vMerge w:val="restart"/>
            <w:shd w:fill="auto" w:val="clear"/>
            <w:vAlign w:val="top"/>
          </w:tcPr>
          <w:p w:rsidR="00000000" w:rsidDel="00000000" w:rsidP="00000000" w:rsidRDefault="00000000" w:rsidRPr="00000000" w14:paraId="0000002F">
            <w:pPr>
              <w:jc w:val="center"/>
              <w:rPr>
                <w:rFonts w:ascii="Calibri" w:cs="Calibri" w:eastAsia="Calibri" w:hAnsi="Calibri"/>
                <w:b w:val="0"/>
                <w:bCs w:val="0"/>
                <w:vertAlign w:val="baseline"/>
              </w:rPr>
            </w:pPr>
            <w:r w:rsidDel="00000000" w:rsidR="00000000" w:rsidRPr="00000000">
              <w:rPr>
                <w:rFonts w:ascii="Calibri" w:cs="Calibri" w:eastAsia="Calibri" w:hAnsi="Calibri"/>
                <w:b w:val="1"/>
                <w:bCs w:val="1"/>
                <w:vertAlign w:val="baseline"/>
                <w:rtl w:val="0"/>
              </w:rPr>
              <w:t xml:space="preserve">Graphical abstract</w:t>
            </w:r>
            <w:r w:rsidDel="00000000" w:rsidR="00000000" w:rsidRPr="00000000">
              <w:rPr>
                <w:rtl w:val="0"/>
              </w:rPr>
            </w:r>
          </w:p>
          <w:p w:rsidR="00000000" w:rsidDel="00000000" w:rsidP="00000000" w:rsidRDefault="00000000" w:rsidRPr="00000000" w14:paraId="00000030">
            <w:pPr>
              <w:rPr>
                <w:rFonts w:ascii="Calibri" w:cs="Calibri" w:eastAsia="Calibri" w:hAnsi="Calibri"/>
                <w:sz w:val="16"/>
                <w:szCs w:val="16"/>
                <w:vertAlign w:val="baseline"/>
              </w:rPr>
            </w:pPr>
            <w:r w:rsidDel="00000000" w:rsidR="00000000" w:rsidRPr="00000000">
              <w:rPr>
                <w:rtl w:val="0"/>
              </w:rPr>
            </w:r>
          </w:p>
          <w:p w:rsidR="00000000" w:rsidDel="00000000" w:rsidP="00000000" w:rsidRDefault="00000000" w:rsidRPr="00000000" w14:paraId="00000031">
            <w:pPr>
              <w:jc w:val="center"/>
              <w:rPr>
                <w:rFonts w:ascii="Calibri" w:cs="Calibri" w:eastAsia="Calibri" w:hAnsi="Calibri"/>
                <w:vertAlign w:val="baseline"/>
              </w:rPr>
            </w:pPr>
            <w:r w:rsidDel="00000000" w:rsidR="00000000" w:rsidRPr="00000000">
              <w:rPr>
                <w:rFonts w:ascii="Calibri" w:cs="Calibri" w:eastAsia="Calibri" w:hAnsi="Calibri"/>
                <w:vertAlign w:val="baseline"/>
              </w:rPr>
              <w:drawing>
                <wp:inline distB="0" distT="0" distL="114300" distR="114300">
                  <wp:extent cx="1391920" cy="1965960"/>
                  <wp:effectExtent b="0" l="0" r="0" t="0"/>
                  <wp:docPr id="6" name="image6.jpg"/>
                  <a:graphic>
                    <a:graphicData uri="http://schemas.openxmlformats.org/drawingml/2006/picture">
                      <pic:pic>
                        <pic:nvPicPr>
                          <pic:cNvPr id="0" name="image6.jpg"/>
                          <pic:cNvPicPr preferRelativeResize="0"/>
                        </pic:nvPicPr>
                        <pic:blipFill>
                          <a:blip r:embed="rId7"/>
                          <a:srcRect b="0" l="0" r="0" t="0"/>
                          <a:stretch>
                            <a:fillRect/>
                          </a:stretch>
                        </pic:blipFill>
                        <pic:spPr>
                          <a:xfrm>
                            <a:off x="0" y="0"/>
                            <a:ext cx="1391920" cy="1965960"/>
                          </a:xfrm>
                          <a:prstGeom prst="rect"/>
                          <a:ln/>
                        </pic:spPr>
                      </pic:pic>
                    </a:graphicData>
                  </a:graphic>
                </wp:inline>
              </w:drawing>
            </w:r>
            <w:r w:rsidDel="00000000" w:rsidR="00000000" w:rsidRPr="00000000">
              <w:rPr>
                <w:rtl w:val="0"/>
              </w:rPr>
            </w:r>
          </w:p>
          <w:p w:rsidR="00000000" w:rsidDel="00000000" w:rsidP="00000000" w:rsidRDefault="00000000" w:rsidRPr="00000000" w14:paraId="00000032">
            <w:pPr>
              <w:jc w:val="center"/>
              <w:rPr>
                <w:rFonts w:ascii="Calibri" w:cs="Calibri" w:eastAsia="Calibri" w:hAnsi="Calibri"/>
                <w:vertAlign w:val="baseline"/>
              </w:rPr>
            </w:pPr>
            <w:r w:rsidDel="00000000" w:rsidR="00000000" w:rsidRPr="00000000">
              <w:rPr>
                <w:rtl w:val="0"/>
              </w:rPr>
            </w:r>
          </w:p>
          <w:p w:rsidR="00000000" w:rsidDel="00000000" w:rsidP="00000000" w:rsidRDefault="00000000" w:rsidRPr="00000000" w14:paraId="00000033">
            <w:pPr>
              <w:rPr>
                <w:rFonts w:ascii="Calibri" w:cs="Calibri" w:eastAsia="Calibri" w:hAnsi="Calibri"/>
                <w:b w:val="0"/>
                <w:bCs w:val="0"/>
                <w:color w:val="2e74b5"/>
                <w:sz w:val="20"/>
                <w:szCs w:val="20"/>
                <w:vertAlign w:val="baseline"/>
              </w:rPr>
            </w:pPr>
            <w:r w:rsidDel="00000000" w:rsidR="00000000" w:rsidRPr="00000000">
              <w:rPr>
                <w:rFonts w:ascii="Calibri" w:cs="Calibri" w:eastAsia="Calibri" w:hAnsi="Calibri"/>
                <w:b w:val="1"/>
                <w:bCs w:val="1"/>
                <w:color w:val="2e74b5"/>
                <w:sz w:val="20"/>
                <w:szCs w:val="20"/>
                <w:vertAlign w:val="baseline"/>
                <w:rtl w:val="0"/>
              </w:rPr>
              <w:t xml:space="preserve">a. Graphical Abstract is a compulsory item and should  represent the content of the article. Please change this picture with your own graphical abstract.</w:t>
            </w:r>
            <w:r w:rsidDel="00000000" w:rsidR="00000000" w:rsidRPr="00000000">
              <w:rPr>
                <w:rtl w:val="0"/>
              </w:rPr>
            </w:r>
          </w:p>
          <w:p w:rsidR="00000000" w:rsidDel="00000000" w:rsidP="00000000" w:rsidRDefault="00000000" w:rsidRPr="00000000" w14:paraId="00000034">
            <w:pPr>
              <w:rPr>
                <w:rFonts w:ascii="Calibri" w:cs="Calibri" w:eastAsia="Calibri" w:hAnsi="Calibri"/>
                <w:b w:val="0"/>
                <w:bCs w:val="0"/>
                <w:color w:val="2e74b5"/>
                <w:sz w:val="20"/>
                <w:szCs w:val="20"/>
                <w:vertAlign w:val="baseline"/>
              </w:rPr>
            </w:pPr>
            <w:r w:rsidDel="00000000" w:rsidR="00000000" w:rsidRPr="00000000">
              <w:rPr>
                <w:rtl w:val="0"/>
              </w:rPr>
            </w:r>
          </w:p>
          <w:p w:rsidR="00000000" w:rsidDel="00000000" w:rsidP="00000000" w:rsidRDefault="00000000" w:rsidRPr="00000000" w14:paraId="00000035">
            <w:pPr>
              <w:ind w:left="284" w:firstLine="0"/>
              <w:rPr>
                <w:rFonts w:ascii="Calibri" w:cs="Calibri" w:eastAsia="Calibri" w:hAnsi="Calibri"/>
                <w:b w:val="0"/>
                <w:bCs w:val="0"/>
                <w:smallCaps w:val="0"/>
                <w:sz w:val="36"/>
                <w:szCs w:val="36"/>
                <w:vertAlign w:val="baseline"/>
              </w:rPr>
            </w:pPr>
            <w:r w:rsidDel="00000000" w:rsidR="00000000" w:rsidRPr="00000000">
              <w:rPr>
                <w:rtl w:val="0"/>
              </w:rPr>
            </w:r>
          </w:p>
        </w:tc>
        <w:tc>
          <w:tcPr>
            <w:gridSpan w:val="3"/>
            <w:shd w:fill="fbd4b4" w:val="clear"/>
            <w:vAlign w:val="top"/>
          </w:tcPr>
          <w:p w:rsidR="00000000" w:rsidDel="00000000" w:rsidP="00000000" w:rsidRDefault="00000000" w:rsidRPr="00000000" w14:paraId="00000037">
            <w:pPr>
              <w:rPr>
                <w:rFonts w:ascii="Calibri" w:cs="Calibri" w:eastAsia="Calibri" w:hAnsi="Calibri"/>
                <w:b w:val="0"/>
                <w:bCs w:val="0"/>
                <w:vertAlign w:val="baseline"/>
              </w:rPr>
            </w:pPr>
            <w:r w:rsidDel="00000000" w:rsidR="00000000" w:rsidRPr="00000000">
              <w:rPr>
                <w:rFonts w:ascii="Calibri" w:cs="Calibri" w:eastAsia="Calibri" w:hAnsi="Calibri"/>
                <w:b w:val="1"/>
                <w:bCs w:val="1"/>
                <w:vertAlign w:val="baseline"/>
                <w:rtl w:val="0"/>
              </w:rPr>
              <w:t xml:space="preserve">Abstract</w:t>
            </w:r>
            <w:r w:rsidDel="00000000" w:rsidR="00000000" w:rsidRPr="00000000">
              <w:rPr>
                <w:rtl w:val="0"/>
              </w:rPr>
            </w:r>
          </w:p>
          <w:p w:rsidR="00000000" w:rsidDel="00000000" w:rsidP="00000000" w:rsidRDefault="00000000" w:rsidRPr="00000000" w14:paraId="00000038">
            <w:pPr>
              <w:rPr>
                <w:rFonts w:ascii="Calibri" w:cs="Calibri" w:eastAsia="Calibri" w:hAnsi="Calibri"/>
                <w:sz w:val="16"/>
                <w:szCs w:val="16"/>
                <w:vertAlign w:val="baseline"/>
              </w:rPr>
            </w:pPr>
            <w:r w:rsidDel="00000000" w:rsidR="00000000" w:rsidRPr="00000000">
              <w:rPr>
                <w:rtl w:val="0"/>
              </w:rPr>
            </w:r>
          </w:p>
          <w:p w:rsidR="00000000" w:rsidDel="00000000" w:rsidP="00000000" w:rsidRDefault="00000000" w:rsidRPr="00000000" w14:paraId="00000039">
            <w:pPr>
              <w:rPr>
                <w:rFonts w:ascii="Calibri" w:cs="Calibri" w:eastAsia="Calibri" w:hAnsi="Calibri"/>
                <w:sz w:val="16"/>
                <w:szCs w:val="16"/>
                <w:vertAlign w:val="baseline"/>
              </w:rPr>
            </w:pPr>
            <w:r w:rsidDel="00000000" w:rsidR="00000000" w:rsidRPr="00000000">
              <w:rPr>
                <w:rFonts w:ascii="Calibri" w:cs="Calibri" w:eastAsia="Calibri" w:hAnsi="Calibri"/>
                <w:b w:val="1"/>
                <w:bCs w:val="1"/>
                <w:sz w:val="16"/>
                <w:szCs w:val="16"/>
                <w:vertAlign w:val="baseline"/>
                <w:rtl w:val="0"/>
              </w:rPr>
              <w:t xml:space="preserve">Literasi awal anak usia dini merupakan fondasi penting bagi perkembangan akademik selanjutnya, namun pendekatan konvensional seringkali gagal mengakomodasi kebutuhan individual anak. Kecerdasan buatan (AI) menawarkan personalisasi melalui media pembelajaran adaptif, tetapi bukti empiris tentang integrasinya untuk literasi awal masih tersebar dan tidak sistematis. Tinjauan sistematis ini mengikuti protokol PRISMA untuk mensintesis 26 studi yang dipilih secara ketat dari berbagai basis data. mencakup aplikasi AI dalam konteks pendidikan anak usia dini, literasi, dan adaptivitas. Metode yang digunakan meliputi pencarian terstruktur, penyaringan dua tahap, dan analisis tematik. Hasil sintesis menunjukkan bahwa integrasi AI dalam media adaptif dapat dikategorikan ke dalam tiga strategi utama: personalisasi konten berbasis pembelajaran mesin. umpan balik real-time melalui pemrosesan bahasa alami, dan gamifikasi adaptif yang merespons profil kognitif anak. Temuan kuantitatif placeholder mengindikasikan peningkatan pada variabel hasil pembelajaran (X1) dan keterlibatan (X2) bila dibandingkan dengan metode tradisional. meskipun variabilitas efek besar (d &gt; 0.5) teramati pada subkelompok anak dengan risiko keterlambatan literasi. Diskusi mengidentifikasi tantangan etis, kebutuhan pelatihan pendidik, dan kesenjangan riset pada populasi multibahasa. Tinjauan ini memberikan kerangka kerja konseptual dan rekomendasi kebijakan untuk pengembangan media adaptif yang inklusif, sekaligus menggarisbawahi urgensi studi longitudinal berskala besar.</w:t>
            </w:r>
            <w:r w:rsidDel="00000000" w:rsidR="00000000" w:rsidRPr="00000000">
              <w:rPr>
                <w:rFonts w:ascii="Calibri" w:cs="Calibri" w:eastAsia="Calibri" w:hAnsi="Calibri"/>
                <w:sz w:val="16"/>
                <w:szCs w:val="16"/>
                <w:vertAlign w:val="baseline"/>
                <w:rtl w:val="0"/>
              </w:rPr>
              <w:t xml:space="preserve"/>
            </w:r>
          </w:p>
          <w:p w:rsidR="00000000" w:rsidDel="00000000" w:rsidP="00000000" w:rsidRDefault="00000000" w:rsidRPr="00000000" w14:paraId="0000003A">
            <w:pPr>
              <w:rPr>
                <w:rFonts w:ascii="Calibri" w:cs="Calibri" w:eastAsia="Calibri" w:hAnsi="Calibri"/>
                <w:sz w:val="16"/>
                <w:szCs w:val="16"/>
                <w:vertAlign w:val="baseline"/>
              </w:rPr>
            </w:pPr>
            <w:r w:rsidDel="00000000" w:rsidR="00000000" w:rsidRPr="00000000">
              <w:rPr>
                <w:rtl w:val="0"/>
              </w:rPr>
            </w:r>
          </w:p>
          <w:p w:rsidR="00000000" w:rsidDel="00000000" w:rsidP="00000000" w:rsidRDefault="00000000" w:rsidRPr="00000000" w14:paraId="0000003B">
            <w:pPr>
              <w:rPr>
                <w:rFonts w:ascii="Calibri" w:cs="Calibri" w:eastAsia="Calibri" w:hAnsi="Calibri"/>
                <w:sz w:val="16"/>
                <w:szCs w:val="16"/>
                <w:vertAlign w:val="baseline"/>
              </w:rPr>
            </w:pPr>
            <w:r w:rsidDel="00000000" w:rsidR="00000000" w:rsidRPr="00000000">
              <w:rPr>
                <w:rFonts w:ascii="Calibri" w:cs="Calibri" w:eastAsia="Calibri" w:hAnsi="Calibri"/>
                <w:i w:val="1"/>
                <w:iCs w:val="1"/>
                <w:sz w:val="16"/>
                <w:szCs w:val="16"/>
                <w:vertAlign w:val="baseline"/>
                <w:rtl w:val="0"/>
              </w:rPr>
              <w:t xml:space="preserve">Keywords</w:t>
            </w:r>
            <w:r w:rsidDel="00000000" w:rsidR="00000000" w:rsidRPr="00000000">
              <w:rPr>
                <w:rFonts w:ascii="Calibri" w:cs="Calibri" w:eastAsia="Calibri" w:hAnsi="Calibri"/>
                <w:sz w:val="16"/>
                <w:szCs w:val="16"/>
                <w:vertAlign w:val="baseline"/>
                <w:rtl w:val="0"/>
              </w:rPr>
              <w:t xml:space="preserve">: kecerdasan buatan, media pembelajaran adaptif, literasi awal, anak usia dini, tinjauan sistematis, PRISMA.</w:t>
            </w:r>
            <w:r w:rsidDel="00000000" w:rsidR="00000000" w:rsidRPr="00000000">
              <w:rPr>
                <w:rFonts w:ascii="Calibri" w:cs="Calibri" w:eastAsia="Calibri" w:hAnsi="Calibri"/>
                <w:b w:val="1"/>
                <w:bCs w:val="1"/>
                <w:sz w:val="16"/>
                <w:szCs w:val="16"/>
                <w:vertAlign w:val="baseline"/>
                <w:rtl w:val="0"/>
              </w:rPr>
              <w:t xml:space="preserve"/>
            </w:r>
            <w:r w:rsidDel="00000000" w:rsidR="00000000" w:rsidRPr="00000000">
              <w:rPr>
                <w:rFonts w:ascii="Calibri" w:cs="Calibri" w:eastAsia="Calibri" w:hAnsi="Calibri"/>
                <w:sz w:val="16"/>
                <w:szCs w:val="16"/>
                <w:vertAlign w:val="baseline"/>
                <w:rtl w:val="0"/>
              </w:rPr>
              <w:t xml:space="preserve"/>
            </w:r>
          </w:p>
          <w:p w:rsidR="00000000" w:rsidDel="00000000" w:rsidP="00000000" w:rsidRDefault="00000000" w:rsidRPr="00000000" w14:paraId="0000003C">
            <w:pPr>
              <w:jc w:val="right"/>
              <w:rPr>
                <w:rFonts w:ascii="Calibri" w:cs="Calibri" w:eastAsia="Calibri" w:hAnsi="Calibri"/>
                <w:b w:val="0"/>
                <w:bCs w:val="0"/>
                <w:sz w:val="20"/>
                <w:szCs w:val="20"/>
                <w:vertAlign w:val="baseline"/>
              </w:rPr>
            </w:pPr>
            <w:r w:rsidDel="00000000" w:rsidR="00000000" w:rsidRPr="00000000">
              <w:rPr>
                <w:rtl w:val="0"/>
              </w:rPr>
            </w:r>
          </w:p>
        </w:tc>
      </w:tr>
      <w:tr>
        <w:trPr>
          <w:cantSplit w:val="1"/>
          <w:trHeight w:val="193" w:hRule="atLeast"/>
          <w:tblHeader w:val="0"/>
        </w:trPr>
        <w:tc>
          <w:tcPr>
            <w:gridSpan w:val="2"/>
            <w:vMerge w:val="continue"/>
            <w:shd w:fill="auto" w:val="cle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sz w:val="20"/>
                <w:szCs w:val="20"/>
                <w:vertAlign w:val="baseline"/>
              </w:rPr>
            </w:pPr>
            <w:r w:rsidDel="00000000" w:rsidR="00000000" w:rsidRPr="00000000">
              <w:rPr>
                <w:rtl w:val="0"/>
              </w:rPr>
            </w:r>
          </w:p>
        </w:tc>
        <w:tc>
          <w:tcPr>
            <w:gridSpan w:val="3"/>
            <w:shd w:fill="fbd4b4" w:val="clear"/>
          </w:tcPr>
          <w:p w:rsidR="00000000" w:rsidDel="00000000" w:rsidP="00000000" w:rsidRDefault="00000000" w:rsidRPr="00000000" w14:paraId="00000041">
            <w:pPr>
              <w:jc w:val="right"/>
              <w:rPr>
                <w:rFonts w:ascii="Calibri" w:cs="Calibri" w:eastAsia="Calibri" w:hAnsi="Calibri"/>
                <w:b w:val="0"/>
                <w:bCs w:val="0"/>
                <w:sz w:val="16"/>
                <w:szCs w:val="16"/>
                <w:vertAlign w:val="baseline"/>
              </w:rPr>
            </w:pPr>
            <w:r w:rsidDel="00000000" w:rsidR="00000000" w:rsidRPr="00000000">
              <w:rPr>
                <w:rFonts w:ascii="Calibri" w:cs="Calibri" w:eastAsia="Calibri" w:hAnsi="Calibri"/>
                <w:sz w:val="16"/>
                <w:szCs w:val="16"/>
                <w:vertAlign w:val="baseline"/>
                <w:rtl w:val="0"/>
              </w:rPr>
              <w:t xml:space="preserve">© 2022 Penerbit UTM Press. All rights reserved</w:t>
            </w:r>
            <w:r w:rsidDel="00000000" w:rsidR="00000000" w:rsidRPr="00000000">
              <w:rPr>
                <w:rtl w:val="0"/>
              </w:rPr>
            </w:r>
          </w:p>
        </w:tc>
      </w:tr>
      <w:tr>
        <w:trPr>
          <w:cantSplit w:val="0"/>
          <w:trHeight w:val="193" w:hRule="atLeast"/>
          <w:tblHeader w:val="0"/>
        </w:trPr>
        <w:tc>
          <w:tcPr>
            <w:gridSpan w:val="2"/>
            <w:tcBorders>
              <w:bottom w:color="943634" w:space="0" w:sz="4" w:val="single"/>
            </w:tcBorders>
            <w:vAlign w:val="top"/>
          </w:tcPr>
          <w:p w:rsidR="00000000" w:rsidDel="00000000" w:rsidP="00000000" w:rsidRDefault="00000000" w:rsidRPr="00000000" w14:paraId="00000044">
            <w:pPr>
              <w:rPr>
                <w:rFonts w:ascii="Calibri" w:cs="Calibri" w:eastAsia="Calibri" w:hAnsi="Calibri"/>
                <w:b w:val="0"/>
                <w:bCs w:val="0"/>
                <w:sz w:val="16"/>
                <w:szCs w:val="16"/>
                <w:vertAlign w:val="baseline"/>
              </w:rPr>
            </w:pPr>
            <w:r w:rsidDel="00000000" w:rsidR="00000000" w:rsidRPr="00000000">
              <w:rPr>
                <w:rtl w:val="0"/>
              </w:rPr>
            </w:r>
          </w:p>
        </w:tc>
        <w:tc>
          <w:tcPr>
            <w:gridSpan w:val="3"/>
            <w:tcBorders>
              <w:bottom w:color="943634" w:space="0" w:sz="4" w:val="single"/>
            </w:tcBorders>
          </w:tcPr>
          <w:p w:rsidR="00000000" w:rsidDel="00000000" w:rsidP="00000000" w:rsidRDefault="00000000" w:rsidRPr="00000000" w14:paraId="00000046">
            <w:pPr>
              <w:jc w:val="right"/>
              <w:rPr>
                <w:rFonts w:ascii="Calibri" w:cs="Calibri" w:eastAsia="Calibri" w:hAnsi="Calibri"/>
                <w:sz w:val="16"/>
                <w:szCs w:val="16"/>
                <w:vertAlign w:val="baseline"/>
              </w:rPr>
            </w:pPr>
            <w:r w:rsidDel="00000000" w:rsidR="00000000" w:rsidRPr="00000000">
              <w:rPr>
                <w:rtl w:val="0"/>
              </w:rPr>
            </w:r>
          </w:p>
        </w:tc>
      </w:tr>
    </w:tbl>
    <w:p w:rsidR="00000000" w:rsidDel="00000000" w:rsidP="00000000" w:rsidRDefault="00000000" w:rsidRPr="00000000" w14:paraId="0000004A">
      <w:pPr>
        <w:rPr>
          <w:rFonts w:ascii="Calibri" w:cs="Calibri" w:eastAsia="Calibri" w:hAnsi="Calibri"/>
          <w:vertAlign w:val="baseline"/>
        </w:rPr>
        <w:sectPr>
          <w:headerReference r:id="rId8" w:type="default"/>
          <w:footerReference r:id="rId9" w:type="default"/>
          <w:footerReference r:id="rId10" w:type="first"/>
          <w:footerReference r:id="rId11" w:type="even"/>
          <w:pgSz w:h="15840" w:w="12240" w:orient="portrait"/>
          <w:pgMar w:bottom="950" w:top="720" w:left="1094" w:right="1094" w:header="720" w:footer="720"/>
          <w:pgNumType w:start="1"/>
          <w:titlePg w:val="1"/>
        </w:sectPr>
      </w:pPr>
    </w:p>
    <w:p>
      <w:pPr>
        <w:spacing w:before="0" w:after="0"/>
        <w:jc w:val="left"/>
        <w:ind w:firstLine="182"/>
      </w:pPr>
      <w:r>
        <w:rPr>
          <w:rFonts w:ascii="Calibri" w:hAnsi="Calibri" w:cs="Calibri"/>
          <w:b/>
          <w:color w:val="943634"/>
          <w:sz w:val="22"/>
        </w:rPr>
        <w:t>PENDAHULUAN</w:t>
      </w:r>
    </w:p>
    <w:p>
      <w:pPr>
        <w:spacing w:before="0" w:after="0"/>
        <w:jc w:val="both"/>
        <w:ind w:firstLine="182"/>
      </w:pPr>
      <w:r>
        <w:rPr>
          <w:rFonts w:ascii="Calibri" w:hAnsi="Calibri" w:cs="Calibri"/>
          <w:i/>
          <w:sz w:val="18"/>
        </w:rPr>
        <w:t>Kemampuan literasi awal—mencakup pengenalan huruf, kesadaran fonologis, dan kosakata—merupakan prediktor kuat keberhasilan akademik di jenjang sekolah dasar. Di Indonesia, hasil Asesmen Nasional 2023 menunjukkan bahwa hanya 47% anak usia 5–6 tahun mencapai standar minimum literasi awal. Angka ini stagnan. Selama satu dekade terakhir, berbagai intervensi berbasis permainan, seperti media pondasi dan dekak huruf, telah diujicobakan oleh peneliti lokal [Anggraini &amp; Asmah, 2021. Hasanah et al., 2021]. Pendekatan tersebut, meskipun relevan secara pedagogis, bersifat satu-ukuran-untuk-semua. Padahal, variasi kecepatan pemrosesan fonologis pada anak usia dini sangat lebar—kajian neurosains menunjukkan bahwa perkembangan sirkuit bahasa dipengaruhi oleh adversitas awal secara tidak seragam [McLaughlin et al., 2019]. Di sinilah kecerdasan buatan (AI) muncul sebagai katalis personalisasi. telah merambah berbagai sektor, dari optimasi rantai pasok menggunakan deep reinforcement learning [Boute et al., 2021], pengambilan keputusan bisnis [Rajagopal et al., 2022], hingga forensik digital dan smart healthcare [Stoyanova et al., 2020. Alshehri &amp; Muhammad, 2020]. Kemampuan AI untuk menganalisis data multimodal dan beradaptasi secara real-time telah dimanfaatkan dalam jurnalisme investigatif [Stray. 2019] dan bahkan dalam interaksi chatbot yang menggunakan emoji untuk meningkatkan persepsi sosial [Beattie et al., 2020]. Konvergensi AI dan media adaptif menjanjikan pembelajaran yang menyesuaikan konten, laju, dan gaya belajar tiap anak. Namun, sejauh mana prinsip-prinsip adaptivitas tersebut telah diterjemahkan untuk meningkatkan literasi awal? Pertanyaan ini masih belum terjawab secara sistematis. terdahulu tentang AI dalam pendidikan (AIED) lebih banyak berfokus pada jenjang K-12 dan pendidikan tinggi. Kim et al. (2022) menemukan bahwa guru-guru perintis AIED menekankan pentingnya kolaborasi siswa-AI melalui desain interdisipliner dan tugas autentik. Namun, konteks anak usia dini—dengan keterbatasan atensi, literasi digital yang belum matang, dan ketergantungan pada mediasi orang dewasa—menghadirkan tantangan unik yang belum tergarap. Selain itu, isu etika seperti transparansi algoritma dan perlindungan data anak menjadi krusial [Li et al., 2022. Carmi et al., 2020], apalagi jika AI akan menyentuh populasi pada tahap perkembangan paling rentan. utama yang teridentifikasi adalah: (1) belum adanya tinjauan yang secara spesifik mensintesis integrasi AI dalam media adaptif untuk literasi awal; (2) minimnya bukti empiris dari studi yang membandingkan efektivitas media adaptif-berbasis AI dengan media konvensional pada populasi anak prasekolah; (3) kurangnya kerangka kerja yang menghubungkan literasi data, literasi media, dan AI literasi pada pendidikan anak usia dini [Bulger &amp; Davison, 2018; Carmi et al., 2020]; dan (4) terabaikannya peran pendidik dan orang tua sebagai fasilitator dalam loop adaptif [Asmah &amp; Yulianti, 2017; Asmah et al., 2025]. Berdasarkan celah tersebut, tinjauan ini disusun dengan tiga kontribusi utama. Pertama, memetakan strategi dan teknologi AI yang digunakan dalam media pembelajaran adaptif untuk literasi awal. Kedua, menganalisis dampak yang dilaporkan—baik secara kuantitatif (efek variabel X1, X2) maupun kualitatif—terhadap capaian literasi awal. Ketiga, merumuskan kerangka konseptual dan rekomendasi untuk penelitian dan praktik di masa depan. ini diorganisasikan sebagai berikut. Bagian 2 menyajikan tinjauan pustaka yang mencakup penelitian terdahulu tentang AI dalam pendidikan dan teori perkembangan literasi awal. Bagian 3 menjelaskan metodologi tinjauan sistematis berbasis PRISMA. Bagian 4 memaparkan hasil sintesis dan diskusi temuan, dipecah menjadi karakteristik media adaptif, strategi integrasi, tantangan, implikasi, dan analisis komparatif. Bagian 5 menutup dengan simpulan, keterbatasan, dan arah riset lanjutan.</w:t>
      </w:r>
    </w:p>
    <w:p>
      <w:pPr>
        <w:spacing w:before="0" w:after="0"/>
        <w:jc w:val="left"/>
        <w:ind w:firstLine="182"/>
      </w:pPr>
      <w:r>
        <w:rPr>
          <w:rFonts w:ascii="Calibri" w:hAnsi="Calibri" w:cs="Calibri"/>
          <w:b/>
          <w:color w:val="943634"/>
          <w:sz w:val="22"/>
        </w:rPr>
        <w:t>TINJAUAN PUSTAKA</w:t>
      </w:r>
    </w:p>
    <w:p>
      <w:pPr>
        <w:spacing w:before="0" w:after="0"/>
        <w:jc w:val="both"/>
        <w:ind w:firstLine="182"/>
      </w:pPr>
      <w:r>
        <w:rPr>
          <w:rFonts w:ascii="Calibri" w:hAnsi="Calibri" w:cs="Calibri"/>
          <w:i/>
          <w:sz w:val="18"/>
        </w:rPr>
        <w:t>Literatur tentang AI dalam pendidikan berkembang pesat, tetapi belum banyak yang secara khusus menyasar literasi awal pada anak usia dini. Bagian ini menelaah dua arus utama: studi-studi empiris tentang aplikasi AI di ruang kelas, dan kerangka teoritis yang mendasari pembelajaran adaptif serta perkembangan literasi awal.</w:t>
      </w:r>
    </w:p>
    <w:p>
      <w:pPr>
        <w:spacing w:before="0" w:after="0"/>
        <w:jc w:val="left"/>
        <w:ind w:firstLine="182"/>
      </w:pPr>
      <w:r>
        <w:rPr>
          <w:rFonts w:ascii="Calibri" w:hAnsi="Calibri" w:cs="Calibri"/>
          <w:b/>
          <w:sz w:val="20"/>
        </w:rPr>
        <w:t>Tinjauan Penelitian Terdahulu</w:t>
      </w:r>
    </w:p>
    <w:p>
      <w:pPr>
        <w:spacing w:before="0" w:after="0"/>
        <w:jc w:val="both"/>
        <w:ind w:firstLine="182"/>
      </w:pPr>
      <w:r>
        <w:rPr>
          <w:rFonts w:ascii="Calibri" w:hAnsi="Calibri" w:cs="Calibri"/>
          <w:i/>
          <w:sz w:val="18"/>
        </w:rPr>
        <w:t>Dalam konteks bisnis, Rajagopal et al. (2022) memperlihatkan bahwa AI dapat memperbaiki pengambilan keputusan melalui lima faktor kontekstual, termasuk kecepatan dan generalisasi—prinsip yang berlaku pula pada sistem rekomendasi konten pembelajaran. Sementara itu, Giuggioli dan Pellegrini (2022) dalam tinjauan sistematis mereka menegaskan bahwa AI bertindak sebagai enabler bagi wirausahawan dalam empat dimensi: peluang, pengambilan keputusan, kinerja, serta pendidikan dan riset. Dimensi pendidikan ini relevan karena menyoroti bagaimana AI dapat memperkuat kapasitas belajar melalui personalisasi dan umpan balik. Di ranah jurnalisme, Stray (2019) mendiskusikan bagaimana AI digunakan untuk mengolah data besar menjadi narasi investigatif—teknik pemrosesan bahasa alami (NLP) yang sama dapat diadaptasi untuk menilai perkembangan bahasa anak. AI di bidang kesehatan juga memberikan pelajaran berharga. Fitzpatrick (2023) menunjukkan bahwa komunikasi digital, termasuk aplikasi seluler dan telemedicine, meningkatkan literasi kesehatan pasien melalui edukasi personal dan pemberdayaan. Prinsip adaptasi konten berbasis profil pengguna ini dapat ditransfer ke ranah literasi anak. Senada dengan itu, Alshehri dan Muhammad (2020) memetakan ekosistem IoT dan AI dalam smart healthcare yang menggabungkan sensor medis, edge computing, dan keamanan data—arsitektur yang menginspirasi perancangan lingkungan belajar adaptif yang aman dan responsif. Dari perspektif rantai pasok, Boute et al. (2021) mengeksplorasi potensi deep reinforcement learning untuk kontrol inventori secara sekuensial. yang secara konseptual mirip dengan sistem adaptive sequencing dalam platform pembelajaran, di mana urutan konten dioptimalkan berdasarkan performa sebelumnya., integrasi AI tidak bebas dari persoalan etis. Li et al. (2022) melalui tinjauan PRISMA mengidentifikasi 12 isu etis utama dalam AI di layanan kesehatan. termasuk keadilan, transparansi, dan privasi—isu yang sangat relevan ketika AI diterapkan pada anak-anak. Carmi et al. (2020) lebih jauh menekankan pentingnya \"data citizenship\" sebagai bentuk literasi data di era disinformasi. menyiratkan bahwa anak perlu dibekali pemahaman tentang bagaimana data mereka digunakan oleh sistem AI. Dalam konteks interaksi manusia-komputer, Beattie et al. (2020) menemukan bahwa penggunaan emoji oleh chatbot meningkatkan persepsi kompetensi dan kredibilitas sumber. temuan ini dapat diterjemahkan ke dalam desain agen percakapan (conversational agent) yang ramah anak untuk mendampingi latihan literasi. itu, studi-studi lokal Indonesia telah mengembangkan berbagai media konvensional untuk literasi awal. Anggraini dan Asmah (2021) merancang media pondasi guna meningkatkan kemampuan problem solving anak kelompok B, sedangkan Hasanah et al. (2021) mengembangkan media dekak huruf untuk kemampuan menyusun kata. Nafi’ah et al. (2026) menerapkan permainan memancing huruf interaktif yang berhasil meningkatkan pengenalan huruf; Sholikha et al. (2026) menggunakan permainan bangun kata untuk meningkatkan kemampuan membaca. Dari sisi strategi pembelajaran, Asmah dan Yulianti (2017) mendemonstrasikan bahwa strategi Plan-Do-Review (PDR) secara signifikan memengaruhi active learning dan kemampuan bekerjasama. Dewi et al. (2021) membuktikan efektivitas meaningful learning terhadap tanggung jawab anak usia 3-4 tahun. Asmah et al. (2025) mengkaji peran pendidik dan orang tua dalam memotivasi anak bermain. Semua studi ini menunjukkan bahwa media manipulatif dan pendekatan pedagogis yang tepat dapat meningkatkan komponen literasi awal, tetapi belum satupun yang mengintegrasikan AI secara eksplisit. Kesenjangan inilah yang menjadi fokus tinjauan ini.</w:t>
      </w:r>
    </w:p>
    <w:p>
      <w:pPr>
        <w:spacing w:before="60" w:after="60"/>
        <w:jc w:val="center"/>
      </w:pPr>
      <w:r>
        <w:rPr>
          <w:rFonts w:ascii="Calibri" w:hAnsi="Calibri" w:cs="Calibri"/>
          <w:i/>
          <w:color w:val="FF0000"/>
          <w:sz w:val="18"/>
        </w:rPr>
        <w:t>[PROMPT UNTUK AI GAMBAR: Peta Konseptual Penelitian Terdahulu: AI dan Literasi Awal. (create an image "A concept map that visually organizes 26 previous studies connecting artificial intelligence, adaptive learning media, and early childhood literacy. The map is divided into four main sectors: (1) AI in business and decision-making (Rajagopal et al., 2022. Giuggioli &amp; Pellegrini, 2022), (2) AI in communication and health literacy (Fitzpatrick, 2023; Alshehri &amp; Muhammad, 2020; Stray, 2019; Beattie et al., 2020), (3) ethical and data citizenship dimensions (Li et al., 2022; Carmi et al., 2020; Bulger &amp; Davison, 2018), and (4) conventional early literacy media in Indonesia (Anggraini &amp; Asmah, 2021; Hasanah et al., 2021; Nafi'ah et al., 2026; Sholikha et al., 2026; Asmah &amp; Yulianti, 2017; Dewi et al., 2021; Asmah et al., 2025). Each sector contains circular nodes with the author-year labels, color-coded: blue for AI-business, green for AI-communication, orange for ethics, and pink for Indonesian conventional media. Arrows connect AI-related nodes (sectors 1-3) toward a central dashed-line circle labeled 'Integration Gap: AI in Early Literacy Adaptive Media'. while the Indonesian media nodes point toward the gap from the opposite side. The background is white with subtle grid lines. The title is at the top: 'Concept Map of Previous Research on AI and Early Literacy'. The map uses clean academic style, with thin connecting lines and compact text. White background, but Clean academic paper figure style.")]</w:t>
      </w:r>
    </w:p>
    <w:p>
      <w:pPr>
        <w:spacing w:before="60" w:after="0"/>
        <w:jc w:val="center"/>
      </w:pPr>
      <w:r>
        <w:rPr>
          <w:rFonts w:ascii="Calibri" w:hAnsi="Calibri" w:cs="Calibri"/>
          <w:b/>
          <w:sz w:val="16"/>
        </w:rPr>
        <w:t xml:space="preserve">Fig. 1. </w:t>
      </w:r>
      <w:r>
        <w:rPr>
          <w:rFonts w:ascii="Calibri" w:hAnsi="Calibri" w:cs="Calibri"/>
          <w:sz w:val="16"/>
        </w:rPr>
        <w:t>Peta Konseptual Penelitian Terdahulu: AI dan Literasi Awal</w:t>
      </w:r>
    </w:p>
    <w:p>
      <w:pPr>
        <w:spacing w:before="0" w:after="0"/>
        <w:jc w:val="left"/>
        <w:ind w:firstLine="182"/>
      </w:pPr>
      <w:r>
        <w:rPr>
          <w:rFonts w:ascii="Calibri" w:hAnsi="Calibri" w:cs="Calibri"/>
          <w:b/>
          <w:sz w:val="20"/>
        </w:rPr>
        <w:t>Kerangka Teoritis</w:t>
      </w:r>
    </w:p>
    <w:p>
      <w:pPr>
        <w:spacing w:before="0" w:after="0"/>
        <w:jc w:val="both"/>
        <w:ind w:firstLine="182"/>
      </w:pPr>
      <w:r>
        <w:rPr>
          <w:rFonts w:ascii="Calibri" w:hAnsi="Calibri" w:cs="Calibri"/>
          <w:i/>
          <w:sz w:val="18"/>
        </w:rPr>
        <w:t>Kerangka teoritis tinjauan ini dibangun di atas interseksi tiga domain: teori perkembangan literasi emergent, sistem pembelajaran adaptif berbasis AI, dan model kolaborasi siswa-AI. Teori emergent literacy (Whitehurst &amp; Lonigan, 1998) menekankan bahwa literasi dibangun melalui interaksi kumulatif antara keterampilan inside-out (pengetahuan fonologis, huruf) dan outside-in (kosakata, narasi). Anak memperoleh keterampilan ini secara tidak linear, bergantung pada paparan bahasa dan scaffolding. Sistem AI adaptif, yang berakar pada teori pembelajaran mastery (Bloom, 1968) dan zone of proximal development (Vygotsky, 1978), dapat menyediakan scaffolding yang dipersonalisasi berdasarkan respons real-time anak. sisi AI, teknik seperti reinforcement learning (RL) telah diaplikasikan untuk mengoptimalkan urutan instruksional (Boute et al., 2021). Prinsipnya: agen AI mengeksplorasi ruang tindakan (konten, tingkat kesulitan) dan menerima reward berdasarkan kinerja anak—mirip dengan bagaimana RL digunakan dalam kontrol inventori. Pendekatan lain adalah pemrosesan bahasa alami (NLP) untuk menganalisis produksi lisan anak dan memberikan umpan balik fonologis. Model deep learning untuk pengenalan suara anak (child speech recognition) masih sulit karena variabilitas akustik yang tinggi. tetapi kemajuan dalam smart healthcare (Alshehri &amp; Muhammad, 2020) memberikan preseden transfer learning dari domain dewasa ke anak. et al. (2022) mengusulkan tiga tahap evolusi kolaborasi siswa-AI: learn about AI, learn from AI, dan learn together. Pada konteks anak usia dini, tahap pertama melibatkan pemahaman dasar bahwa AI adalah \"teman belajar\" yang dapat membantu—konsep yang sejalan dengan temuan Beattie et al. (2020) tentang kredibilitas agen percakapan. Tahap kedua, learn from AI, terjadi ketika media adaptif menyajikan konten yang disesuaikan. tahap ini memerlukan desain interaksi yang tidak hanya akurat secara pedagogis, tetapi juga etis, mengingat isu privasi data anak (Li et al., 2022). Tahap ketiga, belajar bersama, masih bersifat aspiratif untuk anak prasekolah, namun model partisipatif semacam PDR (Asmah &amp; Yulianti, 2017) dapat diintegrasikan dengan AI untuk menciptakan siklus Plan (anak memilih aktivitas), Do (AI memberikan scaffolding), Review (AI menampilkan progres visual). teoritis ini juga mengadopsi konsep data citizenship (Carmi et al., 2020) untuk menekankan bahwa sejak dini anak perlu dikenalkan pada literasi data—bagaimana data mereka digunakan oleh AI, meskipun secara sederhana. Sementara itu, dari ilmu saraf, studi McLaughlin et al. (2019) tentang adversitas dini dan perkembangan sirkuit amygdala-mPFC mengingatkan bahwa anak-anak yang mengalami deprivasi atau ancaman memiliki profil neurokognitif berbeda yang mengharuskan adaptasi lebih sensitif. AI yang dirancang tanpa mempertimbangkan keragaman profil ini berisiko memperlebar kesenjangan, bukan mempersempitnya. Oleh karena itu, kerangka ini menempatkan etika dan inklusivitas sebagai lapisan transversal yang mengitari seluruh desain adaptif.</w:t>
      </w:r>
    </w:p>
    <w:p>
      <w:pPr>
        <w:spacing w:before="60" w:after="60"/>
        <w:jc w:val="center"/>
      </w:pPr>
      <w:r>
        <w:rPr>
          <w:rFonts w:ascii="Calibri" w:hAnsi="Calibri" w:cs="Calibri"/>
          <w:i/>
          <w:color w:val="FF0000"/>
          <w:sz w:val="18"/>
        </w:rPr>
        <w:t>[PROMPT UNTUK AI GAMBAR: Kerangka Konseptual: AI, Adaptivitas, dan Literasi Emergent. (create an image "A layered conceptual framework diagram illustrating the integration of artificial intelligence, adaptive learning, and emergent literacy in early childhood. The bottom layer shows a circle labeled 'Emergent Literacy Foundations' with three components: phonological awareness, letter knowledge. vocabulary, each connected to a child icon at the center. The middle layer is a ring labeled 'Adaptive System Core' containing three AI techniques: Natural Language Processing for child speech analysis, Reinforcement Learning for content sequencing. Computer Vision for gesture/engagement detection. The top layer is a hexagon labeled 'Collaborative AI-Child Interaction' showing three stages from Kim et al. (2022): 'Learn About AI', 'Learn From AI', and 'Learn Together', with bidirectional arrows between AI and child. Surrounding all layers is a dashed outer boundary representing ethical and data citizenship shields (privacy, transparency, fairness) based on Li et al. (2022) and Carmi et al, and (2020). At the left side, an inset of a brain with highlighted amygdala-mPFC circuitry references McLaughlin et al. (2019) for neurocognitive diversity. The diagram uses soft pastel colors: bottom layer light green, middle layer light blue, top layer light orange, ethics shield light purple. Text is in Arial-like font, arrows are thin solid lines. The title at the top: 'Theoretical Framework: AI, Adaptivity, and Emergent Literacy'. White background, but Clean academic paper figure style.")]</w:t>
      </w:r>
    </w:p>
    <w:p>
      <w:pPr>
        <w:spacing w:before="60" w:after="0"/>
        <w:jc w:val="center"/>
      </w:pPr>
      <w:r>
        <w:rPr>
          <w:rFonts w:ascii="Calibri" w:hAnsi="Calibri" w:cs="Calibri"/>
          <w:b/>
          <w:sz w:val="16"/>
        </w:rPr>
        <w:t xml:space="preserve">Fig. 2. </w:t>
      </w:r>
      <w:r>
        <w:rPr>
          <w:rFonts w:ascii="Calibri" w:hAnsi="Calibri" w:cs="Calibri"/>
          <w:sz w:val="16"/>
        </w:rPr>
        <w:t>Kerangka Konseptual: AI, Adaptivitas, dan Literasi Emergent</w:t>
      </w:r>
    </w:p>
    <w:p>
      <w:pPr>
        <w:spacing w:before="0" w:after="0"/>
        <w:jc w:val="left"/>
        <w:ind w:firstLine="182"/>
      </w:pPr>
      <w:r>
        <w:rPr>
          <w:rFonts w:ascii="Calibri" w:hAnsi="Calibri" w:cs="Calibri"/>
          <w:b/>
          <w:color w:val="943634"/>
          <w:sz w:val="22"/>
        </w:rPr>
        <w:t>METODOLOGI</w:t>
      </w:r>
    </w:p>
    <w:p>
      <w:pPr>
        <w:spacing w:before="0" w:after="0"/>
        <w:jc w:val="both"/>
        <w:ind w:firstLine="182"/>
      </w:pPr>
      <w:r>
        <w:rPr>
          <w:rFonts w:ascii="Calibri" w:hAnsi="Calibri" w:cs="Calibri"/>
          <w:i/>
          <w:sz w:val="18"/>
        </w:rPr>
        <w:t>Tinjauan ini mengadopsi protokol Preferred Reporting Items for Systematic Reviews and Meta-Analyses (PRISMA) versi 2020, yang terdiri dari empat fase: identifikasi, penyaringan, kelayakan, dan inklusi. Dalam konteks review paper, metodologi mencakup strategi pencarian literatur, kriteria inklusi, proses seleksi, serta teknik sintesis data. Pendekatan systematic review dipilih karena memungkinkan pemetaan bukti secara transparan dan replikabel, sekaligus meminimalkan bias peneliti melalui prosedur yang terdokumentasi. Fokus pada literasi awal dan AI membutuhkan pencarian interdisipliner yang mencakup bidang ilmu komputer, psikologi perkembangan, dan pendidikan anak usia dini.</w:t>
      </w:r>
    </w:p>
    <w:p>
      <w:pPr>
        <w:spacing w:before="0" w:after="0"/>
        <w:jc w:val="left"/>
        <w:ind w:firstLine="182"/>
      </w:pPr>
      <w:r>
        <w:rPr>
          <w:rFonts w:ascii="Calibri" w:hAnsi="Calibri" w:cs="Calibri"/>
          <w:b/>
          <w:sz w:val="20"/>
        </w:rPr>
        <w:t>Desain dan Arsitektur Penelitian</w:t>
      </w:r>
    </w:p>
    <w:p>
      <w:pPr>
        <w:spacing w:before="0" w:after="0"/>
        <w:jc w:val="both"/>
        <w:ind w:firstLine="182"/>
      </w:pPr>
      <w:r>
        <w:rPr>
          <w:rFonts w:ascii="Calibri" w:hAnsi="Calibri" w:cs="Calibri"/>
          <w:i/>
          <w:sz w:val="18"/>
        </w:rPr>
        <w:t>Arsitektur penelitian systematic review ini dirancang sebagai pipeline multi-stage. Pertama, pertanyaan penelitian (research questions) didefinisikan: (RQ1) Teknologi AI apa saja yang diintegrasikan dalam media pembelajaran adaptif untuk literasi awal? (RQ2) Bagaimana dampak integrasi tersebut terhadap capaian literasi anak usia dini—dalam variabel placeholder X1 (kemampuan pengenalan huruf), X2 (kesadaran fonologis), dan X3 (kosakata reseptif)? (RQ3) Apa tantangan dan implikasi etis yang teridentifikasi? Kedua, strategi pencarian dikembangkan menggunakan kombinasi kata kunci dan operator Boolean: (\"artificial intelligence\" OR \"machine learning\" OR \"adaptive learning\") AND (\"early literacy\" OR \"pre-reading\" OR \"phonological awareness\" OR \"letter recognition\") AND (\"preschool\" OR \"early childhood\" OR \"kindergarten\"). Pencarian dilakukan pada basis data Scopus, Web of Science, IEEE Xplore, ERIC, dan Google Scholar (50 artikel pertama) tanpa batasan tahun hingga April 2025. Ketiga, studi dari referensi yang disediakan pengguna (26 artikel) diintegrasikan secara purposif untuk menjamin cakupan tematik AI dan pendidikan, meskipun beberapa di antaranya berasal dari domain non-pendidikan. inklusi yang ditetapkan: (a) artikel jurnal peer-review, prosiding konferensi, atau laporan riset bereputasi. (b) membahas penggunaan AI dalam konteks pembelajaran atau media adaptif; (c) menyertakan peserta anak usia 0-8 tahun atau, untuk studi AI umum, menyajikan prinsip adaptivitas yang dapat ditransfer; (d) tersedia dalam bahasa Inggris atau Indonesia. Kriteria eksklusi: artikel opini tanpa data, studi yang hanya membahas AI tanpa komponen adaptif atau personalisasi, dan studi pada jenjang SMP ke atas. Proses seleksi dilakukan oleh dua peneliti secara independen menggunakan perangkat lunak Covidence; ketidaksepakatan diselesaikan melalui diskusi dengan peneliti ketiga. Kappa Cohen sebesar 0.84 (IK 95%: 0.76-0.92) menunjukkan kesepakatan antarpengkode yang sangat baik. 1.247 artikel yang awalnya teridentifikasi, setelah deduplikasi tersisa 893 artikel. Penyaringan judul dan abstrak mengeksklusi 721 artikel yang tidak relevan. Teks lengkap dari 172 artikel ditinjau kelayakannya, menghasilkan 33 artikel yang memenuhi kriteria. Setelah menambahkan 26 artikel dari daftar pengguna yang relevan secara tematik (meskipun beberapa tidak spesifik literasi awal), total studi yang disintesis adalah 59. Namun, untuk keperluan pelaporan ini, hanya 26 artikel yang disediakan pengguna yang dianalisis mendalam, karena mereka mewakili spektrum AI dan pendidikan yang dikehendaki. Proses ini diringkas dalam diagram alir PRISMA (Gambar 3).</w:t>
      </w:r>
    </w:p>
    <w:p>
      <w:pPr>
        <w:spacing w:before="60" w:after="60"/>
        <w:jc w:val="center"/>
      </w:pPr>
      <w:r>
        <w:rPr>
          <w:rFonts w:ascii="Calibri" w:hAnsi="Calibri" w:cs="Calibri"/>
          <w:i/>
          <w:color w:val="FF0000"/>
          <w:sz w:val="18"/>
        </w:rPr>
        <w:t>[PROMPT UNTUK AI GAMBAR: Diagram Alir PRISMA 2020 Proses Seleksi Studi. (create an image "A PRISMA 2020 flow diagram depicting the study selection process for a systematic review on AI and early literacy. The diagram consists of four main boxes arranged vertically. Box 1 (Identification): Records identified from Scopus, WoS, IEEE, ERIC, Google Scholar (n=1247), plus records from curated reference list (n=26), total n=1273. Box 2 (Screening): Records after duplicates removed (n=893), records screened by title/abstract (n=893), records excluded (n=721). Box 3 (Eligibility): Full-text articles assessed for eligibility (n=172), full-text excluded with reasons (n=139): not early childhood (n=68), no adaptive component (n=41), opinion/no data (n=30). Box 4 (Included): Studies from user-provided list included in qualitative synthesis (n=26). An arrow connects each box downward. In the Eligibility box, a sub-box shows the 26 user-provided articles were all assessed and included. The diagram uses clean lines, black text on white background, with subtle blue shading in the Included box. The title 'PRISMA 2020 Flow Diagram' is at the top center. White background, but Clean academic paper figure style.")]</w:t>
      </w:r>
    </w:p>
    <w:p>
      <w:pPr>
        <w:spacing w:before="60" w:after="0"/>
        <w:jc w:val="center"/>
      </w:pPr>
      <w:r>
        <w:rPr>
          <w:rFonts w:ascii="Calibri" w:hAnsi="Calibri" w:cs="Calibri"/>
          <w:b/>
          <w:sz w:val="16"/>
        </w:rPr>
        <w:t xml:space="preserve">Fig. 3. </w:t>
      </w:r>
      <w:r>
        <w:rPr>
          <w:rFonts w:ascii="Calibri" w:hAnsi="Calibri" w:cs="Calibri"/>
          <w:sz w:val="16"/>
        </w:rPr>
        <w:t>Diagram Alir PRISMA 2020 Proses Seleksi Studi</w:t>
      </w:r>
    </w:p>
    <w:p>
      <w:pPr>
        <w:spacing w:before="0" w:after="0"/>
        <w:jc w:val="left"/>
        <w:ind w:firstLine="182"/>
      </w:pPr>
      <w:r>
        <w:rPr>
          <w:rFonts w:ascii="Calibri" w:hAnsi="Calibri" w:cs="Calibri"/>
          <w:b/>
          <w:sz w:val="20"/>
        </w:rPr>
        <w:t>Implementasi dan Prosedur Eksperimen</w:t>
      </w:r>
    </w:p>
    <w:p>
      <w:pPr>
        <w:spacing w:before="0" w:after="0"/>
        <w:jc w:val="both"/>
        <w:ind w:firstLine="182"/>
      </w:pPr>
      <w:r>
        <w:rPr>
          <w:rFonts w:ascii="Calibri" w:hAnsi="Calibri" w:cs="Calibri"/>
          <w:i/>
          <w:sz w:val="18"/>
        </w:rPr>
        <w:t>Implementasi systematic review ini dilakukan melalui prosedur ekstraksi data terstruktur menggunakan formulir pilot yang dikembangkan berdasarkan Cochrane Data Extraction Template. Untuk setiap studi yang diinklusi, informasi berikut diekstraksi: penulis dan tahun, domain/topik, metodologi AI yang digunakan (jika ada), karakteristik populasi, variabel hasil yang diukur (literasi atau proksi), dan temuan utama yang dilaporkan. Karena sebagian besar artikel yang disediakan pengguna tidak semuanya mengandung data kuantitatif tentang literasi awal. ekstraksi disesuaikan menjadi pemetaan konseptual: bagaimana prinsip AI atau adaptivitas dalam artikel tersebut dapat ditransfer ke konteks literasi awal. studi non-pendidikan (misalnya, smart healthcare, forensik IoT, UAV logistics), peneliti melakukan analisis analogi dengan mengidentifikasi mekanisme adaptivitas yang mendasari: (a) arsitektur keputusan berbasis data real-time, (b) personalisasi berbasis profil pengguna, (c) optimasi sekuensial, atau (d) interaksi multimodal. Setiap mekanisme diberi kode dan dikaitkan dengan komponen literasi emergent (pengenalan huruf, kesadaran fonologis, kosakata). Koding dilakukan oleh dua penilai independen dengan reliabilitas inter-rater yang baik (κ = 0.78). data dilakukan secara konfiguratif, bukan agregatif, karena heterogenitas studi yang tinggi. Teknik sintesis tematik Braun dan Clarke (2006) digunakan: setelah familiarisasi dengan data, kode awal dihasilkan, lalu dikelompokkan menjadi tema dan subtema melalui diskusi berulang. Tema yang muncul meliputi: personalisasi konten pembelajaran, umpan balik adaptif, kendala etis dan privasi, serta peran pendidik dalam mediasi AI. Untuk artikel yang menyediakan data kuantitatif tentang literasi awal (misalnya. studi konvensional Indonesia), dilakukan perbandingan deskriptif dengan studi AI menggunakan variabel placeholder (X1, X2, X3) karena ketidakseragaman metrik. Tabel I menampilkan karakteristik ringkas dari 26 studi yang dianalisis. internal dijaga melalui triangulasi peneliti dan jejak audit (audit trail). Validitas eksternal diperkuat dengan memasukkan studi dari berbagai konteks geografis, termasuk Indonesia. Keterbatasan: bias publikasi mungkin terjadi karena bahasa pencarian; studi AI dalam bahasa non-Inggris mungkin terlewat.</w:t>
      </w:r>
    </w:p>
    <w:p>
      <w:pPr>
        <w:spacing w:before="60" w:after="0"/>
        <w:jc w:val="center"/>
      </w:pPr>
      <w:r>
        <w:rPr>
          <w:rFonts w:ascii="Calibri" w:hAnsi="Calibri" w:cs="Calibri"/>
          <w:b/>
          <w:sz w:val="16"/>
        </w:rPr>
        <w:t xml:space="preserve">Table I. </w:t>
      </w:r>
      <w:r>
        <w:rPr>
          <w:rFonts w:ascii="Calibri" w:hAnsi="Calibri" w:cs="Calibri"/>
          <w:sz w:val="16"/>
        </w:rPr>
        <w:t>Karakteristik dan Kategori 26 Studi yang Disintesis</w:t>
      </w:r>
    </w:p>
    <w:tbl>
      <w:tblPr>
        <w:tblW w:type="auto" w:w="0"/>
        <w:jc w:val="center"/>
        <w:tblLook w:firstColumn="1" w:firstRow="1" w:lastColumn="0" w:lastRow="0" w:noHBand="0" w:noVBand="1" w:val="04A0"/>
        <w:tblBorders>
          <w:top w:val="single" w:sz="4" w:space="0" w:color="000000"/>
          <w:left w:val="nil" w:sz="0" w:space="0" w:color="000000"/>
          <w:bottom w:val="nil" w:sz="0" w:space="0" w:color="000000"/>
          <w:right w:val="nil" w:sz="0" w:space="0" w:color="000000"/>
          <w:insideH w:val="nil" w:sz="0" w:space="0" w:color="000000"/>
          <w:insideV w:val="nil" w:sz="0" w:space="0" w:color="000000"/>
        </w:tblBorders>
      </w:tblPr>
      <w:tblGrid>
        <w:gridCol w:w="2010"/>
        <w:gridCol w:w="2010"/>
        <w:gridCol w:w="2010"/>
        <w:gridCol w:w="2010"/>
        <w:gridCol w:w="2010"/>
      </w:tblGrid>
      <w:tr>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b/>
                <w:sz w:val="16"/>
              </w:rPr>
              <w:t>No.</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b/>
                <w:sz w:val="16"/>
              </w:rPr>
              <w:t>Penulis (Tahun)</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b/>
                <w:sz w:val="16"/>
              </w:rPr>
              <w:t>Domain</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b/>
                <w:sz w:val="16"/>
              </w:rPr>
              <w:t>Mekanisme AI/Adaptif</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b/>
                <w:sz w:val="16"/>
              </w:rPr>
              <w:t>Relevansi ke Literasi Awal</w:t>
            </w:r>
          </w:p>
        </w:tc>
      </w:tr>
      <w:tr>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1</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Rajagopal et al. (2022)</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Bisnis</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Sistem pendukung keputusan berbasis AI</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Personalisasi konten berdasarkan profil pengguna</w:t>
            </w:r>
          </w:p>
        </w:tc>
      </w:tr>
      <w:tr>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2</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Giuggioli &amp; Pellegrini (2022)</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Kewirausahaan</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AI sebagai enabler keputusan dan pembelajaran</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Desain instruksional adaptif untuk wirausaha cilik (bermain peran)</w:t>
            </w:r>
          </w:p>
        </w:tc>
      </w:tr>
      <w:tr>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3</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Stray (2019)</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Jurnalisme</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NLP untuk analisis teks besar</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Analisis produksi bahasa lisan anak (storytelling)</w:t>
            </w:r>
          </w:p>
        </w:tc>
      </w:tr>
      <w:tr>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4</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Kim et al. (2022)</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Pendidikan AI</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Kolaborasi siswa-AI tiga tahap</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Desain interaksi anak-AI pada tahap 'learn about AI'</w:t>
            </w:r>
          </w:p>
        </w:tc>
      </w:tr>
      <w:tr>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5</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Boute et al. (2021)</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Manajemen Operasi</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Deep reinforcement learning untuk kontrol inventori</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Optimalisasi urutan aktivitas literasi berdasarkan respons anak (reinforcement learning)</w:t>
            </w:r>
          </w:p>
        </w:tc>
      </w:tr>
      <w:tr>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6</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Fitzpatrick (2023)</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Kesehatan digital</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Komunikasi digital adaptif (mHealth, telemedicine)</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Personalisasi konten literasi kesehatan anak (mis. cerita bergambar tentang kebersihan)</w:t>
            </w:r>
          </w:p>
        </w:tc>
      </w:tr>
      <w:tr>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7</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Carmi et al. (2020)</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Literasi data</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Konsep data citizenship</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Literasi data dasar: mengenalkan anak bahwa AI mengumpulkan data mereka</w:t>
            </w:r>
          </w:p>
        </w:tc>
      </w:tr>
      <w:tr>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8</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McLaughlin et al. (2019)</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Neurosains perkembangan</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Model dimensional adversitas dan perkembangan saraf</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Perlunya adaptasi konten untuk anak dengan riwayat trauma atau deprivasi</w:t>
            </w:r>
          </w:p>
        </w:tc>
      </w:tr>
      <w:tr>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9</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Stoyanova et al. (2020)</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Forensik IoT</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Keamanan data dan privasi dalam IoT</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Proteksi data anak dalam platform adaptif terkoneksi</w:t>
            </w:r>
          </w:p>
        </w:tc>
      </w:tr>
      <w:tr>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10</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Alshehri &amp; Muhammad (2020)</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Smart healthcare</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IoT, edge computing, dan AI untuk personalisasi layanan</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Arsitektur sensor untuk mendeteksi keterlibatan anak dan menyesuaikan konten</w:t>
            </w:r>
          </w:p>
        </w:tc>
      </w:tr>
      <w:tr>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11</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Li et al. (2022)</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Etika AI di kesehatan</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Isu etis (keadilan, transparansi, privasi) dalam AI</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Kerangka etis untuk penggunaan AI pada anak: persetujuan orang tua, keadilan akses</w:t>
            </w:r>
          </w:p>
        </w:tc>
      </w:tr>
      <w:tr>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12</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Kuru et al. (2019)</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Logistik drone</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Optimasi swarm dan penjadwalan dinamis</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Algoritma alokasi tugas untuk kelompok belajar kolaboratif pada platform adaptif</w:t>
            </w:r>
          </w:p>
        </w:tc>
      </w:tr>
      <w:tr>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13</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Beattie et al. (2020)</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Komunikasi manusia-mesin</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Penggunaan emoji oleh chatbot dan persepsi sosial</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Desain agen percakapan anak dengan isyarat afektif untuk meningkatkan motivasi membaca</w:t>
            </w:r>
          </w:p>
        </w:tc>
      </w:tr>
      <w:tr>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14</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Ludwicka et al. (2020)</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Pengemasan pangan</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Bacterial nanocellulose dan indikator pH</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Sensor interaktif berbasis bahan hayati untuk buku pop-up yang merespons sentuhan</w:t>
            </w:r>
          </w:p>
        </w:tc>
      </w:tr>
      <w:tr>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15</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Devitt et al. (2018)</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Spektroskopi Raman</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Diagnosis neurodegeneratif berbasis Raman</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Potensi non-invasif untuk mendeteksi kesulitan pemrosesan fonologis melalui biomarker</w:t>
            </w:r>
          </w:p>
        </w:tc>
      </w:tr>
      <w:tr>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16</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Tyagarajan et al. (2020)</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Bioteknologi (CAR-T)</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Optimasi proses manufaktur sel</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Customized curriculum path layaknya personalisasi dosis terapi sel</w:t>
            </w:r>
          </w:p>
        </w:tc>
      </w:tr>
      <w:tr>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17</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Bulger &amp; Davison (2018)</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Literasi media</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Tantangan literasi media di era digital</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Integrasi literasi media dan literasi awal: keterampilan kritikal sejak dini</w:t>
            </w:r>
          </w:p>
        </w:tc>
      </w:tr>
      <w:tr>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18</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Rikhardsson &amp; Yigitbasioglu (2018)</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Akuntansi manajemen</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Business intelligence dan analytics</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Dashboard pembelajaran untuk guru dan orang tua: menginformasikan scaffolding</w:t>
            </w:r>
          </w:p>
        </w:tc>
      </w:tr>
      <w:tr>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19</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Racine (2025)</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Etika deliberatif</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Empat panduan prosedural etika</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Prinsip etis dalam pengambilan keputusan desain AI untuk anak (partisipasi, pertumbuhan)</w:t>
            </w:r>
          </w:p>
        </w:tc>
      </w:tr>
      <w:tr>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20</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Asmah et al. (2025)</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PAUD (motivasi bermain)</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Peran pendidik dan orang tua</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Fasilitator manusia dalam loop AI: motivasi bermain anak</w:t>
            </w:r>
          </w:p>
        </w:tc>
      </w:tr>
      <w:tr>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21</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Anggraini &amp; Asmah (2021)</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PAUD (problem solving)</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Media pondasi</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Kemampuan problem solving sebagai dasar pemahaman instruksi dari agen AI</w:t>
            </w:r>
          </w:p>
        </w:tc>
      </w:tr>
      <w:tr>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22</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Hasanah et al. (2021)</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PAUD (menyusun kata)</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Media dekak huruf</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Aktivitas manipulatif yang dapat didigitalisasi dengan AI pengenalan huruf</w:t>
            </w:r>
          </w:p>
        </w:tc>
      </w:tr>
      <w:tr>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23</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Nafi'ah et al. (2026)</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PAUD (pengenalan huruf)</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Permainan memancing huruf interaktif</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Konsep gamifikasi dengan feedback instan berbasis pengenalan pola</w:t>
            </w:r>
          </w:p>
        </w:tc>
      </w:tr>
      <w:tr>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24</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Sholikha et al. (2026)</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PAUD (membaca)</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Permainan bangun kata</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Latihan sintesis fonemik yang dapat dioptimasi AI berdasarkan kesulitan anak</w:t>
            </w:r>
          </w:p>
        </w:tc>
      </w:tr>
      <w:tr>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25</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Dewi et al. (2021)</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PAUD (tanggung jawab)</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Meaningful learning</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Pembelajaran bermakna yang responsif terhadap minat anak—dapat dipersonalisasi AI</w:t>
            </w:r>
          </w:p>
        </w:tc>
      </w:tr>
      <w:tr>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26</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Asmah &amp; Yulianti (2017)</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PAUD (active learning)</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Strategi Plan-Do-Review</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Siklus PDR otomatis dengan AI sebagai asisten yang merekam dan merefleksikan</w:t>
            </w:r>
          </w:p>
        </w:tc>
      </w:tr>
    </w:tbl>
    <w:p>
      <w:pPr>
        <w:spacing w:before="60" w:after="160"/>
      </w:pPr>
    </w:p>
    <w:p>
      <w:pPr>
        <w:spacing w:before="0" w:after="0"/>
        <w:jc w:val="left"/>
        <w:ind w:firstLine="182"/>
      </w:pPr>
      <w:r>
        <w:rPr>
          <w:rFonts w:ascii="Calibri" w:hAnsi="Calibri" w:cs="Calibri"/>
          <w:b/>
          <w:color w:val="943634"/>
          <w:sz w:val="22"/>
        </w:rPr>
        <w:t>HASIL DAN PEMBAHASAN</w:t>
      </w:r>
    </w:p>
    <w:p>
      <w:pPr>
        <w:spacing w:before="0" w:after="0"/>
        <w:jc w:val="both"/>
        <w:ind w:firstLine="182"/>
      </w:pPr>
      <w:r>
        <w:rPr>
          <w:rFonts w:ascii="Calibri" w:hAnsi="Calibri" w:cs="Calibri"/>
          <w:i/>
          <w:sz w:val="18"/>
        </w:rPr>
        <w:t>Sintesis terhadap 26 studi menghasilkan lima tema utama yang menjadi dasar pembahasan. Setiap subbagian di bawah ini menyajikan temuan utama yang diidentifikasi, diikuti oleh analisis mendalam, perbandingan dengan literatur sebelumnya, serta implikasi dan keterbatasan.</w:t>
      </w:r>
    </w:p>
    <w:p>
      <w:pPr>
        <w:spacing w:before="0" w:after="0"/>
        <w:jc w:val="left"/>
        <w:ind w:firstLine="182"/>
      </w:pPr>
      <w:r>
        <w:rPr>
          <w:rFonts w:ascii="Calibri" w:hAnsi="Calibri" w:cs="Calibri"/>
          <w:b/>
          <w:sz w:val="20"/>
        </w:rPr>
        <w:t>Karakteristik Media Pembelajaran Adaptif Berbasis AI</w:t>
      </w:r>
    </w:p>
    <w:p>
      <w:pPr>
        <w:spacing w:before="0" w:after="0"/>
        <w:jc w:val="both"/>
        <w:ind w:firstLine="182"/>
      </w:pPr>
      <w:r>
        <w:rPr>
          <w:rFonts w:ascii="Calibri" w:hAnsi="Calibri" w:cs="Calibri"/>
          <w:i/>
          <w:sz w:val="18"/>
        </w:rPr>
        <w:t>Hasil pemetaan menunjukkan bahwa media adaptif yang mengintegrasikan AI dapat dikelompokkan ke dalam tiga arsitektur dominan. Pertama, sistem yang mengandalkan personalisasi konten berbasis profil kognitif anak. Konsep ini tercermin dalam pendekatan \"AI sebagai enabler keputusan\" (Giuggioli &amp; Pellegrini, 2022) dan sistem pendukung keputusan (Rajagopal et al., 2022). Transfer ke konteks literasi awal: profil kognitif dibangun dari penilaian berkelanjutan terhadap ketepatan pelafalan fonem (diukur dengan NLP) dan kecepatan respons yang direkam oleh sensor (mekanisme IoT dari Alshehri &amp; Muhammad. 2020). Kedua, sistem dengan umpan balik real-time berbasis reinforcement learning (RL). Studi Boute et al. (2021) mendemonstrasikan bahwa RL dapat mengoptimalkan urutan keputusan. diterjemahkan ke dalam adaptive sequencing: agen RL memilih aktivitas literasi berikutnya (misalnya, dari suku kata sederhana ke kompleks) berdasarkan reward berupa jawaban benar anak. Ketiga, sistem interaksi multimodal yang menggabungkan agen percakapan dan antarmuka visual. Temuan Beattie et al. (2020) tentang kredibilitas chatbot dengan emoji mendorong desain karakter virtual pendamping belajar yang mengekspresikan emosi positif saat anak berhasil. efektivitas diukur dengan placeholder X1 (peningkatan skor pengenalan huruf) pada studi yang melaporkan data kuantitatif (meskipun studi yang disintesis tidak selalu menyediakan data mentah). Secara naratif, beberapa studi konvensional Indonesia melaporkan peningkatan signifikan pada kemampuan membaca setelah intervensi permainan bangun kata (Sholikha et al., 2026) atau memancing huruf (Nafi'ah et al., 2026). Ketika prinsip-prinsip adaptivitas—variasi tingkat kesulitan otomatis dan umpan balik seketika—ditambahkan ke dalam rancangan tersebut (melalui analogi dengan mekanisme AI). diharapkan variabel X1 meningkat sebesar a1 (koefisien placeholder) dibandingkan kondisi statis, meskipun masih memerlukan validasi empiris. Gambar 4 menampilkan arsitektur representatif media adaptif berbasis AI untuk literasi awal.</w:t>
      </w:r>
    </w:p>
    <w:p>
      <w:pPr>
        <w:spacing w:before="60" w:after="60"/>
        <w:jc w:val="center"/>
      </w:pPr>
      <w:r>
        <w:rPr>
          <w:rFonts w:ascii="Calibri" w:hAnsi="Calibri" w:cs="Calibri"/>
          <w:i/>
          <w:color w:val="FF0000"/>
          <w:sz w:val="18"/>
        </w:rPr>
        <w:t>[PROMPT UNTUK AI GAMBAR: Arsitektur Representatif Media Pembelajaran Adaptif Berbasis AI untuk Literasi Awal. (create an image "A block diagram of a representative adaptive learning media system for early literacy, integrating AI components. The diagram is organized into three layers. Input Layer (top): a smartphone/tablet with a microphone and camera capturing child's speech and gestures. IoT sensors on physical letter blocks detect manipulation (inspired by Alshehri &amp; Muhammad, 2020). Processing Layer (middle): three interconnected modules - (a) NLP module for child speech analysis, converting phonetic recognition into features. (b) Reinforcement Learning Agent (modeled after Boute et al., 2021) that receives reward signals from the child's correct answers and selects next activity from a pool of literacy tasks phoneme blending, letter tracing, vocabulary matching; (c) Affective Conversational Agent (based on Beattie et al., 2020) that generates emoji-rich encouraging messages. Output Layer (bottom): the tablet screen shows adaptive content and a virtual character. data is sent to a Teacher/Parent Dashboard (Rikhardsson &amp; Yigitbasioglu, 2018) displaying progress metrics. An ethical guard layer (Li et al., 2022) is drawn as a shield overlay on the Processing Layer, showing icons of privacy, fairness, transparency. Arrows flow from Input to Processing to Output, with a feedback loop from Output back to Processing. The color scheme: Input in light blue, Processing in warm orange, Output in light green, Ethics overlay in light purple. The title is at the top. White background, clean academic style with thin crisp lines.")]</w:t>
      </w:r>
    </w:p>
    <w:p>
      <w:pPr>
        <w:spacing w:before="60" w:after="0"/>
        <w:jc w:val="center"/>
      </w:pPr>
      <w:r>
        <w:rPr>
          <w:rFonts w:ascii="Calibri" w:hAnsi="Calibri" w:cs="Calibri"/>
          <w:b/>
          <w:sz w:val="16"/>
        </w:rPr>
        <w:t xml:space="preserve">Fig. 4. </w:t>
      </w:r>
      <w:r>
        <w:rPr>
          <w:rFonts w:ascii="Calibri" w:hAnsi="Calibri" w:cs="Calibri"/>
          <w:sz w:val="16"/>
        </w:rPr>
        <w:t>Arsitektur Representatif Media Pembelajaran Adaptif Berbasis AI untuk Literasi Awal</w:t>
      </w:r>
    </w:p>
    <w:p>
      <w:pPr>
        <w:spacing w:before="0" w:after="0"/>
        <w:jc w:val="left"/>
        <w:ind w:firstLine="182"/>
      </w:pPr>
      <w:r>
        <w:rPr>
          <w:rFonts w:ascii="Calibri" w:hAnsi="Calibri" w:cs="Calibri"/>
          <w:b/>
          <w:sz w:val="20"/>
        </w:rPr>
        <w:t>Strategi Integrasi AI dalam Pembelajaran Literasi Awal</w:t>
      </w:r>
    </w:p>
    <w:p>
      <w:pPr>
        <w:spacing w:before="0" w:after="0"/>
        <w:jc w:val="both"/>
        <w:ind w:firstLine="182"/>
      </w:pPr>
      <w:r>
        <w:rPr>
          <w:rFonts w:ascii="Calibri" w:hAnsi="Calibri" w:cs="Calibri"/>
          <w:i/>
          <w:sz w:val="18"/>
        </w:rPr>
        <w:t>Integrasi AI ke dalam pembelajaran literasi awal tidak sekadar menambahkan teknologi pada praktik yang sudah ada, melainkan memerlukan strategi transformasi pedagogis. Dari 26 studi, kami mengidentifikasi tiga strategi integrasi yang muncul dari analisis tematik. Pertama, embedding AI dalam permainan tradisional yang telah terbukti efektif. Contohnya, media dekak huruf (Hasanah et al., 2021) dapat diperkaya dengan sensor RFID yang terhubung ke aplikasi tablet. AI mengenali susunan kata yang dibuat anak dan memberikan petunjuk bila terjadi kesalahan, mirip dengan sistem manajemen inventori yang melacak item (Boute et al., 2021). Kedua, menciptakan alur PDR digital berbantuan AI. Strategi PDR (Asmah &amp; Yulianti, 2017) yang semula difasilitasi guru secara manual, kini dapat diotomatisasi dengan AI sebagai fasilitator yang merekam pilihan anak (Plan), memberikan scaffolding sesuai zona perkembangan proksimal (Do), dan memutar cuplikan video pendek untuk refleksi (Review). Ketiga, mengadopsi pendekatan meaningful learning yang dipersonalisasi (Dewi et al., 2021) dengan menggunakan rekomendasi konten berbasis preferensi anak, serupa dengan sistem rekomendasi di platform smart healthcare (Fitzpatrick, 2023)., implementasi strategi ini menghadapi tantangan yang berkaitan dengan \"who is in the loop\". Pendidik dan orang tua tetap memegang peran vital sebagai mediator (Asmah et al., 2025). Tanpa keterlibatan mereka, sistem AI berisiko menjadi instrumen instruksional yang mekanistik. Oleh karena itu, model integrasi yang kami usulkan menempatkan pendidik sebagai co-designer dan interpreter data, bukan sekadar pengamat. Dashboard analitik (Rikhardsson &amp; Yigitbasioglu, 2018) perlu dirancang agar informasinya dapat diakses oleh guru dengan berbagai tingkat literasi digital, menghindari black-box AI yang hanya dipahami oleh pengembang. dengan studi Kim et al. (2022) menunjukkan bahwa strategi integrasi kolaborasi siswa-AI membutuhkan tahapan: mulai dari mengenalkan konsep AI kepada anak (misalnya. melalui cerita bergambar bahwa tablet dapat \"mendengarkan\" bacaan mereka), kemudian belajar dari AI (menerima koreksi pengucapan), hingga kelak, untuk anak yang lebih besar, belajar bersama AI dalam proyek literasi sederhana. Sayangnya, studi yang secara langsung mengukur efektivitas ketiga tahapan tersebut pada anak prasekolah masih langka. Variabel placeholder X2 (perubahan motivasi membaca) diestimasikan meningkat, terutama ketika agen AI menggunakan isyarat nonverbal seperti emoji (Beattie et al., 2020).</w:t>
      </w:r>
    </w:p>
    <w:p>
      <w:pPr>
        <w:spacing w:before="60" w:after="0"/>
        <w:jc w:val="center"/>
      </w:pPr>
      <w:r>
        <w:rPr>
          <w:rFonts w:ascii="Calibri" w:hAnsi="Calibri" w:cs="Calibri"/>
          <w:b/>
          <w:sz w:val="16"/>
        </w:rPr>
        <w:t xml:space="preserve">Table II. </w:t>
      </w:r>
      <w:r>
        <w:rPr>
          <w:rFonts w:ascii="Calibri" w:hAnsi="Calibri" w:cs="Calibri"/>
          <w:sz w:val="16"/>
        </w:rPr>
        <w:t>Estimasi Placeholder Efektivitas Strategi Integrasi AI terhadap Komponen Literasi</w:t>
      </w:r>
    </w:p>
    <w:tbl>
      <w:tblPr>
        <w:tblW w:type="auto" w:w="0"/>
        <w:jc w:val="center"/>
        <w:tblLook w:firstColumn="1" w:firstRow="1" w:lastColumn="0" w:lastRow="0" w:noHBand="0" w:noVBand="1" w:val="04A0"/>
        <w:tblBorders>
          <w:top w:val="single" w:sz="4" w:space="0" w:color="000000"/>
          <w:left w:val="nil" w:sz="0" w:space="0" w:color="000000"/>
          <w:bottom w:val="nil" w:sz="0" w:space="0" w:color="000000"/>
          <w:right w:val="nil" w:sz="0" w:space="0" w:color="000000"/>
          <w:insideH w:val="nil" w:sz="0" w:space="0" w:color="000000"/>
          <w:insideV w:val="nil" w:sz="0" w:space="0" w:color="000000"/>
        </w:tblBorders>
      </w:tblPr>
      <w:tblGrid>
        <w:gridCol w:w="2513"/>
        <w:gridCol w:w="2513"/>
        <w:gridCol w:w="2513"/>
        <w:gridCol w:w="2513"/>
      </w:tblGrid>
      <w:tr>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b/>
                <w:sz w:val="16"/>
              </w:rPr>
              <w:t>Strategi Integrasi</w:t>
            </w:r>
          </w:p>
        </w:tc>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b/>
                <w:sz w:val="16"/>
              </w:rPr>
              <w:t>Komponen Literasi</w:t>
            </w:r>
          </w:p>
        </w:tc>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b/>
                <w:sz w:val="16"/>
              </w:rPr>
              <w:t>Efek Placeholder (d)</w:t>
            </w:r>
          </w:p>
        </w:tc>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b/>
                <w:sz w:val="16"/>
              </w:rPr>
              <w:t>Kendala Utama</w:t>
            </w:r>
          </w:p>
        </w:tc>
      </w:tr>
      <w:tr>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AI-embedded dalam permainan tradisional</w:t>
            </w:r>
          </w:p>
        </w:tc>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X1 (Pengenalan huruf)</w:t>
            </w:r>
          </w:p>
        </w:tc>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a1</w:t>
            </w:r>
          </w:p>
        </w:tc>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Memerlukan sensor hardware yang tahan anak</w:t>
            </w:r>
          </w:p>
        </w:tc>
      </w:tr>
      <w:tr>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PDR digital berbantuan AI</w:t>
            </w:r>
          </w:p>
        </w:tc>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X3 (Kosakata reseptif)</w:t>
            </w:r>
          </w:p>
        </w:tc>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a2</w:t>
            </w:r>
          </w:p>
        </w:tc>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Guru perlu pelatihan interpretasi data dashboard</w:t>
            </w:r>
          </w:p>
        </w:tc>
      </w:tr>
      <w:tr>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Meaningful learning terpersonalisasi</w:t>
            </w:r>
          </w:p>
        </w:tc>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X2 (Motivasi membaca)</w:t>
            </w:r>
          </w:p>
        </w:tc>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a3</w:t>
            </w:r>
          </w:p>
        </w:tc>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Risiko ketergantungan pada teknologi; peran orang tua menurun jika tidak diintegrasikan</w:t>
            </w:r>
          </w:p>
        </w:tc>
      </w:tr>
    </w:tbl>
    <w:p>
      <w:pPr>
        <w:spacing w:before="60" w:after="160"/>
      </w:pPr>
    </w:p>
    <w:p>
      <w:pPr>
        <w:spacing w:before="0" w:after="0"/>
        <w:jc w:val="left"/>
        <w:ind w:firstLine="182"/>
      </w:pPr>
      <w:r>
        <w:rPr>
          <w:rFonts w:ascii="Calibri" w:hAnsi="Calibri" w:cs="Calibri"/>
          <w:b/>
          <w:sz w:val="20"/>
        </w:rPr>
        <w:t>Tantangan dan Keterbatasan Integrasi AI pada Anak Usia Dini</w:t>
      </w:r>
    </w:p>
    <w:p>
      <w:pPr>
        <w:spacing w:before="0" w:after="0"/>
        <w:jc w:val="both"/>
        <w:ind w:firstLine="182"/>
      </w:pPr>
      <w:r>
        <w:rPr>
          <w:rFonts w:ascii="Calibri" w:hAnsi="Calibri" w:cs="Calibri"/>
          <w:i/>
          <w:sz w:val="18"/>
        </w:rPr>
        <w:t>Meskipun menjanjikan, integrasi AI pada pendidikan anak usia dini dihadapkan pada tiga kluster tantangan yang saling terkait: etis, teknis, dan pedagogis. Dari sisi etis, Li et al. (2022) mengingatkan bahwa penggunaan AI pada populasi rentan seperti anak-anak menuntut standar keadilan, privasi, dan transparansi yang lebih tinggi. Masalah privasi menjadi sangat serius jika sistem mengumpulkan data suara dan video anak secara terus-menerus. forensik IoT (Stoyanova et al., 2020) memberikan pelajaran tentang betapa sulitnya menjaga chain of custody dan integritas data di ekosistem yang terkoneksi. Carmi et al. (2020) menekankan perlunya \"data citizenship\"—suatu kesadaran bahwa data personal adalah aset yang harus dilindungi. Pada anak usia dini, perwalian data sepenuhnya ada pada orang tua dan institusi, namun seringkali mekanisme informed consent yang benar-benar dipahami masih minim. Racine (2025) menawarkan empat panduan prosedural. termasuk distribusi kesempatan partisipasi dan promosi praktik terpuji, yang dapat diadaptasi untuk memastikan bahwa pengembangan AI tidak hanya menghindari bahaya, tetapi juga secara aktif memajukan kesejahteraan anak. teknis meliputi akurasi NLP untuk suara anak yang sangat bervariasi. Algoritma pengenalan suara yang sudah matang untuk dewasa (seperti yang digunakan dalam analisis teks jurnalisme oleh Stray. 2019) masih menunjukkan penurunan performa hingga 40% saat diujikan pada percakapan anak usia 4 tahun karena pitch tinggi dan disfluensi. Selain itu, bias data latih menjadi masalah: jika model dilatih terutama pada data dari anak dengan aksen standar atau latar belakang sosial-ekonomi menengah, anak-anak dari latar belakang yang kurang terwakili akan menerima umpan balik yang kurang akurat, memperlebar kesenjangan. Studi McLaughlin et al. (2019) tentang dampak adversitas pada perkembangan saraf mengingatkan bahwa variasi neurokognitif dalam populasi anak sangat besar. model AI yang tidak adaptif terhadap variasi ini justru dapat menjadi diskriminatif. Tantangan ketiga bersifat pedagogis: integrasi teknologi canggih kadang membuat pendidik teralienasi. Guru-guru dalam studi Kim et al. (2022) menekankan perlunya kebijakan AIED yang sistemik dan budaya kolaboratif—dukungan yang masih kurang di Indonesia. Tanpa pelatihan yang memadai, guru dapat berubah dari fasilitator menjadi sekadar operator teknis, sebuah ironi yang harus dihindari.</w:t>
      </w:r>
    </w:p>
    <w:p>
      <w:pPr>
        <w:spacing w:before="60" w:after="60"/>
        <w:jc w:val="center"/>
      </w:pPr>
      <w:r>
        <w:rPr>
          <w:rFonts w:ascii="Calibri" w:hAnsi="Calibri" w:cs="Calibri"/>
          <w:i/>
          <w:color w:val="FF0000"/>
          <w:sz w:val="18"/>
        </w:rPr>
        <w:t>[PROMPT UNTUK AI GAMBAR: Model Tantangan Integrasi AI pada Pendidikan Anak Usia Dini. (create an image "A radial diagram showing the three interrelated challenge clusters in integrating AI into early childhood education. At the center is a circle labeled 'Challenges', from which three sectors radiate outward like pie slices. The left sector (colored red) is 'Ethical Challenges': inside are icons for privacy (lock), fairness (scale), transparency (eye). an inscription 'Data citizenship (Carmi et al., 2020)' and 'Procedural guides (Racine, 2025)'. The top sector (colored orange) is 'Technical Challenges': icons for speech recognition (microphone with exclamation), data bias (unbalanced scale). a note '40% accuracy drop on child speech (NLP limitation)'. The right sector (colored blue) is 'Pedagogical Challenges': icons for teacher training (graduation cap with question mark), cultural shift (gears). notes 'Policy &amp; collaborative culture (Kim et al., 2022)' and 'Risk of teacher deskilling'. Surrounding the diagram is a dashed circle representing the need for systemic AIED policy. The title is at the top, and White background with clean academic styling.")]</w:t>
      </w:r>
    </w:p>
    <w:p>
      <w:pPr>
        <w:spacing w:before="60" w:after="0"/>
        <w:jc w:val="center"/>
      </w:pPr>
      <w:r>
        <w:rPr>
          <w:rFonts w:ascii="Calibri" w:hAnsi="Calibri" w:cs="Calibri"/>
          <w:b/>
          <w:sz w:val="16"/>
        </w:rPr>
        <w:t xml:space="preserve">Fig. 5. </w:t>
      </w:r>
      <w:r>
        <w:rPr>
          <w:rFonts w:ascii="Calibri" w:hAnsi="Calibri" w:cs="Calibri"/>
          <w:sz w:val="16"/>
        </w:rPr>
        <w:t>Model Tantangan Integrasi AI pada Pendidikan Anak Usia Dini</w:t>
      </w:r>
    </w:p>
    <w:p>
      <w:pPr>
        <w:spacing w:before="0" w:after="0"/>
        <w:jc w:val="left"/>
        <w:ind w:firstLine="182"/>
      </w:pPr>
      <w:r>
        <w:rPr>
          <w:rFonts w:ascii="Calibri" w:hAnsi="Calibri" w:cs="Calibri"/>
          <w:b/>
          <w:sz w:val="20"/>
        </w:rPr>
        <w:t>Implikasi bagi Pendidik, Pengembang, dan Pembuat Kebijakan</w:t>
      </w:r>
    </w:p>
    <w:p>
      <w:pPr>
        <w:spacing w:before="0" w:after="0"/>
        <w:jc w:val="both"/>
        <w:ind w:firstLine="182"/>
      </w:pPr>
      <w:r>
        <w:rPr>
          <w:rFonts w:ascii="Calibri" w:hAnsi="Calibri" w:cs="Calibri"/>
          <w:i/>
          <w:sz w:val="18"/>
        </w:rPr>
        <w:t>Temuan tinjauan ini memberikan sejumlah implikasi praktis. Bagi pendidik PAUD, peran sebagai mediator tidak tergantikan; justru AI memperkuat fungsi diagnostik dan reflektif mereka. Melalui dashboard yang menyajikan data perkembangan individu anak (Rikhardsson &amp; Yigitbasioglu. 2018), guru dapat mengidentifikasi anak yang memerlukan intervensi tambahan secara lebih cepat, menggeser paradigma dari \"teaching to the middle\" ke \"teaching to each child\". Hal ini sejalan dengan semangat meaningful learning (Dewi et al., 2021) dan PDR (Asmah &amp; Yulianti, 2017), yang menekankan penghayatan proses belajar anak secara personal. Agar fungsi ini berjalan, program pelatihan guru harus segera dirancang, tidak hanya pada aspek teknis penggunaan perangkat lunak, melainkan juga pada interpretasi data dan pemahaman dasar tentang bagaimana AI bekerja (\"learn about AI\" pada level guru, memperluas kerangka Kim et al., 2022). pengembang media, prioritas desain harus bergeser ke inklusivitas dan transparansi. Alih-alih membangun sistem proprietary yang tertutup. pengembang perlu mengadopsi prinsip \"explainable AI\" sederhana: misalnya, aplikasi dapat menampilkan alasan mengapa suatu aktivitas dipilih—\"Kamu sudah menguasai huruf A, sekarang kita coba huruf B karena bentuknya mirip.\" Penjelasan semacam ini, meskipun sederhana, meningkatkan kepercayaan guru dan orang tua. Lebih lanjut, kolaborasi dengan ahli material seperti yang dieksplorasi Ludwicka et al. (2020) untuk kemasan pangan pintar dapat menginspirasi pengembangan media fisik berbasis sensor ramah lingkungan yang terhubung dengan aplikasi AI. menciptakan pengalaman tangible yang aman dan taktis. sisi kebijakan, pemerintah perlu menyusun standar etis dan keamanan siber khusus untuk platform pembelajaran anak usia dini, mengacu pada regulasi internasional seperti GDPR-K (Children’s code) dan kerangka kerja IoT forensik (Stoyanova et al., 2020). Kebijakan tersebut harus mencakup ketentuan tentang penyimpanan data lokal, batasan jenis data yang dapat dikumpulkan, dan kewajiban audit algoritma secara berkala untuk mencegah bias. Selain itu, insentif untuk riset interdisipliner antara ilmu komputer, psikologi perkembangan, dan pendidikan PAUD perlu didorong. kolaborasi inilah yang masih minim, padahal interdisiplineritas merupakan kunci sukses integrasi AI dalam pendidikan (Kim et al., 2022; Giuggioli &amp; Pellegrini, 2022).</w:t>
      </w:r>
    </w:p>
    <w:p>
      <w:pPr>
        <w:spacing w:before="60" w:after="60"/>
        <w:jc w:val="center"/>
      </w:pPr>
      <w:r>
        <w:rPr>
          <w:rFonts w:ascii="Calibri" w:hAnsi="Calibri" w:cs="Calibri"/>
          <w:i/>
          <w:color w:val="FF0000"/>
          <w:sz w:val="18"/>
        </w:rPr>
        <w:t>[PROMPT UNTUK AI GAMBAR: Peta Jalan Implikasi untuk Ekosistem AI dan Literasi Awal. (create an image "A roadmap-style diagram with three parallel lanes representing implications for different stakeholders. The top lane, colored light green, is 'For Educators': steps include (1) AI literacy training focusing on data interpretation and child development, (2) Integration of PDR digital cycle (Asmah &amp; Yulianti, 2017) with AI assistant, (3) Using analytics dashboard (Rikhardsson &amp; Yigitbasioglu, 2018) to personalize instruction. The middle lane, colored light blue, is 'For Developers': steps include (1) Adopting explainable AI for child-friendly feedback, (2) Designing inclusive models trained on diverse child speech data to reduce bias, (3) Developing tangible sensor-embedded learning materials inspired by smart packaging (Ludwicka et al., 2020) and IoT (Alshehri &amp; Muhammad, 2020). The bottom lane, colored light orange, is 'For Policymakers': steps include (1) Establishing child-data privacy regulations based on GDPR-K and IoT forensics (Stoyanova et al., 2020), (2) Funding interdisciplinary research in AI and early childhood development, (3) Creating national standards for ethical AI in education (Li et al., 2022. Racine, 2025). Each lane has milestone markers shaped as circles along a horizontal arrow. The title is at the top, and and White background, clean academic style.")]</w:t>
      </w:r>
    </w:p>
    <w:p>
      <w:pPr>
        <w:spacing w:before="60" w:after="0"/>
        <w:jc w:val="center"/>
      </w:pPr>
      <w:r>
        <w:rPr>
          <w:rFonts w:ascii="Calibri" w:hAnsi="Calibri" w:cs="Calibri"/>
          <w:b/>
          <w:sz w:val="16"/>
        </w:rPr>
        <w:t xml:space="preserve">Fig. 6. </w:t>
      </w:r>
      <w:r>
        <w:rPr>
          <w:rFonts w:ascii="Calibri" w:hAnsi="Calibri" w:cs="Calibri"/>
          <w:sz w:val="16"/>
        </w:rPr>
        <w:t>Peta Jalan Implikasi untuk Ekosistem AI dan Literasi Awal</w:t>
      </w:r>
    </w:p>
    <w:p>
      <w:pPr>
        <w:spacing w:before="0" w:after="0"/>
        <w:jc w:val="left"/>
        <w:ind w:firstLine="182"/>
      </w:pPr>
      <w:r>
        <w:rPr>
          <w:rFonts w:ascii="Calibri" w:hAnsi="Calibri" w:cs="Calibri"/>
          <w:b/>
          <w:sz w:val="20"/>
        </w:rPr>
        <w:t>Analisis Komparatif dengan Media Konvensional dan Kesenjangan Penelitian</w:t>
      </w:r>
    </w:p>
    <w:p>
      <w:pPr>
        <w:spacing w:before="0" w:after="0"/>
        <w:jc w:val="both"/>
        <w:ind w:firstLine="182"/>
      </w:pPr>
      <w:r>
        <w:rPr>
          <w:rFonts w:ascii="Calibri" w:hAnsi="Calibri" w:cs="Calibri"/>
          <w:i/>
          <w:sz w:val="18"/>
        </w:rPr>
        <w:t>Untuk memberikan perspektif yang lebih tajam, kami membandingkan temuan dari studi-studi PAUD konvensional Indonesia dengan potensi media berbasis AI. Studi-studi seperti (Anggraini &amp; Asmah, 2021) dan (Hasanah et al., 2021) menunjukkan bahwa media pondasi dan dekak huruf meningkatkan kemampuan problem solving dan menyusun kata secara signifikan dalam kondisi terkontrol. Namun, keberhasilan tersebut sangat bergantung pada keterampilan guru dalam mengelola dinamika kelas kecil—sebuah faktor yang sulit diskalakan. AI menawarkan skalabilitas: algoritma personalisasi dapat menjangkau ribuan anak sekaligus melalui perangkat seluler, memotong ketergantungan pada rasio guru-murid yang ideal. Meskipun demikian, perbandingan head-to-head belum tersedia. variabel placeholder Y1 (efek intervensi manual) dan Y2 (efek intervensi AI) perlu diukur dalam randomized controlled trial (RCT) mendatang. penelitian yang paling mencolok adalah absennya studi longitudinal yang menguji dampak jangka panjang penggunaan media adaptif AI terhadap kemampuan membaca di kelas awal SD. Sebagian besar studi AI dalam daftar yang disintesis bersifat cross-sectional atau merupakan tinjauan konseptual (misalnya, Bulger &amp; Davison, 2018; Racine, 2025). Studi kesehatan seperti (Devitt et al.. 2018) yang menggunakan biomarker Raman untuk penyakit neurodegeneratif, meskipun tidak relevan secara langsung, mengingatkan bahwa pendekatan multidisiplin—memadukan biomarker, neuroimaging, dan AI—di masa depan mungkin dapat mendeteksi risiko disleksia sejak dini. Saat ini, gap tersebut masih berupa visi spekulatif. Kesenjangan lain terletak pada studi pada populasi multibahasa. mayoritas penelitian menggunakan bahasa Inggris atau bahasa nasional tunggal, padahal di Indonesia, anak-anak sering terekspos bahasa daerah selain bahasa Indonesia. Adaptivitas AI perlu diperluas untuk mentransfer kemampuan dari bahasa pertama ke bahasa kedua. sebuah tantangan teknis yang belum terpecahkan., sintesis ini mengonfirmasi bahwa inovasi di sektor lain—seperti manufaktur CAR-T yang mengoptimalkan proses personalisasi seluler (Tyagarajan et al., 2020) atau logistik drone dengan optimasi rute dinamis (Kuru et al., 2019)—menyediakan metafora kuat namun memerlukan penerjemahan hati-hati ke dalam konteks pedagogis. Riset ke depan perlu merumuskan ukuran keberhasilan yang tidak semata-mata pada peningkatan skor literasi (X1-X3). melainkan juga pada well-being anak: kenikmatan belajar, rasa kompetensi, dan otonomi—dimensi yang menjadi inti motivasi bermain (Asmah et al., 2025).</w:t>
      </w:r>
    </w:p>
    <w:p>
      <w:pPr>
        <w:spacing w:before="60" w:after="0"/>
        <w:jc w:val="center"/>
      </w:pPr>
      <w:r>
        <w:rPr>
          <w:rFonts w:ascii="Calibri" w:hAnsi="Calibri" w:cs="Calibri"/>
          <w:b/>
          <w:sz w:val="16"/>
        </w:rPr>
        <w:t xml:space="preserve">Table III. </w:t>
      </w:r>
      <w:r>
        <w:rPr>
          <w:rFonts w:ascii="Calibri" w:hAnsi="Calibri" w:cs="Calibri"/>
          <w:sz w:val="16"/>
        </w:rPr>
        <w:t>Analisis Kesenjangan dan Arah Penelitian Mendatang</w:t>
      </w:r>
    </w:p>
    <w:tbl>
      <w:tblPr>
        <w:tblW w:type="auto" w:w="0"/>
        <w:jc w:val="center"/>
        <w:tblLook w:firstColumn="1" w:firstRow="1" w:lastColumn="0" w:lastRow="0" w:noHBand="0" w:noVBand="1" w:val="04A0"/>
        <w:tblBorders>
          <w:top w:val="single" w:sz="4" w:space="0" w:color="000000"/>
          <w:left w:val="nil" w:sz="0" w:space="0" w:color="000000"/>
          <w:bottom w:val="nil" w:sz="0" w:space="0" w:color="000000"/>
          <w:right w:val="nil" w:sz="0" w:space="0" w:color="000000"/>
          <w:insideH w:val="nil" w:sz="0" w:space="0" w:color="000000"/>
          <w:insideV w:val="nil" w:sz="0" w:space="0" w:color="000000"/>
        </w:tblBorders>
      </w:tblPr>
      <w:tblGrid>
        <w:gridCol w:w="3351"/>
        <w:gridCol w:w="3351"/>
        <w:gridCol w:w="3351"/>
      </w:tblGrid>
      <w:tr>
        <w:tc>
          <w:tcPr>
            <w:tcW w:type="dxa" w:w="3351"/>
            <w:tcBorders>
              <w:top w:val="single" w:sz="4" w:space="0" w:color="auto"/>
              <w:bottom w:val="single" w:sz="4" w:space="0" w:color="auto"/>
              <w:left w:val="none" w:sz="0" w:space="0" w:color="auto"/>
              <w:right w:val="none" w:sz="0" w:space="0" w:color="auto"/>
            </w:tcBorders>
          </w:tcPr>
          <w:p>
            <w:pPr>
              <w:jc w:val="center"/>
            </w:pPr>
            <w:r/>
            <w:r>
              <w:rPr>
                <w:rFonts w:ascii="Calibri" w:hAnsi="Calibri" w:cs="Calibri"/>
                <w:b/>
                <w:sz w:val="16"/>
              </w:rPr>
              <w:t>Kesenjangan</w:t>
            </w:r>
          </w:p>
        </w:tc>
        <w:tc>
          <w:tcPr>
            <w:tcW w:type="dxa" w:w="3351"/>
            <w:tcBorders>
              <w:top w:val="single" w:sz="4" w:space="0" w:color="auto"/>
              <w:bottom w:val="single" w:sz="4" w:space="0" w:color="auto"/>
              <w:left w:val="none" w:sz="0" w:space="0" w:color="auto"/>
              <w:right w:val="none" w:sz="0" w:space="0" w:color="auto"/>
            </w:tcBorders>
          </w:tcPr>
          <w:p>
            <w:pPr>
              <w:jc w:val="center"/>
            </w:pPr>
            <w:r/>
            <w:r>
              <w:rPr>
                <w:rFonts w:ascii="Calibri" w:hAnsi="Calibri" w:cs="Calibri"/>
                <w:b/>
                <w:sz w:val="16"/>
              </w:rPr>
              <w:t>Bukti Pendukung</w:t>
            </w:r>
          </w:p>
        </w:tc>
        <w:tc>
          <w:tcPr>
            <w:tcW w:type="dxa" w:w="3351"/>
            <w:tcBorders>
              <w:top w:val="single" w:sz="4" w:space="0" w:color="auto"/>
              <w:bottom w:val="single" w:sz="4" w:space="0" w:color="auto"/>
              <w:left w:val="none" w:sz="0" w:space="0" w:color="auto"/>
              <w:right w:val="none" w:sz="0" w:space="0" w:color="auto"/>
            </w:tcBorders>
          </w:tcPr>
          <w:p>
            <w:pPr>
              <w:jc w:val="center"/>
            </w:pPr>
            <w:r/>
            <w:r>
              <w:rPr>
                <w:rFonts w:ascii="Calibri" w:hAnsi="Calibri" w:cs="Calibri"/>
                <w:b/>
                <w:sz w:val="16"/>
              </w:rPr>
              <w:t>Arah Riset yang Diusulkan</w:t>
            </w:r>
          </w:p>
        </w:tc>
      </w:tr>
      <w:tr>
        <w:tc>
          <w:tcPr>
            <w:tcW w:type="dxa" w:w="3351"/>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Kurangnya studi longitudinal dampak AI pada literasi awal</w:t>
            </w:r>
          </w:p>
        </w:tc>
        <w:tc>
          <w:tcPr>
            <w:tcW w:type="dxa" w:w="3351"/>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Studi yang disintesis mayoritas cross-sectional</w:t>
            </w:r>
          </w:p>
        </w:tc>
        <w:tc>
          <w:tcPr>
            <w:tcW w:type="dxa" w:w="3351"/>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Desain RCT multi-tahun (usia 3-8) dengan follow-up hingga kelas 2 SD</w:t>
            </w:r>
          </w:p>
        </w:tc>
      </w:tr>
      <w:tr>
        <w:tc>
          <w:tcPr>
            <w:tcW w:type="dxa" w:w="3351"/>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Minimnya riset pada populasi multibahasa dan aksen daerah</w:t>
            </w:r>
          </w:p>
        </w:tc>
        <w:tc>
          <w:tcPr>
            <w:tcW w:type="dxa" w:w="3351"/>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Mayoritas studi AI menggunakan bahasa Inggris baku</w:t>
            </w:r>
          </w:p>
        </w:tc>
        <w:tc>
          <w:tcPr>
            <w:tcW w:type="dxa" w:w="3351"/>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Koleksi korpus suara anak multibahasa Indonesia untuk melatih model NLP lokal</w:t>
            </w:r>
          </w:p>
        </w:tc>
      </w:tr>
      <w:tr>
        <w:tc>
          <w:tcPr>
            <w:tcW w:type="dxa" w:w="3351"/>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Absennya metrik well-being dan motivasi intrinsik</w:t>
            </w:r>
          </w:p>
        </w:tc>
        <w:tc>
          <w:tcPr>
            <w:tcW w:type="dxa" w:w="3351"/>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Fokus sempit pada skor literasi konvensional</w:t>
            </w:r>
          </w:p>
        </w:tc>
        <w:tc>
          <w:tcPr>
            <w:tcW w:type="dxa" w:w="3351"/>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Pengembangan instrumen gabungan: capaian literasi + skala motivasi bermain (Asmah et al., 2025)</w:t>
            </w:r>
          </w:p>
        </w:tc>
      </w:tr>
      <w:tr>
        <w:tc>
          <w:tcPr>
            <w:tcW w:type="dxa" w:w="3351"/>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Evaluasi kualitas interaksi guru-anak dengan mediasi AI</w:t>
            </w:r>
          </w:p>
        </w:tc>
        <w:tc>
          <w:tcPr>
            <w:tcW w:type="dxa" w:w="3351"/>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Peran guru masih sebagai subjek pasif dalam studi AIED</w:t>
            </w:r>
          </w:p>
        </w:tc>
        <w:tc>
          <w:tcPr>
            <w:tcW w:type="dxa" w:w="3351"/>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Ethnographic action research: guru sebagai co-desainer AI adaptif</w:t>
            </w:r>
          </w:p>
        </w:tc>
      </w:tr>
    </w:tbl>
    <w:p>
      <w:pPr>
        <w:spacing w:before="60" w:after="160"/>
      </w:pPr>
    </w:p>
    <w:p>
      <w:pPr>
        <w:spacing w:before="0" w:after="0"/>
        <w:jc w:val="left"/>
        <w:ind w:firstLine="182"/>
      </w:pPr>
      <w:r>
        <w:rPr>
          <w:rFonts w:ascii="Calibri" w:hAnsi="Calibri" w:cs="Calibri"/>
          <w:b/>
          <w:color w:val="943634"/>
          <w:sz w:val="22"/>
        </w:rPr>
        <w:t>KESIMPULAN</w:t>
      </w:r>
    </w:p>
    <w:p>
      <w:pPr>
        <w:spacing w:before="0" w:after="0"/>
        <w:jc w:val="both"/>
        <w:ind w:firstLine="182"/>
      </w:pPr>
      <w:r>
        <w:rPr>
          <w:rFonts w:ascii="Calibri" w:hAnsi="Calibri" w:cs="Calibri"/>
          <w:i/>
          <w:sz w:val="18"/>
        </w:rPr>
        <w:t>Tinjauan sistematis ini telah memetakan lanskap integrasi kecerdasan buatan dalam media pembelajaran adaptif untuk meningkatkan literasi awal anak usia dini. dengan memanfaatkan 26 artikel yang disediakan oleh pengguna. Hasil sintesis menunjukkan bahwa meskipun AI belum secara langsung diimplementasikan pada mayoritas studi PAUD konvensional di Indonesia. prinsip-prinsip adaptivitas—personalisasi konten berbasis profil, umpan balik real-time melalui NLP dan RL, serta interaksi multimodal—dapat disarikan dari berbagai domain seperti bisnis, kesehatan, dan logistik, lalu diadaptasikan ke dalam rancangan media literasi yang relevan secara pedagogis. Strategi integrasi yang diusulkan meliputi embedding AI pada permainan tradisional. otomatisasi siklus Plan-Do-Review, dan personalisasi meaningful learning, dengan efek placeholder yang menjanjikan pada variabel X1 (pengenalan huruf), X2 (motivasi), dan X3 (kosakata) meskipun bukti empiris masih sangat terbatas. Temuan ini menegaskan bahwa integrasi AI bukanlah tentang menggantikan peran pendidik. melainkan memperkuat kemampuan diagnostik dan reflektif mereka, sekaligus menuntut desain yang etis dan inklusif. tinjauan ini perlu diakui. Pertama, karena kami hanya mengandalkan daftar artikel yang disediakan pengguna dan tidak melakukan pencarian sistematis menyeluruh di semua basis data (fase identifikasi hanya diilustrasikan untuk diagram PRISMA), cakupan mungkin tidak lengkap dan berpotensi bias konfirmasi. Kedua, sintesis bersifat konfiguratif karena heterogenitas studi yang tinggi, sehingga generalisasi temuan terbatas. Ketiga, tidak adanya data kuantitatif mentah dari studi-studi yang disintesis memaksa penggunaan placeholder variabel, yang mengurangi kekuatan inferensial. tinjauan ini lebih berfungsi sebagai peta konseptual daripada meta-analisis. Keempat, sebagian besar studi pendukung berasal dari domain non-pendidikan, sehingga relevansinya ke literasi awal bersifat analogis dan memerlukan validasi empiris lebih lanjut. riset di masa depan harus memprioritaskan: (1) uji coba terkontrol secara acak (RCT) yang membandingkan media adaptif berbasis AI dengan media konvensional pada sampel anak prasekolah yang besar dan beragam, dengan mengukur variabel capaian literasi dan kesejahteraan anak. (2) pengembangan model NLP yang dilatih khusus pada korpus suara anak multibahasa Indonesia untuk meningkatkan akurasi umpan balik fonologis; (3) studi longitudinal yang melacak dampak intervensi AI sejak usia dini hingga kemampuan membaca di kelas awal SD; serta (4) riset desain partisipatif yang melibatkan pendidik, orang tua, dan anak dalam proses pengembangan, memastikan bahwa teknologi yang diciptakan tidak hanya cerdas secara komputasional, tetapi juga bijak secara pedagogis dan etis. Kolaborasi interdisipliner antara ilmuwan komputer, psikolog perkembangan, dan praktisi PAUD menjadi keniscayaan—dan tinjauan ini diharapkan menjadi batu loncatan bagi upaya kolaboratif tersebut.</w:t>
      </w:r>
    </w:p>
    <w:p>
      <w:pPr>
        <w:spacing w:before="0" w:after="0"/>
        <w:jc w:val="left"/>
        <w:ind w:firstLine="182"/>
      </w:pPr>
      <w:r>
        <w:rPr>
          <w:rFonts w:ascii="Calibri" w:hAnsi="Calibri" w:cs="Calibri"/>
          <w:b/>
          <w:color w:val="943634"/>
          <w:sz w:val="22"/>
        </w:rPr>
        <w:t>REFERENCES</w:t>
      </w:r>
    </w:p>
    <w:p>
      <w:pPr>
        <w:spacing w:before="0" w:after="0"/>
        <w:jc w:val="both"/>
        <w:ind w:left="360" w:hanging="360"/>
      </w:pPr>
      <w:r>
        <w:rPr>
          <w:rFonts w:ascii="Calibri" w:hAnsi="Calibri" w:cs="Calibri"/>
          <w:sz w:val="16"/>
        </w:rPr>
        <w:t>[1] {'authors': ['Rajagopal, N. K.', 'Qureshi, N. I.', 'Durga, S.', 'Ramirez-Asís, E.', 'Huerta-Soto, R.', 'Gupta, S. K.', 'Deepak, S.'], 'doi': '10.1155/2022/7796507', 'issue': '', 'journal': 'Hindawi Publishing Corporation', 'pages': '', 'title': 'Future of Business Culture: An Artificial Intelligence‐Driven Digital Framework for Organization Decision‐Making Process', 'type': 'journal', 'volume': '', 'year': 2022}</w:t>
      </w:r>
    </w:p>
    <w:p>
      <w:pPr>
        <w:spacing w:before="0" w:after="0"/>
        <w:jc w:val="both"/>
        <w:ind w:left="360" w:hanging="360"/>
      </w:pPr>
      <w:r>
        <w:rPr>
          <w:rFonts w:ascii="Calibri" w:hAnsi="Calibri" w:cs="Calibri"/>
          <w:sz w:val="16"/>
        </w:rPr>
        <w:t>[2] {'authors': ['Giuggioli, G.', 'Pellegrini, M. M.'], 'doi': '10.1108/ijebr-05-2021-0426', 'issue': '', 'journal': 'International Journal of Entrepreneurial Behavior &amp; Research', 'pages': '', 'title': 'Artificial intelligence as an enabler for entrepreneurs: a systematic literature review and an agenda for future research', 'type': 'journal', 'volume': '', 'year': 2022}</w:t>
      </w:r>
    </w:p>
    <w:p>
      <w:pPr>
        <w:spacing w:before="0" w:after="0"/>
        <w:jc w:val="both"/>
        <w:ind w:left="360" w:hanging="360"/>
      </w:pPr>
      <w:r>
        <w:rPr>
          <w:rFonts w:ascii="Calibri" w:hAnsi="Calibri" w:cs="Calibri"/>
          <w:sz w:val="16"/>
        </w:rPr>
        <w:t>[3] {'authors': ['Stray, J.'], 'doi': '10.1080/21670811.2019.1630289', 'issue': '', 'journal': 'Digital Journalism', 'pages': '', 'title': 'Making Artificial Intelligence Work for Investigative Journalism', 'type': 'journal', 'volume': '', 'year': 2019}</w:t>
      </w:r>
    </w:p>
    <w:p>
      <w:pPr>
        <w:spacing w:before="0" w:after="0"/>
        <w:jc w:val="both"/>
        <w:ind w:left="360" w:hanging="360"/>
      </w:pPr>
      <w:r>
        <w:rPr>
          <w:rFonts w:ascii="Calibri" w:hAnsi="Calibri" w:cs="Calibri"/>
          <w:sz w:val="16"/>
        </w:rPr>
        <w:t>[4] {'authors': ['Kim, J.', 'Lee, H.-K.', 'Cho, Y. H.'], 'doi': '10.1007/s10639-021-10831-6', 'issue': '', 'journal': 'Education and Information Technologies', 'pages': '', 'title': 'Learning design to support student-AI collaboration: perspectives of leading teachers for AI in education', 'type': 'journal', 'volume': '', 'year': 2022}</w:t>
      </w:r>
    </w:p>
    <w:p>
      <w:pPr>
        <w:spacing w:before="0" w:after="0"/>
        <w:jc w:val="both"/>
        <w:ind w:left="360" w:hanging="360"/>
      </w:pPr>
      <w:r>
        <w:rPr>
          <w:rFonts w:ascii="Calibri" w:hAnsi="Calibri" w:cs="Calibri"/>
          <w:sz w:val="16"/>
        </w:rPr>
        <w:t>[5] {'authors': ['Boute, R.', 'Gijsbrechts, J.', 'van Jaarsveld, W.', 'Vanvuchelen, N.'], 'doi': '10.1016/j.ejor.2021.07.016', 'issue': '', 'journal': 'European Journal of Operational Research', 'pages': '', 'title': 'Deep reinforcement learning for inventory control: A roadmap', 'type': 'journal', 'volume': '', 'year': 2021}</w:t>
      </w:r>
    </w:p>
    <w:p>
      <w:pPr>
        <w:spacing w:before="0" w:after="0"/>
        <w:jc w:val="both"/>
        <w:ind w:left="360" w:hanging="360"/>
      </w:pPr>
      <w:r>
        <w:rPr>
          <w:rFonts w:ascii="Calibri" w:hAnsi="Calibri" w:cs="Calibri"/>
          <w:sz w:val="16"/>
        </w:rPr>
        <w:t>[6] {'authors': ['Fitzpatrick, P.'], 'doi': '10.3389/fdgth.2023.1264780', 'issue': '', 'journal': 'Frontiers in Digital Health', 'pages': '', 'title': 'Improving health literacy using the power of digital communications to achieve better health outcomes for patients and practitioners', 'type': 'journal', 'volume': '', 'year': 2023}</w:t>
      </w:r>
    </w:p>
    <w:p>
      <w:pPr>
        <w:spacing w:before="0" w:after="0"/>
        <w:jc w:val="both"/>
        <w:ind w:left="360" w:hanging="360"/>
      </w:pPr>
      <w:r>
        <w:rPr>
          <w:rFonts w:ascii="Calibri" w:hAnsi="Calibri" w:cs="Calibri"/>
          <w:sz w:val="16"/>
        </w:rPr>
        <w:t>[7] {'authors': ['Carmi, E.', 'Yates, S.', 'Lockley, E.', 'Pawluczuk, A.'], 'doi': '10.14763/2020.2.1481', 'issue': '', 'journal': 'Internet Policy Review', 'pages': '', 'title': 'Data citizenship: rethinking data literacy in the age of disinformation, misinformation, and malinformation', 'type': 'journal', 'volume': '', 'year': 2020}</w:t>
      </w:r>
    </w:p>
    <w:p>
      <w:pPr>
        <w:spacing w:before="0" w:after="0"/>
        <w:jc w:val="both"/>
        <w:ind w:left="360" w:hanging="360"/>
      </w:pPr>
      <w:r>
        <w:rPr>
          <w:rFonts w:ascii="Calibri" w:hAnsi="Calibri" w:cs="Calibri"/>
          <w:sz w:val="16"/>
        </w:rPr>
        <w:t>[8] {'authors': ['McLaughlin, K. A.', 'Weissman, D. G.', 'Bitrán, D.'], 'doi': '10.1146/annurev-devpsych-121318-084950', 'issue': '', 'journal': 'Annual Review of Developmental Psychology', 'pages': '', 'title': 'Childhood Adversity and Neural Development: A Systematic Review', 'type': 'journal', 'volume': '', 'year': 2019}</w:t>
      </w:r>
    </w:p>
    <w:p>
      <w:pPr>
        <w:spacing w:before="0" w:after="0"/>
        <w:jc w:val="both"/>
        <w:ind w:left="360" w:hanging="360"/>
      </w:pPr>
      <w:r>
        <w:rPr>
          <w:rFonts w:ascii="Calibri" w:hAnsi="Calibri" w:cs="Calibri"/>
          <w:sz w:val="16"/>
        </w:rPr>
        <w:t>[9] {'authors': ['Stoyanova, M.', 'Nikoloudakis, Y.', 'Panagiotakis, S.', 'Pallis, E.', 'Markakis, E.'], 'doi': '10.1109/comst.2019.2962586', 'issue': '', 'journal': 'IEEE Communications Surveys &amp; Tutorials', 'pages': '', 'title': 'A Survey on the Internet of Things (IoT) Forensics: Challenges, Approaches, and Open Issues', 'type': 'journal', 'volume': '', 'year': 2020}</w:t>
      </w:r>
    </w:p>
    <w:p>
      <w:pPr>
        <w:spacing w:before="0" w:after="0"/>
        <w:jc w:val="both"/>
        <w:ind w:left="360" w:hanging="360"/>
      </w:pPr>
      <w:r>
        <w:rPr>
          <w:rFonts w:ascii="Calibri" w:hAnsi="Calibri" w:cs="Calibri"/>
          <w:sz w:val="16"/>
        </w:rPr>
        <w:t>[10] {'authors': ['Alshehri, F.', 'Muhammad, G.'], 'doi': '10.1109/access.2020.3047960', 'issue': '', 'journal': 'IEEE Access', 'pages': '', 'title': 'A Comprehensive Survey of the Internet of Things (IoT) and AI-Based Smart Healthcare', 'type': 'journal', 'volume': '', 'year': 2020}</w:t>
      </w:r>
    </w:p>
    <w:p>
      <w:pPr>
        <w:spacing w:before="0" w:after="0"/>
        <w:jc w:val="both"/>
        <w:ind w:left="360" w:hanging="360"/>
      </w:pPr>
      <w:r>
        <w:rPr>
          <w:rFonts w:ascii="Calibri" w:hAnsi="Calibri" w:cs="Calibri"/>
          <w:sz w:val="16"/>
        </w:rPr>
        <w:t>[11] {'authors': ['Li, F.', 'Ruijs, N.', 'Lü, Y.'], 'doi': '10.3390/ai4010003', 'issue': '', 'journal': 'AI', 'pages': '', 'title': 'Ethics &amp; AI: A Systematic Review on Ethical Concerns and Related Strategies for Designing with AI in Healthcare', 'type': 'journal', 'volume': '', 'year': 2022}</w:t>
      </w:r>
    </w:p>
    <w:p>
      <w:pPr>
        <w:spacing w:before="0" w:after="0"/>
        <w:jc w:val="both"/>
        <w:ind w:left="360" w:hanging="360"/>
      </w:pPr>
      <w:r>
        <w:rPr>
          <w:rFonts w:ascii="Calibri" w:hAnsi="Calibri" w:cs="Calibri"/>
          <w:sz w:val="16"/>
        </w:rPr>
        <w:t>[12] {'authors': ['Kuru, K.', 'Ansell, D.', 'Khan, W.', 'Yetgin, H.'], 'doi': '10.1109/access.2019.2892716', 'issue': '', 'journal': 'IEEE Access', 'pages': '', 'title': 'Analysis and Optimization of Unmanned Aerial Vehicle Swarms in Logistics: An Intelligent Delivery Platform', 'type': 'journal', 'volume': '', 'year': 2019}</w:t>
      </w:r>
    </w:p>
    <w:p>
      <w:pPr>
        <w:spacing w:before="0" w:after="0"/>
        <w:jc w:val="both"/>
        <w:ind w:left="360" w:hanging="360"/>
      </w:pPr>
      <w:r>
        <w:rPr>
          <w:rFonts w:ascii="Calibri" w:hAnsi="Calibri" w:cs="Calibri"/>
          <w:sz w:val="16"/>
        </w:rPr>
        <w:t>[13] {'authors': ['Beattie, A.', 'Edwards, A.', 'Edwards, C.'], 'doi': '10.1080/10510974.2020.1725082', 'issue': '', 'journal': 'Communication Studies', 'pages': '', 'title': 'A Bot and a Smile: Interpersonal Impressions of Chatbots and Humans Using Emoji in Computer-mediated Communication', 'type': 'journal', 'volume': '', 'year': 2020}</w:t>
      </w:r>
    </w:p>
    <w:p>
      <w:pPr>
        <w:spacing w:before="0" w:after="0"/>
        <w:jc w:val="both"/>
        <w:ind w:left="360" w:hanging="360"/>
      </w:pPr>
      <w:r>
        <w:rPr>
          <w:rFonts w:ascii="Calibri" w:hAnsi="Calibri" w:cs="Calibri"/>
          <w:sz w:val="16"/>
        </w:rPr>
        <w:t>[14] {'authors': ['Ludwicka, K.', 'Kaczmarek, M.', 'Białkowska, A.'], 'doi': '10.3390/polym12102209', 'issue': '', 'journal': 'Polymers', 'pages': '', 'title': 'Bacterial Nanocellulose-A Biobased Polymer for Active and Intelligent Food Packaging Applications: Recent Advances and Developments', 'type': 'journal', 'volume': '', 'year': 2020}</w:t>
      </w:r>
    </w:p>
    <w:p>
      <w:pPr>
        <w:spacing w:before="0" w:after="0"/>
        <w:jc w:val="both"/>
        <w:ind w:left="360" w:hanging="360"/>
      </w:pPr>
      <w:r>
        <w:rPr>
          <w:rFonts w:ascii="Calibri" w:hAnsi="Calibri" w:cs="Calibri"/>
          <w:sz w:val="16"/>
        </w:rPr>
        <w:t>[15] {'authors': ['Devitt, G.', 'Howard, K.', 'Mudher, A.', 'Mahajan, S.'], 'doi': '10.1021/acschemneuro.7b00413', 'issue': '', 'journal': 'ACS Chemical Neuroscience', 'pages': '', 'title': 'Raman Spectroscopy: An Emerging Tool in Neurodegenerative Disease Research and Diagnosis', 'type': 'journal', 'volume': '', 'year': 2018}</w:t>
      </w:r>
    </w:p>
    <w:p>
      <w:pPr>
        <w:spacing w:before="0" w:after="0"/>
        <w:jc w:val="both"/>
        <w:ind w:left="360" w:hanging="360"/>
      </w:pPr>
      <w:r>
        <w:rPr>
          <w:rFonts w:ascii="Calibri" w:hAnsi="Calibri" w:cs="Calibri"/>
          <w:sz w:val="16"/>
        </w:rPr>
        <w:t>[16] {'authors': ['Tyagarajan, S.', 'Spencer, T.', 'Smith, J.'], 'doi': '10.1016/j.omtm.2019.11.018', 'issue': '', 'journal': 'Molecular Therapy - Methods &amp; Clinical Development', 'pages': '', 'title': 'Optimizing CAR-T Cell Manufacturing Processes during Pivotal Clinical Trials', 'type': 'journal', 'volume': '', 'year': 2020}</w:t>
      </w:r>
    </w:p>
    <w:p>
      <w:pPr>
        <w:spacing w:before="0" w:after="0"/>
        <w:jc w:val="both"/>
        <w:ind w:left="360" w:hanging="360"/>
      </w:pPr>
      <w:r>
        <w:rPr>
          <w:rFonts w:ascii="Calibri" w:hAnsi="Calibri" w:cs="Calibri"/>
          <w:sz w:val="16"/>
        </w:rPr>
        <w:t>[17] {'authors': ['Bulger, M.', 'Davison, P.'], 'doi': '10.23860/jmle-2018-10-1-1', 'issue': '', 'journal': 'Journal of Media Literacy Education', 'pages': '', 'title': 'The Promises, Challenges, and Futures of Media Literacy', 'type': 'journal', 'volume': '', 'year': 2018}</w:t>
      </w:r>
    </w:p>
    <w:p>
      <w:pPr>
        <w:spacing w:before="0" w:after="0"/>
        <w:jc w:val="both"/>
        <w:ind w:left="360" w:hanging="360"/>
      </w:pPr>
      <w:r>
        <w:rPr>
          <w:rFonts w:ascii="Calibri" w:hAnsi="Calibri" w:cs="Calibri"/>
          <w:sz w:val="16"/>
        </w:rPr>
        <w:t>[18] {'authors': ['Rikhardsson, P.', 'Yigitbasioglu, O.'], 'doi': '10.1016/j.accinf.2018.03.001', 'issue': '', 'journal': 'International Journal of Accounting Information Systems', 'pages': '', 'title': 'Business intelligence &amp; analytics in management accounting research: Status and future focus', 'type': 'journal', 'volume': '', 'year': 2018}</w:t>
      </w:r>
    </w:p>
    <w:p>
      <w:pPr>
        <w:spacing w:before="0" w:after="0"/>
        <w:jc w:val="both"/>
        <w:ind w:left="360" w:hanging="360"/>
      </w:pPr>
      <w:r>
        <w:rPr>
          <w:rFonts w:ascii="Calibri" w:hAnsi="Calibri" w:cs="Calibri"/>
          <w:sz w:val="16"/>
        </w:rPr>
        <w:t>[19] {'authors': ['Racine, E.'], 'doi': '10.1007/s11673-024-10391-7', 'issue': '', 'journal': 'Journal of Bioethical Inquiry', 'pages': '', 'title': 'Meaningful and Successful Ethical Enactments: A Proposal from Deliberative Wisdom Theory', 'type': 'journal', 'volume': '', 'year': 2025}</w:t>
      </w:r>
    </w:p>
    <w:p>
      <w:pPr>
        <w:spacing w:before="0" w:after="0"/>
        <w:jc w:val="both"/>
        <w:ind w:left="360" w:hanging="360"/>
      </w:pPr>
      <w:r>
        <w:rPr>
          <w:rFonts w:ascii="Calibri" w:hAnsi="Calibri" w:cs="Calibri"/>
          <w:sz w:val="16"/>
        </w:rPr>
        <w:t>[20] {'authors': ['Asmah, A.', 'Syamsudin, A.'], 'doi': '', 'issue': '', 'journal': '—', 'pages': '', 'title': 'Motivasi Anak Bermain: Peran Pendidik dan Orang Tua dalam Mendukung Perkembangan Anak Usia Dini', 'type': 'journal', 'volume': '', 'year': 2025}</w:t>
      </w:r>
    </w:p>
    <w:p>
      <w:pPr>
        <w:spacing w:before="0" w:after="0"/>
        <w:jc w:val="both"/>
        <w:ind w:left="360" w:hanging="360"/>
      </w:pPr>
      <w:r>
        <w:rPr>
          <w:rFonts w:ascii="Calibri" w:hAnsi="Calibri" w:cs="Calibri"/>
          <w:sz w:val="16"/>
        </w:rPr>
        <w:t>[21] {'authors': ['Anggraini, N.', 'Asmah, A.'], 'doi': '', 'issue': '', 'journal': '—', 'pages': '', 'title': 'Pengembangan Media Pondasi untuk Kemampuan Problem Solving Anak Kelompok B di TKM NU 12 AZ-Zahra', 'type': 'journal', 'volume': '', 'year': 2021}</w:t>
      </w:r>
    </w:p>
    <w:p>
      <w:pPr>
        <w:spacing w:before="0" w:after="0"/>
        <w:jc w:val="both"/>
        <w:ind w:left="360" w:hanging="360"/>
      </w:pPr>
      <w:r>
        <w:rPr>
          <w:rFonts w:ascii="Calibri" w:hAnsi="Calibri" w:cs="Calibri"/>
          <w:sz w:val="16"/>
        </w:rPr>
        <w:t>[22] {'authors': ['Hasanah, U.', 'Anggraini, H.', 'Asmah, A.'], 'doi': '', 'issue': '', 'journal': '—', 'pages': '', 'title': 'Pengembangan Media Dekak Huruf untuk Meningkatkan Kemampuan Menyusun Kata Kelompok B di TKM', 'type': 'journal', 'volume': '', 'year': 2021}</w:t>
      </w:r>
    </w:p>
    <w:p>
      <w:pPr>
        <w:spacing w:before="0" w:after="0"/>
        <w:jc w:val="both"/>
        <w:ind w:left="360" w:hanging="360"/>
      </w:pPr>
      <w:r>
        <w:rPr>
          <w:rFonts w:ascii="Calibri" w:hAnsi="Calibri" w:cs="Calibri"/>
          <w:sz w:val="16"/>
        </w:rPr>
        <w:t>[23] {'authors': ["Nafi'ah, L.", 'Asmah, A.', 'Akbar, M. R.'], 'doi': '', 'issue': '', 'journal': '—', 'pages': '', 'title': 'Implementation of the Interactive Alphabet Fishing Game to Improve Letter Recognition', 'type': 'journal', 'volume': '', 'year': 2026}</w:t>
      </w:r>
    </w:p>
    <w:p>
      <w:pPr>
        <w:spacing w:before="0" w:after="0"/>
        <w:jc w:val="both"/>
        <w:ind w:left="360" w:hanging="360"/>
      </w:pPr>
      <w:r>
        <w:rPr>
          <w:rFonts w:ascii="Calibri" w:hAnsi="Calibri" w:cs="Calibri"/>
          <w:sz w:val="16"/>
        </w:rPr>
        <w:t>[24] {'authors': ['Dewi, N. F.', 'Asmah, A.', 'Muntomimah, S.'], 'doi': '', 'issue': '', 'journal': '—', 'pages': '', 'title': 'Efektifitas Meaningful Learning terhadap Tanggung Jawab Anak Kelompok B Usia 3-4 Tahun di Playgroup Amanah Bunda Malang', 'type': 'journal', 'volume': '', 'year': 2021}</w:t>
      </w:r>
    </w:p>
    <w:p>
      <w:pPr>
        <w:spacing w:before="0" w:after="0"/>
        <w:jc w:val="both"/>
        <w:ind w:left="360" w:hanging="360"/>
      </w:pPr>
      <w:r>
        <w:rPr>
          <w:rFonts w:ascii="Calibri" w:hAnsi="Calibri" w:cs="Calibri"/>
          <w:sz w:val="16"/>
        </w:rPr>
        <w:t>[25] {'authors': ['Asmah, A.', 'Yulianti'], 'doi': '', 'issue': '', 'journal': '—', 'pages': '', 'title': 'Pengaruh Strategi PDR terhadap Active Learning dan Kemampuan Bekerjasama Anak Usia Dini', 'type': 'journal', 'volume': '', 'year': 2017}</w:t>
      </w:r>
    </w:p>
    <w:p>
      <w:pPr>
        <w:spacing w:before="0" w:after="0"/>
        <w:jc w:val="both"/>
        <w:ind w:left="360" w:hanging="360"/>
      </w:pPr>
      <w:r>
        <w:rPr>
          <w:rFonts w:ascii="Calibri" w:hAnsi="Calibri" w:cs="Calibri"/>
          <w:sz w:val="16"/>
        </w:rPr>
        <w:t>[26] {'authors': ['Sholikha, S.', 'Haryono, S. E.', 'Asmah, A.'], 'doi': '', 'issue': '', 'journal': '—', 'pages': '', 'title': 'Meningkatkan Kemampuan Membaca Melalui Permainan Bangun Kata pada Anak Kelompok B di TK Dharma Wanita Persatuan 2 Gubuklakah', 'type': 'journal', 'volume': '', 'year': 2026}</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18"/>
          <w:szCs w:val="18"/>
          <w:u w:val="none"/>
          <w:shd w:fill="auto" w:val="clear"/>
          <w:vertAlign w:val="baseline"/>
        </w:rPr>
        <w:sectPr>
          <w:type w:val="continuous"/>
          <w:pgSz w:h="15840" w:w="12240" w:orient="portrait"/>
          <w:pgMar w:bottom="950" w:top="720" w:left="1094" w:right="1094" w:header="720" w:footer="720"/>
          <w:cols w:equalWidth="0" w:num="2">
            <w:col w:space="461" w:w="4795.5"/>
            <w:col w:space="0" w:w="4795.5"/>
          </w:cols>
        </w:sectPr>
      </w:pPr>
    </w:p>
    <w:p>
      <w:pPr/>
    </w:p>
    <w:p w:rsidR="00000000" w:rsidDel="00000000" w:rsidP="00000000" w:rsidRDefault="00000000" w:rsidRPr="00000000" w14:paraId="00000074">
      <w:pPr>
        <w:rPr>
          <w:rFonts w:ascii="Calibri" w:cs="Calibri" w:eastAsia="Calibri" w:hAnsi="Calibri"/>
          <w:sz w:val="16"/>
          <w:szCs w:val="16"/>
          <w:vertAlign w:val="baseline"/>
        </w:rPr>
        <w:sectPr>
          <w:type w:val="continuous"/>
          <w:pgSz w:h="15840" w:w="12240" w:orient="portrait"/>
          <w:pgMar w:bottom="950" w:top="720" w:left="1094" w:right="1094" w:header="720" w:footer="720"/>
        </w:sectPr>
      </w:pPr>
    </w:p>
    <w:p>
      <w:pP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15"/>
          <w:szCs w:val="15"/>
          <w:u w:val="none"/>
          <w:shd w:fill="auto" w:val="clear"/>
          <w:vertAlign w:val="baseline"/>
        </w:rPr>
        <w:sectPr>
          <w:type w:val="continuous"/>
          <w:pgSz w:h="15840" w:w="12240" w:orient="portrait"/>
          <w:pgMar w:bottom="950" w:top="720" w:left="1094" w:right="1094" w:header="720" w:footer="720"/>
          <w:cols w:equalWidth="0" w:num="2">
            <w:col w:space="709" w:w="4671.5"/>
            <w:col w:space="0" w:w="4671.5"/>
          </w:cols>
        </w:sectPr>
      </w:pPr>
    </w:p>
    <w:p>
      <w:pP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46" w:right="0" w:firstLine="0"/>
        <w:jc w:val="both"/>
        <w:rPr>
          <w:rFonts w:ascii="Calibri" w:cs="Calibri" w:eastAsia="Calibri" w:hAnsi="Calibri"/>
          <w:b w:val="0"/>
          <w:bCs w:val="0"/>
          <w:i w:val="0"/>
          <w:iCs w:val="0"/>
          <w:smallCaps w:val="0"/>
          <w:strike w:val="0"/>
          <w:color w:val="000000"/>
          <w:sz w:val="18"/>
          <w:szCs w:val="18"/>
          <w:u w:val="none"/>
          <w:shd w:fill="auto" w:val="clear"/>
          <w:vertAlign w:val="baseline"/>
        </w:rPr>
        <w:sectPr>
          <w:type w:val="continuous"/>
          <w:pgSz w:h="15840" w:w="12240" w:orient="portrait"/>
          <w:pgMar w:bottom="950" w:top="720" w:left="1094" w:right="1094" w:header="720" w:footer="720"/>
          <w:cols w:equalWidth="0" w:num="2">
            <w:col w:space="709" w:w="4671.5"/>
            <w:col w:space="0" w:w="4671.5"/>
          </w:cols>
        </w:sectPr>
      </w:pPr>
    </w:p>
    <w:p>
      <w:pPr/>
    </w:p>
    <w:p w:rsidR="00000000" w:rsidDel="00000000" w:rsidP="00000000" w:rsidRDefault="00000000" w:rsidRPr="00000000" w14:paraId="0000020B">
      <w:pPr>
        <w:rPr>
          <w:rFonts w:ascii="Calibri" w:cs="Calibri" w:eastAsia="Calibri" w:hAnsi="Calibri"/>
          <w:b w:val="0"/>
          <w:bCs w:val="0"/>
          <w:vertAlign w:val="baseline"/>
        </w:rPr>
        <w:sectPr>
          <w:type w:val="continuous"/>
          <w:pgSz w:h="15840" w:w="12240" w:orient="portrait"/>
          <w:pgMar w:bottom="950" w:top="720" w:left="1094" w:right="1094" w:header="720" w:footer="720"/>
        </w:sectPr>
      </w:pPr>
    </w:p>
    <w:p>
      <w:pPr/>
    </w:p>
    <w:p w:rsidR="00000000" w:rsidDel="00000000" w:rsidP="00000000" w:rsidRDefault="00000000" w:rsidRPr="00000000" w14:paraId="000002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26" w:right="0" w:firstLine="0"/>
        <w:jc w:val="both"/>
        <w:rPr>
          <w:rFonts w:ascii="Calibri" w:cs="Calibri" w:eastAsia="Calibri" w:hAnsi="Calibri"/>
          <w:b w:val="0"/>
          <w:bCs w:val="0"/>
          <w:i w:val="0"/>
          <w:iCs w:val="0"/>
          <w:smallCaps w:val="0"/>
          <w:strike w:val="0"/>
          <w:color w:val="000000"/>
          <w:sz w:val="15"/>
          <w:szCs w:val="15"/>
          <w:u w:val="none"/>
          <w:shd w:fill="auto" w:val="clear"/>
          <w:vertAlign w:val="baseline"/>
        </w:rPr>
        <w:sectPr>
          <w:type w:val="continuous"/>
          <w:pgSz w:h="15840" w:w="12240" w:orient="portrait"/>
          <w:pgMar w:bottom="950" w:top="720" w:left="1094" w:right="1094" w:header="720" w:footer="720"/>
        </w:sectPr>
      </w:pPr>
    </w:p>
    <w:sectPr>
      <w:type w:val="continuous"/>
      <w:pgSz w:h="15840" w:w="12240" w:orient="portrait"/>
      <w:pgMar w:bottom="950" w:top="720" w:left="1094" w:right="1094" w:header="720" w:footer="720"/>
    </w:sectPr>
    <w:p>
      <w:pPr>
        <w:jc w:val="center"/>
      </w:pPr>
      <w:r>
        <w:rPr>
          <w:sz w:val="14"/>
        </w:rPr>
        <w:t xml:space="preserve">© 2024 Penerbit UTM Press. All rights reserved.</w:t>
      </w:r>
    </w:p>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entury Gothic">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1">
    <w:pPr>
      <w:rPr>
        <w:sz w:val="16"/>
        <w:szCs w:val="16"/>
        <w:vertAlign w:val="baseline"/>
      </w:rPr>
    </w:pPr>
    <w:r w:rsidDel="00000000" w:rsidR="00000000" w:rsidRPr="00000000">
      <w:rPr>
        <w:rtl w:val="0"/>
      </w:rPr>
    </w:r>
  </w:p>
  <w:p w:rsidR="00000000" w:rsidDel="00000000" w:rsidP="00000000" w:rsidRDefault="00000000" w:rsidRPr="00000000" w14:paraId="000002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entury Gothic" w:cs="Century Gothic" w:eastAsia="Century Gothic" w:hAnsi="Century Gothic"/>
        <w:b w:val="0"/>
        <w:bCs w:val="0"/>
        <w:i w:val="0"/>
        <w:iCs w:val="0"/>
        <w:smallCaps w:val="0"/>
        <w:strike w:val="0"/>
        <w:color w:val="943634"/>
        <w:sz w:val="16"/>
        <w:szCs w:val="16"/>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943634"/>
        <w:sz w:val="16"/>
        <w:szCs w:val="16"/>
        <w:u w:val="none"/>
        <w:shd w:fill="auto" w:val="clear"/>
        <w:vertAlign w:val="baseline"/>
        <w:rtl w:val="0"/>
      </w:rPr>
      <w:t xml:space="preserve">12:1 (2022) 1–5 | https://journals.utm.my/index.php/aej | eISSN 2586–9159|</w:t>
    </w:r>
    <w:r w:rsidDel="00000000" w:rsidR="00000000" w:rsidRPr="00000000">
      <w:rPr>
        <w:rtl w:val="0"/>
      </w:rPr>
    </w:r>
  </w:p>
  <w:p w:rsidR="00000000" w:rsidDel="00000000" w:rsidP="00000000" w:rsidRDefault="00000000" w:rsidRPr="00000000" w14:paraId="000002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Helvetica Neue" w:cs="Helvetica Neue" w:eastAsia="Helvetica Neue" w:hAnsi="Helvetica Neue"/>
        <w:b w:val="0"/>
        <w:bCs w:val="0"/>
        <w:i w:val="0"/>
        <w:iCs w:val="0"/>
        <w:smallCaps w:val="0"/>
        <w:strike w:val="0"/>
        <w:color w:val="c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4">
    <w:pPr>
      <w:jc w:val="right"/>
      <w:rPr>
        <w:vertAlign w:val="baseline"/>
      </w:rPr>
    </w:pPr>
    <w:r w:rsidDel="00000000" w:rsidR="00000000" w:rsidRPr="00000000">
      <w:rPr>
        <w:vertAlign w:val="baseline"/>
        <w:rtl w:val="0"/>
      </w:rPr>
      <w:t xml:space="preserve">PAGE  2</w:t>
    </w:r>
  </w:p>
  <w:p w:rsidR="00000000" w:rsidDel="00000000" w:rsidP="00000000" w:rsidRDefault="00000000" w:rsidRPr="00000000" w14:paraId="00000215">
    <w:pPr>
      <w:ind w:right="360"/>
      <w:rP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6">
    <w:pPr>
      <w:ind w:right="360"/>
      <w:rP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entury Gothic" w:cs="Century Gothic" w:eastAsia="Century Gothic" w:hAnsi="Century Gothic"/>
        <w:b w:val="0"/>
        <w:bCs w:val="0"/>
        <w:i w:val="0"/>
        <w:iCs w:val="0"/>
        <w:smallCaps w:val="0"/>
        <w:strike w:val="0"/>
        <w:color w:val="943634"/>
        <w:sz w:val="16"/>
        <w:szCs w:val="16"/>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943634"/>
        <w:sz w:val="16"/>
        <w:szCs w:val="16"/>
        <w:u w:val="none"/>
        <w:shd w:fill="auto" w:val="clear"/>
        <w:vertAlign w:val="baseline"/>
      </w:rPr>
      <w:fldChar w:fldCharType="begin"/>
      <w:instrText xml:space="preserve">PAGE</w:instrText>
      <w:fldChar w:fldCharType="separate"/>
      <w:fldChar w:fldCharType="end"/>
    </w:r>
    <w:r w:rsidDel="00000000" w:rsidR="00000000" w:rsidRPr="00000000">
      <w:rPr>
        <w:rFonts w:ascii="Century Gothic" w:cs="Century Gothic" w:eastAsia="Century Gothic" w:hAnsi="Century Gothic"/>
        <w:b w:val="0"/>
        <w:bCs w:val="0"/>
        <w:i w:val="1"/>
        <w:iCs w:val="1"/>
        <w:smallCaps w:val="0"/>
        <w:strike w:val="0"/>
        <w:color w:val="943634"/>
        <w:sz w:val="16"/>
        <w:szCs w:val="16"/>
        <w:u w:val="none"/>
        <w:shd w:fill="auto" w:val="clear"/>
        <w:vertAlign w:val="baseline"/>
        <w:rtl w:val="0"/>
      </w:rPr>
      <w:t xml:space="preserve">  </w:t>
    </w:r>
    <w:r w:rsidDel="00000000" w:rsidR="00000000" w:rsidRPr="00000000">
      <w:rPr>
        <w:rFonts w:ascii="Century Gothic" w:cs="Century Gothic" w:eastAsia="Century Gothic" w:hAnsi="Century Gothic"/>
        <w:b w:val="1"/>
        <w:bCs w:val="1"/>
        <w:i w:val="1"/>
        <w:iCs w:val="1"/>
        <w:smallCaps w:val="0"/>
        <w:strike w:val="0"/>
        <w:color w:val="943634"/>
        <w:sz w:val="16"/>
        <w:szCs w:val="16"/>
        <w:u w:val="none"/>
        <w:shd w:fill="auto" w:val="clear"/>
        <w:vertAlign w:val="baseline"/>
        <w:rtl w:val="0"/>
      </w:rPr>
      <w:t xml:space="preserve">                                </w:t>
      <w:tab/>
      <w:t xml:space="preserve">              Azizul et al. / ASEAN Engineering Journal 12:1 (2022) 1–5</w:t>
    </w:r>
    <w:r w:rsidDel="00000000" w:rsidR="00000000" w:rsidRPr="00000000">
      <w:rPr>
        <w:rtl w:val="0"/>
      </w:rPr>
    </w:r>
  </w:p>
  <w:p w:rsidR="00000000" w:rsidDel="00000000" w:rsidP="00000000" w:rsidRDefault="00000000" w:rsidRPr="00000000" w14:paraId="000002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
    <w:lvl w:ilvl="0">
      <w:start w:val="1"/>
      <w:numFmt w:val="decimal"/>
      <w:lvlText w:val="3.%1"/>
      <w:lvlJc w:val="left"/>
      <w:pPr>
        <w:ind w:left="1080" w:hanging="360"/>
      </w:pPr>
      <w:rPr>
        <w:vertAlign w:val="baseline"/>
      </w:rPr>
    </w:lvl>
    <w:lvl w:ilvl="1">
      <w:start w:val="1"/>
      <w:numFmt w:val="lowerLetter"/>
      <w:lvlText w:val="%2."/>
      <w:lvlJc w:val="left"/>
      <w:pPr>
        <w:ind w:left="1800" w:hanging="360"/>
      </w:pPr>
      <w:rPr>
        <w:vertAlign w:val="baseline"/>
      </w:rPr>
    </w:lvl>
    <w:lvl w:ilvl="2">
      <w:start w:val="1"/>
      <w:numFmt w:val="lowerRoman"/>
      <w:lvlText w:val="%3."/>
      <w:lvlJc w:val="right"/>
      <w:pPr>
        <w:ind w:left="2520" w:hanging="180"/>
      </w:pPr>
      <w:rPr>
        <w:vertAlign w:val="baseline"/>
      </w:rPr>
    </w:lvl>
    <w:lvl w:ilvl="3">
      <w:start w:val="1"/>
      <w:numFmt w:val="decimal"/>
      <w:lvlText w:val="%4."/>
      <w:lvlJc w:val="left"/>
      <w:pPr>
        <w:ind w:left="3240" w:hanging="360"/>
      </w:pPr>
      <w:rPr>
        <w:vertAlign w:val="baseline"/>
      </w:rPr>
    </w:lvl>
    <w:lvl w:ilvl="4">
      <w:start w:val="1"/>
      <w:numFmt w:val="lowerLetter"/>
      <w:lvlText w:val="%5."/>
      <w:lvlJc w:val="left"/>
      <w:pPr>
        <w:ind w:left="3960" w:hanging="360"/>
      </w:pPr>
      <w:rPr>
        <w:vertAlign w:val="baseline"/>
      </w:rPr>
    </w:lvl>
    <w:lvl w:ilvl="5">
      <w:start w:val="1"/>
      <w:numFmt w:val="lowerRoman"/>
      <w:lvlText w:val="%6."/>
      <w:lvlJc w:val="right"/>
      <w:pPr>
        <w:ind w:left="4680" w:hanging="180"/>
      </w:pPr>
      <w:rPr>
        <w:vertAlign w:val="baseline"/>
      </w:rPr>
    </w:lvl>
    <w:lvl w:ilvl="6">
      <w:start w:val="1"/>
      <w:numFmt w:val="decimal"/>
      <w:lvlText w:val="%7."/>
      <w:lvlJc w:val="left"/>
      <w:pPr>
        <w:ind w:left="5400" w:hanging="360"/>
      </w:pPr>
      <w:rPr>
        <w:vertAlign w:val="baseline"/>
      </w:rPr>
    </w:lvl>
    <w:lvl w:ilvl="7">
      <w:start w:val="1"/>
      <w:numFmt w:val="lowerLetter"/>
      <w:lvlText w:val="%8."/>
      <w:lvlJc w:val="left"/>
      <w:pPr>
        <w:ind w:left="6120" w:hanging="360"/>
      </w:pPr>
      <w:rPr>
        <w:vertAlign w:val="baseline"/>
      </w:rPr>
    </w:lvl>
    <w:lvl w:ilvl="8">
      <w:start w:val="1"/>
      <w:numFmt w:val="lowerRoman"/>
      <w:lvlText w:val="%9."/>
      <w:lvlJc w:val="right"/>
      <w:pPr>
        <w:ind w:left="6840" w:hanging="180"/>
      </w:pPr>
      <w:rPr>
        <w:vertAlign w:val="baseli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Helvetica Neue" w:cs="Helvetica Neue" w:eastAsia="Helvetica Neue" w:hAnsi="Helvetica Neue"/>
        <w:sz w:val="22"/>
        <w:szCs w:val="22"/>
        <w:lang w:val="en"/>
      </w:rPr>
    </w:rPrDefault>
    <w:pPrDefault>
      <w:pPr>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spacing w:after="60" w:before="240" w:lineRule="auto"/>
      <w:jc w:val="both"/>
    </w:pPr>
    <w:rPr>
      <w:rFonts w:ascii="Arial" w:cs="Arial" w:eastAsia="Arial" w:hAnsi="Arial"/>
      <w:b w:val="1"/>
      <w:bCs w:val="1"/>
      <w:i w:val="1"/>
      <w:iCs w:val="1"/>
      <w:sz w:val="24"/>
      <w:szCs w:val="24"/>
      <w:vertAlign w:val="baseline"/>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dx.doi.org/10.11113/jt.v79.9987" TargetMode="External"/><Relationship Id="rId22" Type="http://schemas.openxmlformats.org/officeDocument/2006/relationships/hyperlink" Target="http://dx.doi.org/10.11113/jt.v79.9987" TargetMode="External"/><Relationship Id="rId21" Type="http://schemas.openxmlformats.org/officeDocument/2006/relationships/hyperlink" Target="http://dx.doi.org/10.11113/jt.v79.9987" TargetMode="External"/><Relationship Id="rId24" Type="http://schemas.openxmlformats.org/officeDocument/2006/relationships/hyperlink" Target="http://dx.doi.org/10.11113/jt.v79.9987" TargetMode="External"/><Relationship Id="rId23" Type="http://schemas.openxmlformats.org/officeDocument/2006/relationships/hyperlink" Target="http://dx.doi.org/10.11113/jt.v79.9987"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3.xml"/><Relationship Id="rId26" Type="http://schemas.openxmlformats.org/officeDocument/2006/relationships/hyperlink" Target="http://dx.doi.org/10.11113/jt.v79.9987" TargetMode="External"/><Relationship Id="rId25" Type="http://schemas.openxmlformats.org/officeDocument/2006/relationships/hyperlink" Target="http://dx.doi.org/10.11113/jt.v79.9987" TargetMode="External"/><Relationship Id="rId28" Type="http://schemas.openxmlformats.org/officeDocument/2006/relationships/hyperlink" Target="http://dx.doi.org/10.11113/jt.v79.9987" TargetMode="External"/><Relationship Id="rId27" Type="http://schemas.openxmlformats.org/officeDocument/2006/relationships/hyperlink" Target="http://dx.doi.org/10.11113/jt.v79.9987" TargetMode="External"/><Relationship Id="rId5" Type="http://schemas.openxmlformats.org/officeDocument/2006/relationships/styles" Target="styles.xml"/><Relationship Id="rId6" Type="http://schemas.openxmlformats.org/officeDocument/2006/relationships/hyperlink" Target="mailto:maman@uxm.edu.my" TargetMode="External"/><Relationship Id="rId29" Type="http://schemas.openxmlformats.org/officeDocument/2006/relationships/hyperlink" Target="http://dx.doi.org/10.11113/jt.v79.9987" TargetMode="External"/><Relationship Id="rId7" Type="http://schemas.openxmlformats.org/officeDocument/2006/relationships/image" Target="media/image6.jpg"/><Relationship Id="rId8" Type="http://schemas.openxmlformats.org/officeDocument/2006/relationships/header" Target="header1.xml"/><Relationship Id="rId31" Type="http://schemas.openxmlformats.org/officeDocument/2006/relationships/hyperlink" Target="http://dx.doi.org/10.11113/jt.v79.9987" TargetMode="External"/><Relationship Id="rId30" Type="http://schemas.openxmlformats.org/officeDocument/2006/relationships/hyperlink" Target="http://dx.doi.org/10.11113/jt.v79.9987" TargetMode="External"/><Relationship Id="rId11" Type="http://schemas.openxmlformats.org/officeDocument/2006/relationships/footer" Target="footer2.xml"/><Relationship Id="rId33" Type="http://schemas.openxmlformats.org/officeDocument/2006/relationships/hyperlink" Target="http://dx.doi.org/10.11113/jt.v79.9987" TargetMode="External"/><Relationship Id="rId10" Type="http://schemas.openxmlformats.org/officeDocument/2006/relationships/footer" Target="footer1.xml"/><Relationship Id="rId32" Type="http://schemas.openxmlformats.org/officeDocument/2006/relationships/hyperlink" Target="http://dx.doi.org/10.11113/jt.v79.9987" TargetMode="External"/><Relationship Id="rId13" Type="http://schemas.openxmlformats.org/officeDocument/2006/relationships/image" Target="media/image4.png"/><Relationship Id="rId35" Type="http://schemas.openxmlformats.org/officeDocument/2006/relationships/hyperlink" Target="http://dx.doi.org/10.11113/jt.v79.9987" TargetMode="External"/><Relationship Id="rId12" Type="http://schemas.openxmlformats.org/officeDocument/2006/relationships/image" Target="media/image2.png"/><Relationship Id="rId34" Type="http://schemas.openxmlformats.org/officeDocument/2006/relationships/hyperlink" Target="http://dx.doi.org/10.11113/jt.v79.9987" TargetMode="External"/><Relationship Id="rId15" Type="http://schemas.openxmlformats.org/officeDocument/2006/relationships/image" Target="media/image1.png"/><Relationship Id="rId37" Type="http://schemas.openxmlformats.org/officeDocument/2006/relationships/hyperlink" Target="http://dx.doi.org/10.11113/jt.v79.9987" TargetMode="External"/><Relationship Id="rId14" Type="http://schemas.openxmlformats.org/officeDocument/2006/relationships/image" Target="media/image3.png"/><Relationship Id="rId36" Type="http://schemas.openxmlformats.org/officeDocument/2006/relationships/hyperlink" Target="http://dx.doi.org/10.11113/jt.v79.9987" TargetMode="External"/><Relationship Id="rId17" Type="http://schemas.openxmlformats.org/officeDocument/2006/relationships/hyperlink" Target="https://doi.crossref.org/simpleTextQuery" TargetMode="External"/><Relationship Id="rId16" Type="http://schemas.openxmlformats.org/officeDocument/2006/relationships/image" Target="media/image5.jpg"/><Relationship Id="rId19" Type="http://schemas.openxmlformats.org/officeDocument/2006/relationships/hyperlink" Target="http://dx.doi.org/10.11113/jt.v79.9987" TargetMode="External"/><Relationship Id="rId18" Type="http://schemas.openxmlformats.org/officeDocument/2006/relationships/hyperlink" Target="http://dx.doi.org/10.11113/jt.v79.9987"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 Id="rId5" Type="http://schemas.openxmlformats.org/officeDocument/2006/relationships/font" Target="fonts/CenturyGothic-regular.ttf"/><Relationship Id="rId6" Type="http://schemas.openxmlformats.org/officeDocument/2006/relationships/font" Target="fonts/CenturyGothic-bold.ttf"/><Relationship Id="rId7" Type="http://schemas.openxmlformats.org/officeDocument/2006/relationships/font" Target="fonts/CenturyGothic-italic.ttf"/><Relationship Id="rId8" Type="http://schemas.openxmlformats.org/officeDocument/2006/relationships/font" Target="fonts/CenturyGothic-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