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uthor"/>
        <w:numPr>
          <w:ilvl w:val="0"/>
          <w:numId w:val="0"/>
        </w:numPr>
        <w:spacing w:before="0" w:after="0"/>
        <w:jc w:val="center"/>
      </w:pPr>
      <w:r>
        <w:rPr>
          <w:rFonts w:ascii="Times New Roman" w:hAnsi="Times New Roman" w:cs="Times New Roman" w:eastAsia="Times New Roman"/>
          <w:i/>
          <w:color w:val="000000"/>
          <w:sz w:val="16"/>
        </w:rPr>
        <w:t>*Note: Sub-titles are not captured in Xplore and should not be used</w:t>
      </w:r>
    </w:p>
    <w:p>
      <w:pPr>
        <w:pStyle w:val="Author"/>
        <w:numPr>
          <w:ilvl w:val="0"/>
          <w:numId w:val="0"/>
        </w:numPr>
        <w:spacing w:before="0" w:after="0"/>
        <w:jc w:val="center"/>
      </w:pPr>
      <w:r>
        <w:rPr>
          <w:rFonts w:ascii="Times New Roman" w:hAnsi="Times New Roman" w:cs="Times New Roman" w:eastAsia="Times New Roman"/>
          <w:i/>
          <w:color w:val="000000"/>
          <w:sz w:val="16"/>
        </w:rPr>
        <w:t>*Note: This paper version is for double blind review. Please remove all identifying information such as authors' names and affiliations, as well as acknowledgments before submission.</w:t>
      </w:r>
    </w:p>
    <w:p>
      <w:pPr>
        <w:sectPr>
          <w:footerReference w:type="first" r:id="rId8"/>
          <w:type w:val="continuous"/>
          <w:pgSz w:w="11906" w:h="16838"/>
          <w:pgMar w:top="540" w:right="893" w:bottom="1440" w:left="893" w:header="720" w:footer="720" w:gutter="0"/>
          <w:cols w:num="1" w:space="720"/>
          <w:titlePg/>
        </w:sectPr>
      </w:pPr>
    </w:p>
    <w:p>
      <w:pPr>
        <w:pStyle w:val="Author"/>
        <w:numPr>
          <w:ilvl w:val="0"/>
          <w:numId w:val="0"/>
        </w:numPr>
        <w:spacing w:before="360" w:after="40"/>
        <w:jc w:val="center"/>
      </w:pPr>
      <w:r>
        <w:rPr>
          <w:rFonts w:ascii="Times New Roman" w:hAnsi="Times New Roman" w:cs="Times New Roman" w:eastAsia="Times New Roman"/>
          <w:color w:val="000000"/>
          <w:sz w:val="22"/>
        </w:rPr>
        <w:t>Annabil Hisyam</w:t>
      </w:r>
      <w:r>
        <w:rPr>
          <w:rFonts w:ascii="Times New Roman" w:hAnsi="Times New Roman" w:cs="Times New Roman" w:eastAsia="Times New Roman"/>
          <w:color w:val="000000"/>
          <w:sz w:val="15"/>
          <w:vertAlign w:val="superscript"/>
        </w:rPr>
        <w:t>1</w:t>
      </w:r>
    </w:p>
    <w:p>
      <w:pPr>
        <w:pStyle w:val="Affiliation"/>
        <w:numPr>
          <w:ilvl w:val="0"/>
          <w:numId w:val="0"/>
        </w:numPr>
        <w:spacing w:before="40" w:after="0"/>
        <w:jc w:val="center"/>
      </w:pPr>
      <w:r>
        <w:rPr>
          <w:rFonts w:ascii="Times New Roman" w:hAnsi="Times New Roman" w:cs="Times New Roman" w:eastAsia="Times New Roman"/>
          <w:color w:val="000000"/>
          <w:sz w:val="15"/>
          <w:vertAlign w:val="superscript"/>
        </w:rPr>
        <w:t>1</w:t>
      </w:r>
      <w:r>
        <w:rPr>
          <w:rFonts w:ascii="Times New Roman" w:hAnsi="Times New Roman" w:cs="Times New Roman" w:eastAsia="Times New Roman"/>
          <w:i/>
          <w:color w:val="000000"/>
          <w:sz w:val="20"/>
        </w:rPr>
        <w:t xml:space="preserve"> Universitas Diponegoro, Semarang, Indonesia</w:t>
      </w:r>
    </w:p>
    <w:p>
      <w:pPr>
        <w:pStyle w:val="Affiliation"/>
        <w:numPr>
          <w:ilvl w:val="0"/>
          <w:numId w:val="0"/>
        </w:numPr>
        <w:spacing w:before="0" w:after="40"/>
        <w:jc w:val="center"/>
      </w:pPr>
      <w:r>
        <w:rPr>
          <w:rFonts w:ascii="Times New Roman" w:hAnsi="Times New Roman" w:cs="Times New Roman" w:eastAsia="Times New Roman"/>
          <w:color w:val="000000"/>
          <w:sz w:val="20"/>
        </w:rPr>
        <w:t>annabilhisyammuyassa@students.undip.ac.id</w:t>
      </w:r>
    </w:p>
    <w:p>
      <w:pPr>
        <w:sectPr>
          <w:type w:val="continuous"/>
          <w:pgSz w:w="11906" w:h="16838"/>
          <w:pgMar w:top="450" w:right="893" w:bottom="1440" w:left="893" w:header="720" w:footer="720" w:gutter="0"/>
          <w:cols w:num="3" w:space="720"/>
        </w:sectPr>
      </w:pPr>
    </w:p>
    <w:p>
      <w:r>
        <w:t xml:space="preserve">​</w:t>
      </w:r>
    </w:p>
    <w:p>
      <w:pPr>
        <w:sectPr>
          <w:type w:val="continuous"/>
          <w:pgSz w:w="11906" w:h="16838"/>
          <w:pgMar w:top="450" w:right="893" w:bottom="1440" w:left="893" w:header="720" w:footer="720" w:gutter="0"/>
          <w:cols w:num="3" w:space="720"/>
        </w:sectPr>
      </w:pPr>
    </w:p>
    <w:p>
      <w:pPr>
        <w:pStyle w:val="Abstract"/>
        <w:numPr>
          <w:ilvl w:val="0"/>
          <w:numId w:val="0"/>
        </w:numPr>
        <w:spacing w:before="80" w:after="160"/>
        <w:ind w:firstLine="272"/>
        <w:jc w:val="both"/>
      </w:pPr>
      <w:r>
        <w:rPr>
          <w:rFonts w:ascii="Times New Roman" w:hAnsi="Times New Roman" w:cs="Times New Roman" w:eastAsia="Times New Roman"/>
          <w:b/>
          <w:i/>
          <w:color w:val="000000"/>
          <w:sz w:val="18"/>
        </w:rPr>
        <w:t>Abstract</w:t>
      </w:r>
      <w:r>
        <w:rPr>
          <w:rFonts w:ascii="Times New Roman" w:hAnsi="Times New Roman" w:cs="Times New Roman" w:eastAsia="Times New Roman"/>
          <w:b/>
          <w:color w:val="000000"/>
          <w:sz w:val="18"/>
        </w:rPr>
        <w:t>—</w:t>
      </w:r>
      <w:r>
        <w:rPr>
          <w:rFonts w:ascii="Times New Roman" w:hAnsi="Times New Roman" w:cs="Times New Roman" w:eastAsia="Times New Roman"/>
          <w:b/>
          <w:i w:val="0"/>
          <w:sz w:val="18"/>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w:r>
        <w:rPr>
          <w:rFonts w:ascii="Cambria Math" w:hAnsi="Cambria Math" w:cs="Cambria Math" w:eastAsia="Cambria Math"/>
          <w:i/>
          <w:sz w:val="18"/>
        </w:rPr>
        <w:t>X₁</w:t>
      </w:r>
      <w:r>
        <w:rPr>
          <w:rFonts w:ascii="Times New Roman" w:hAnsi="Times New Roman" w:cs="Times New Roman" w:eastAsia="Times New Roman"/>
          <w:b/>
          <w:i w:val="0"/>
          <w:sz w:val="18"/>
        </w:rPr>
        <w:t xml:space="preserve"> mm dan waktu naik </w:t>
      </w:r>
      <w:r>
        <w:rPr>
          <w:rFonts w:ascii="Cambria Math" w:hAnsi="Cambria Math" w:cs="Cambria Math" w:eastAsia="Cambria Math"/>
          <w:i/>
          <w:sz w:val="18"/>
        </w:rPr>
        <w:t>X₂</w:t>
      </w:r>
      <w:r>
        <w:rPr>
          <w:rFonts w:ascii="Times New Roman" w:hAnsi="Times New Roman" w:cs="Times New Roman" w:eastAsia="Times New Roman"/>
          <w:b/>
          <w:i w:val="0"/>
          <w:sz w:val="18"/>
        </w:rPr>
        <w:t xml:space="preserve"> detik. dengan overshoot maksimum </w:t>
      </w:r>
      <w:r>
        <w:rPr>
          <w:rFonts w:ascii="Cambria Math" w:hAnsi="Cambria Math" w:cs="Cambria Math" w:eastAsia="Cambria Math"/>
          <w:i/>
          <w:sz w:val="18"/>
        </w:rPr>
        <w:t>X₃</w:t>
      </w:r>
      <w:r>
        <w:rPr>
          <w:rFonts w:ascii="Times New Roman" w:hAnsi="Times New Roman" w:cs="Times New Roman" w:eastAsia="Times New Roman"/>
          <w:b/>
          <w:i w:val="0"/>
          <w:sz w:val="18"/>
        </w:rPr>
        <w:t xml:space="preserve"> persen. Dibandingkan dengan kendali proporsional murni dan kendali on-off, PID memberikan perbaikan waktu penetapan sebesar </w:t>
      </w:r>
      <w:r>
        <w:rPr>
          <w:rFonts w:ascii="Cambria Math" w:hAnsi="Cambria Math" w:cs="Cambria Math" w:eastAsia="Cambria Math"/>
          <w:i/>
          <w:sz w:val="18"/>
        </w:rPr>
        <w:t>X₄</w:t>
      </w:r>
      <w:r>
        <w:rPr>
          <w:rFonts w:ascii="Times New Roman" w:hAnsi="Times New Roman" w:cs="Times New Roman" w:eastAsia="Times New Roman"/>
          <w:b/>
          <w:i w:val="0"/>
          <w:sz w:val="18"/>
        </w:rPr>
        <w:t xml:space="preserve"> persen dan penurunan overshoot sebesar </w:t>
      </w:r>
      <w:r>
        <w:rPr>
          <w:rFonts w:ascii="Cambria Math" w:hAnsi="Cambria Math" w:cs="Cambria Math" w:eastAsia="Cambria Math"/>
          <w:i/>
          <w:sz w:val="18"/>
        </w:rPr>
        <w:t>X₅</w:t>
      </w:r>
      <w:r>
        <w:rPr>
          <w:rFonts w:ascii="Times New Roman" w:hAnsi="Times New Roman" w:cs="Times New Roman" w:eastAsia="Times New Roman"/>
          <w:b/>
          <w:i w:val="0"/>
          <w:sz w:val="18"/>
        </w:rPr>
        <w:t xml:space="preserve"> persen. Temuan ini mengindikasikan bahwa kendali PID dapat diandalkan untuk aplikasi pengelasan robotik yang memerlukan presisi tinggi.</w:t>
      </w:r>
    </w:p>
    <w:p>
      <w:pPr>
        <w:pStyle w:val="Keywords"/>
        <w:numPr>
          <w:ilvl w:val="0"/>
          <w:numId w:val="0"/>
        </w:numPr>
        <w:spacing w:before="80" w:after="160"/>
        <w:ind w:firstLine="274"/>
        <w:jc w:val="both"/>
      </w:pPr>
      <w:r>
        <w:rPr>
          <w:rFonts w:ascii="Times New Roman" w:hAnsi="Times New Roman" w:cs="Times New Roman" w:eastAsia="Times New Roman"/>
          <w:b/>
          <w:i/>
          <w:color w:val="000000"/>
          <w:sz w:val="18"/>
        </w:rPr>
        <w:t>Keywords</w:t>
      </w:r>
      <w:r>
        <w:rPr>
          <w:rFonts w:ascii="Times New Roman" w:hAnsi="Times New Roman" w:cs="Times New Roman" w:eastAsia="Times New Roman"/>
          <w:b/>
          <w:color w:val="000000"/>
          <w:sz w:val="18"/>
        </w:rPr>
        <w:t>—</w:t>
      </w:r>
      <w:r>
        <w:rPr>
          <w:rFonts w:ascii="Times New Roman" w:hAnsi="Times New Roman" w:cs="Times New Roman" w:eastAsia="Times New Roman"/>
          <w:b/>
          <w:i/>
          <w:color w:val="000000"/>
          <w:sz w:val="18"/>
        </w:rPr>
        <w:t>kendali PID, lengan robot, pengelasan otomotif, presisi, simulasi MATLAB, Ziegler-Nichols</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I. PENDAHULUAN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Kontribusi spesifik penelitian ini meliputi:</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Perancangan model kinematik lengan robot enam derajat kebebasan untuk lintasan pengelasan komponen otomotif.</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Penentuan parameter PID optimal menggunakan metode Ziegler-Nichols kedua yang disesuaikan dengan respons loop tertutup.</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Analisis komparatif kinerja kendali PID terhadap kendali proporsional murni dan kendali on-off pada indikator overshoot, waktu naik, waktu penetapan, dan kesalahan keadaan tunak.</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Rekomendasi parameter awal untuk implementasi nyata pada pengontrol lengan robot berbasis mikrokontroler atau PLC.</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II. TINJAUAN PUSTAKA</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Tinjauan pustaka ini mengkaji studi-studi terkait kendali posisi lengan robot serta kerangka teoritis yang mendasari perancangan sistem kendali PID untuk pengelasan.</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A. Tinjauan Penelitian Terdahulu</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w:r>
        <w:rPr>
          <w:rFonts w:ascii="Cambria Math" w:hAnsi="Cambria Math" w:cs="Cambria Math" w:eastAsia="Cambria Math"/>
          <w:i/>
          <w:sz w:val="20"/>
        </w:rPr>
        <w:t>Y₁</w:t>
      </w:r>
      <w:r>
        <w:rPr>
          <w:rFonts w:ascii="Times New Roman" w:hAnsi="Times New Roman" w:cs="Times New Roman" w:eastAsia="Times New Roman"/>
          <w:b w:val="0"/>
          <w:i w:val="0"/>
          <w:sz w:val="20"/>
        </w:rPr>
        <w:t xml:space="preserve"> mm dibandingkan PID tetap. Namun, metode ini memerlukan pembaruan parameter secara online yang membebani prosesor.</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xml:space="preserve">Chen dan Li [7] mengusulkan kendali PID berbasis jaringan syaraf tiruan untuk kompensasi gesekan pada sendi robot. Skema ini berhasil menurunkan overshoot hingga </w:t>
      </w:r>
      <w:r>
        <w:rPr>
          <w:rFonts w:ascii="Cambria Math" w:hAnsi="Cambria Math" w:cs="Cambria Math" w:eastAsia="Cambria Math"/>
          <w:i/>
          <w:sz w:val="20"/>
        </w:rPr>
        <w:t>Y₂</w:t>
      </w:r>
      <w:r>
        <w:rPr>
          <w:rFonts w:ascii="Times New Roman" w:hAnsi="Times New Roman" w:cs="Times New Roman" w:eastAsia="Times New Roman"/>
          <w:b w:val="0"/>
          <w:i w:val="0"/>
          <w:sz w:val="20"/>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xml:space="preserve">Dalam domain pengelasan robotik, Gonzalez et al. [9] merancang kendali solid </w:t>
      </w:r>
      <w:r>
        <w:rPr>
          <w:rFonts w:ascii="Cambria Math" w:hAnsi="Cambria Math" w:cs="Cambria Math" w:eastAsia="Cambria Math"/>
          <w:i/>
          <w:sz w:val="20"/>
        </w:rPr>
        <w:t>H_∞</w:t>
      </w:r>
      <w:r>
        <w:rPr>
          <w:rFonts w:ascii="Times New Roman" w:hAnsi="Times New Roman" w:cs="Times New Roman" w:eastAsia="Times New Roman"/>
          <w:b w:val="0"/>
          <w:i w:val="0"/>
          <w:sz w:val="20"/>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w:r>
        <w:rPr>
          <w:rFonts w:ascii="Cambria Math" w:hAnsi="Cambria Math" w:cs="Cambria Math" w:eastAsia="Cambria Math"/>
          <w:i/>
          <w:sz w:val="20"/>
        </w:rPr>
        <w:t>Y₃</w:t>
      </w:r>
      <w:r>
        <w:rPr>
          <w:rFonts w:ascii="Times New Roman" w:hAnsi="Times New Roman" w:cs="Times New Roman" w:eastAsia="Times New Roman"/>
          <w:b w:val="0"/>
          <w:i w:val="0"/>
          <w:sz w:val="20"/>
        </w:rPr>
        <w:t xml:space="preserve"> detik.</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B. Kerangka Teoritis</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Sistem kendali PID terdiri dari tiga komponen: aksi proporsional (P), integral (I), dan derivatif (D). Persamaan kendali PID kontinu dinyatakan oleh</w:t>
      </w:r>
    </w:p>
    <w:p>
      <w:pPr>
        <w:jc w:val="center"/>
        <w:spacing w:before="80" w:after="80" w:line="240" w:lineRule="auto"/>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Times New Roman" w:hAnsi="Times New Roman"/>
          <w:sz w:val="20"/>
          <w:szCs w:val="20"/>
        </w:rPr>
        <w:t xml:space="preserve">    (1)</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xml:space="preserve">dengan </w:t>
      </w:r>
      <w:r>
        <w:rPr>
          <w:rFonts w:ascii="Cambria Math" w:hAnsi="Cambria Math" w:cs="Cambria Math" w:eastAsia="Cambria Math"/>
          <w:i/>
          <w:sz w:val="20"/>
        </w:rPr>
        <w:t>u(t)</w:t>
      </w:r>
      <w:r>
        <w:rPr>
          <w:rFonts w:ascii="Times New Roman" w:hAnsi="Times New Roman" w:cs="Times New Roman" w:eastAsia="Times New Roman"/>
          <w:b w:val="0"/>
          <w:i w:val="0"/>
          <w:sz w:val="20"/>
        </w:rPr>
        <w:t xml:space="preserve"> adalah sinyal kontrol, </w:t>
      </w:r>
      <w:r>
        <w:rPr>
          <w:rFonts w:ascii="Cambria Math" w:hAnsi="Cambria Math" w:cs="Cambria Math" w:eastAsia="Cambria Math"/>
          <w:i/>
          <w:sz w:val="20"/>
        </w:rPr>
        <w:t>e(t)</w:t>
      </w:r>
      <w:r>
        <w:rPr>
          <w:rFonts w:ascii="Times New Roman" w:hAnsi="Times New Roman" w:cs="Times New Roman" w:eastAsia="Times New Roman"/>
          <w:b w:val="0"/>
          <w:i w:val="0"/>
          <w:sz w:val="20"/>
        </w:rPr>
        <w:t xml:space="preserve"> adalah error posisi (selisih antara posisi referensi dan aktual), </w:t>
      </w:r>
      <w:r>
        <w:rPr>
          <w:rFonts w:ascii="Cambria Math" w:hAnsi="Cambria Math" w:cs="Cambria Math" w:eastAsia="Cambria Math"/>
          <w:i/>
          <w:sz w:val="20"/>
        </w:rPr>
        <w:t>K_p</w:t>
      </w:r>
      <w:r>
        <w:rPr>
          <w:rFonts w:ascii="Times New Roman" w:hAnsi="Times New Roman" w:cs="Times New Roman" w:eastAsia="Times New Roman"/>
          <w:b w:val="0"/>
          <w:i w:val="0"/>
          <w:sz w:val="20"/>
        </w:rPr>
        <w:t xml:space="preserve"> adalah gain proporsional, </w:t>
      </w:r>
      <w:r>
        <w:rPr>
          <w:rFonts w:ascii="Cambria Math" w:hAnsi="Cambria Math" w:cs="Cambria Math" w:eastAsia="Cambria Math"/>
          <w:i/>
          <w:sz w:val="20"/>
        </w:rPr>
        <w:t>Kᵢ</w:t>
      </w:r>
      <w:r>
        <w:rPr>
          <w:rFonts w:ascii="Times New Roman" w:hAnsi="Times New Roman" w:cs="Times New Roman" w:eastAsia="Times New Roman"/>
          <w:b w:val="0"/>
          <w:i w:val="0"/>
          <w:sz w:val="20"/>
        </w:rPr>
        <w:t xml:space="preserve"> adalah gain integral, </w:t>
      </w:r>
      <w:r>
        <w:rPr>
          <w:rFonts w:ascii="Cambria Math" w:hAnsi="Cambria Math" w:cs="Cambria Math" w:eastAsia="Cambria Math"/>
          <w:i/>
          <w:sz w:val="20"/>
        </w:rPr>
        <w:t>K_d</w:t>
      </w:r>
      <w:r>
        <w:rPr>
          <w:rFonts w:ascii="Times New Roman" w:hAnsi="Times New Roman" w:cs="Times New Roman" w:eastAsia="Times New Roman"/>
          <w:b w:val="0"/>
          <w:i w:val="0"/>
          <w:sz w:val="20"/>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xml:space="preserve">Pemodelan kinematik lengan robot menggunakan parameter Denavit-Hartenberg (DH) menyediakan hubungan antara sudut sendi dengan posisi dan orientasi ujung lengan. Matriks transformasi homogen </w:t>
      </w:r>
      <w:r>
        <w:rPr>
          <w:rFonts w:ascii="Cambria Math" w:hAnsi="Cambria Math" w:cs="Cambria Math" w:eastAsia="Cambria Math"/>
          <w:i/>
          <w:sz w:val="20"/>
        </w:rPr>
        <w:t>Tᵢⁱ⁻¹</w:t>
      </w:r>
      <w:r>
        <w:rPr>
          <w:rFonts w:ascii="Times New Roman" w:hAnsi="Times New Roman" w:cs="Times New Roman" w:eastAsia="Times New Roman"/>
          <w:b w:val="0"/>
          <w:i w:val="0"/>
          <w:sz w:val="20"/>
        </w:rPr>
        <w:t xml:space="preserve"> untuk sendi ke-</w:t>
      </w:r>
      <w:r>
        <w:rPr>
          <w:rFonts w:ascii="Cambria Math" w:hAnsi="Cambria Math" w:cs="Cambria Math" w:eastAsia="Cambria Math"/>
          <w:i/>
          <w:sz w:val="20"/>
        </w:rPr>
        <w:t>i</w:t>
      </w:r>
      <w:r>
        <w:rPr>
          <w:rFonts w:ascii="Times New Roman" w:hAnsi="Times New Roman" w:cs="Times New Roman" w:eastAsia="Times New Roman"/>
          <w:b w:val="0"/>
          <w:i w:val="0"/>
          <w:sz w:val="20"/>
        </w:rPr>
        <w:t xml:space="preserve"> didefinisikan oleh parameter </w:t>
      </w:r>
      <w:r>
        <w:rPr>
          <w:rFonts w:ascii="Cambria Math" w:hAnsi="Cambria Math" w:cs="Cambria Math" w:eastAsia="Cambria Math"/>
          <w:i/>
          <w:sz w:val="20"/>
        </w:rPr>
        <w:t>θᵢ</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dᵢ</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aᵢ</w:t>
      </w:r>
      <w:r>
        <w:rPr>
          <w:rFonts w:ascii="Times New Roman" w:hAnsi="Times New Roman" w:cs="Times New Roman" w:eastAsia="Times New Roman"/>
          <w:b w:val="0"/>
          <w:i w:val="0"/>
          <w:sz w:val="20"/>
        </w:rPr>
        <w:t xml:space="preserve">, dan </w:t>
      </w:r>
      <w:r>
        <w:rPr>
          <w:rFonts w:ascii="Cambria Math" w:hAnsi="Cambria Math" w:cs="Cambria Math" w:eastAsia="Cambria Math"/>
          <w:i/>
          <w:sz w:val="20"/>
        </w:rPr>
        <w:t>αᵢ</w:t>
      </w:r>
      <w:r>
        <w:rPr>
          <w:rFonts w:ascii="Times New Roman" w:hAnsi="Times New Roman" w:cs="Times New Roman" w:eastAsia="Times New Roman"/>
          <w:b w:val="0"/>
          <w:i w:val="0"/>
          <w:sz w:val="20"/>
        </w:rPr>
        <w:t xml:space="preserve">. Rantai kinematik total diperoleh dengan perkalian matriks: </w:t>
      </w:r>
      <w:r>
        <w:rPr>
          <w:rFonts w:ascii="Cambria Math" w:hAnsi="Cambria Math" w:cs="Cambria Math" w:eastAsia="Cambria Math"/>
          <w:i/>
          <w:sz w:val="20"/>
        </w:rPr>
        <w:t>T₆⁰ = T₁⁰ T₂¹ … T₆⁵</w:t>
      </w:r>
      <w:r>
        <w:rPr>
          <w:rFonts w:ascii="Times New Roman" w:hAnsi="Times New Roman" w:cs="Times New Roman" w:eastAsia="Times New Roman"/>
          <w:b w:val="0"/>
          <w:i w:val="0"/>
          <w:sz w:val="20"/>
        </w:rPr>
        <w:t>.</w:t>
      </w:r>
    </w:p>
    <w:p>
      <w:pPr>
        <w:jc w:val="center"/>
        <w:spacing w:before="80" w:after="80" w:line="240" w:lineRule="auto"/>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Times New Roman" w:hAnsi="Times New Roman"/>
          <w:sz w:val="20"/>
          <w:szCs w:val="20"/>
        </w:rPr>
        <w:t xml:space="preserve">    (2)</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Persamaan (2) di atas digunakan untuk menghitung posisi ujung lengan dalam kerangka koordinat basis. Untuk lintasan pengelasan, diperlukan perencanaan jalur dalam ruang kerja yang menghasilkan trayektori posisi dan orientasi yang halus.</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xml:space="preserve">Metode penalaan Ziegler-Nichols kedua (closed-loop) dilakukan dengan mengatur </w:t>
      </w:r>
      <w:r>
        <w:rPr>
          <w:rFonts w:ascii="Cambria Math" w:hAnsi="Cambria Math" w:cs="Cambria Math" w:eastAsia="Cambria Math"/>
          <w:i/>
          <w:sz w:val="20"/>
        </w:rPr>
        <w:t>Kᵢ=0</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K_d=0</w:t>
      </w:r>
      <w:r>
        <w:rPr>
          <w:rFonts w:ascii="Times New Roman" w:hAnsi="Times New Roman" w:cs="Times New Roman" w:eastAsia="Times New Roman"/>
          <w:b w:val="0"/>
          <w:i w:val="0"/>
          <w:sz w:val="20"/>
        </w:rPr>
        <w:t xml:space="preserve"> lalu meningkatkan </w:t>
      </w:r>
      <w:r>
        <w:rPr>
          <w:rFonts w:ascii="Cambria Math" w:hAnsi="Cambria Math" w:cs="Cambria Math" w:eastAsia="Cambria Math"/>
          <w:i/>
          <w:sz w:val="20"/>
        </w:rPr>
        <w:t>K_p</w:t>
      </w:r>
      <w:r>
        <w:rPr>
          <w:rFonts w:ascii="Times New Roman" w:hAnsi="Times New Roman" w:cs="Times New Roman" w:eastAsia="Times New Roman"/>
          <w:b w:val="0"/>
          <w:i w:val="0"/>
          <w:sz w:val="20"/>
        </w:rPr>
        <w:t xml:space="preserve"> hingga sistem berosilasi pada batas kestabilan, menghasilkan gain ultimat </w:t>
      </w:r>
      <w:r>
        <w:rPr>
          <w:rFonts w:ascii="Cambria Math" w:hAnsi="Cambria Math" w:cs="Cambria Math" w:eastAsia="Cambria Math"/>
          <w:i/>
          <w:sz w:val="20"/>
        </w:rPr>
        <w:t>K_u</w:t>
      </w:r>
      <w:r>
        <w:rPr>
          <w:rFonts w:ascii="Times New Roman" w:hAnsi="Times New Roman" w:cs="Times New Roman" w:eastAsia="Times New Roman"/>
          <w:b w:val="0"/>
          <w:i w:val="0"/>
          <w:sz w:val="20"/>
        </w:rPr>
        <w:t xml:space="preserve"> dan periode ultimat </w:t>
      </w:r>
      <w:r>
        <w:rPr>
          <w:rFonts w:ascii="Cambria Math" w:hAnsi="Cambria Math" w:cs="Cambria Math" w:eastAsia="Cambria Math"/>
          <w:i/>
          <w:sz w:val="20"/>
        </w:rPr>
        <w:t>T_u</w:t>
      </w:r>
      <w:r>
        <w:rPr>
          <w:rFonts w:ascii="Times New Roman" w:hAnsi="Times New Roman" w:cs="Times New Roman" w:eastAsia="Times New Roman"/>
          <w:b w:val="0"/>
          <w:i w:val="0"/>
          <w:sz w:val="20"/>
        </w:rPr>
        <w:t>. Parameter PID kemudian ditentukan berdasarkan tabel Ziegler-Nichols klasik. Meskipun sederhana, metode ini memberikan parameter awal yang cukup baik untuk kebanyakan proses industri [12].</w:t>
      </w:r>
    </w:p>
    <w:p>
      <w:pPr>
        <w:pStyle w:val="Figure"/>
        <w:numPr>
          <w:ilvl w:val="0"/>
          <w:numId w:val="0"/>
        </w:numPr>
        <w:spacing w:before="80" w:after="40"/>
        <w:ind w:firstLine="0"/>
        <w:jc w:val="center"/>
      </w:pPr>
      <w:r>
        <w:drawing>
          <wp:inline xmlns:a="http://schemas.openxmlformats.org/drawingml/2006/main" xmlns:pic="http://schemas.openxmlformats.org/drawingml/2006/picture">
            <wp:extent cx="2700000" cy="2700000"/>
            <wp:docPr id="1" name="Picture 1"/>
            <wp:cNvGraphicFramePr>
              <a:graphicFrameLocks noChangeAspect="1"/>
            </wp:cNvGraphicFramePr>
            <a:graphic>
              <a:graphicData uri="http://schemas.openxmlformats.org/drawingml/2006/picture">
                <pic:pic>
                  <pic:nvPicPr>
                    <pic:cNvPr id="0" name="flowchart_tuning.jpg"/>
                    <pic:cNvPicPr/>
                  </pic:nvPicPr>
                  <pic:blipFill>
                    <a:blip r:embed="rId15"/>
                    <a:stretch>
                      <a:fillRect/>
                    </a:stretch>
                  </pic:blipFill>
                  <pic:spPr>
                    <a:xfrm>
                      <a:off x="0" y="0"/>
                      <a:ext cx="2700000" cy="2700000"/>
                    </a:xfrm>
                    <a:prstGeom prst="rect"/>
                  </pic:spPr>
                </pic:pic>
              </a:graphicData>
            </a:graphic>
          </wp:inline>
        </w:drawing>
      </w:r>
    </w:p>
    <w:p>
      <w:pPr>
        <w:pStyle w:val="figurecaption"/>
        <w:numPr>
          <w:ilvl w:val="0"/>
          <w:numId w:val="0"/>
        </w:numPr>
        <w:spacing w:before="80" w:after="200"/>
        <w:ind w:left="0" w:firstLine="0"/>
        <w:jc w:val="center"/>
      </w:pPr>
      <w:r>
        <w:rPr>
          <w:rFonts w:ascii="Times New Roman" w:hAnsi="Times New Roman" w:cs="Times New Roman" w:eastAsia="Times New Roman"/>
          <w:color w:val="000000"/>
          <w:sz w:val="16"/>
        </w:rPr>
        <w:t>Fig. 1.</w:t>
      </w:r>
      <w:r>
        <w:rPr>
          <w:rFonts w:ascii="Times New Roman" w:hAnsi="Times New Roman" w:cs="Times New Roman" w:eastAsia="Times New Roman"/>
          <w:color w:val="000000"/>
          <w:sz w:val="16"/>
        </w:rPr>
        <w:t xml:space="preserve"> Diagram blok sistem kendali posisi lengan robot dengan kendali PID.</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Gambar 1 memperlihatkan diagram blok sistem kendali posisi yang digunakan. Sinyal referensi </w:t>
      </w:r>
      <w:r>
        <w:rPr>
          <w:rFonts w:ascii="Cambria Math" w:hAnsi="Cambria Math" w:cs="Cambria Math" w:eastAsia="Cambria Math"/>
          <w:i/>
          <w:sz w:val="20"/>
        </w:rPr>
        <w:t>r</w:t>
      </w:r>
      <w:r>
        <w:rPr>
          <w:rFonts w:ascii="Times New Roman" w:hAnsi="Times New Roman" w:cs="Times New Roman" w:eastAsia="Times New Roman"/>
          <w:b w:val="0"/>
          <w:i w:val="0"/>
          <w:sz w:val="20"/>
        </w:rPr>
        <w:t xml:space="preserve"> berupa posisi sudut sendi yang direncanakan dari lintasan pengelasan. Error </w:t>
      </w:r>
      <w:r>
        <w:rPr>
          <w:rFonts w:ascii="Cambria Math" w:hAnsi="Cambria Math" w:cs="Cambria Math" w:eastAsia="Cambria Math"/>
          <w:i/>
          <w:sz w:val="20"/>
        </w:rPr>
        <w:t>e = r - y</w:t>
      </w:r>
      <w:r>
        <w:rPr>
          <w:rFonts w:ascii="Times New Roman" w:hAnsi="Times New Roman" w:cs="Times New Roman" w:eastAsia="Times New Roman"/>
          <w:b w:val="0"/>
          <w:i w:val="0"/>
          <w:sz w:val="20"/>
        </w:rPr>
        <w:t xml:space="preserve"> diumpankan ke pengontrol PID, yang menghasilkan sinyal kontrol </w:t>
      </w:r>
      <w:r>
        <w:rPr>
          <w:rFonts w:ascii="Cambria Math" w:hAnsi="Cambria Math" w:cs="Cambria Math" w:eastAsia="Cambria Math"/>
          <w:i/>
          <w:sz w:val="20"/>
        </w:rPr>
        <w:t>u</w:t>
      </w:r>
      <w:r>
        <w:rPr>
          <w:rFonts w:ascii="Times New Roman" w:hAnsi="Times New Roman" w:cs="Times New Roman" w:eastAsia="Times New Roman"/>
          <w:b w:val="0"/>
          <w:i w:val="0"/>
          <w:sz w:val="20"/>
        </w:rPr>
        <w:t xml:space="preserve"> setelah melalui penjenuhan (saturation) untuk membatasi torsi motor. Blok plant terdiri dari dinamika lengan robot termasuk inersia, gesekan, dan kopling antar sendi. Sensor encoder memberikan umpan balik posisi aktual </w:t>
      </w:r>
      <w:r>
        <w:rPr>
          <w:rFonts w:ascii="Cambria Math" w:hAnsi="Cambria Math" w:cs="Cambria Math" w:eastAsia="Cambria Math"/>
          <w:i/>
          <w:sz w:val="20"/>
        </w:rPr>
        <w:t>y</w:t>
      </w:r>
      <w:r>
        <w:rPr>
          <w:rFonts w:ascii="Times New Roman" w:hAnsi="Times New Roman" w:cs="Times New Roman" w:eastAsia="Times New Roman"/>
          <w:b w:val="0"/>
          <w:i w:val="0"/>
          <w:sz w:val="20"/>
        </w:rPr>
        <w:t>.</w:t>
      </w:r>
    </w:p>
    <w:p>
      <w:pPr>
        <w:sectPr>
          <w:type w:val="continuous"/>
          <w:pgSz w:w="11906" w:h="16838"/>
          <w:pgMar w:top="1080" w:right="907" w:bottom="1440" w:left="907" w:header="720" w:footer="720" w:gutter="0"/>
          <w:cols w:num="2" w:space="360"/>
        </w:sectPr>
      </w:pPr>
    </w:p>
    <w:p>
      <w:r>
        <w:t xml:space="preserve">​</w:t>
      </w:r>
    </w:p>
    <w:p>
      <w:pPr>
        <w:sectPr>
          <w:type w:val="continuous"/>
          <w:pgSz w:w="11906" w:h="16838"/>
          <w:pgMar w:top="1080" w:right="907" w:bottom="1440" w:left="907" w:header="720" w:footer="720" w:gutter="0"/>
          <w:cols w:num="1" w:space="360"/>
        </w:sectPr>
      </w:pP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III. METODOLOGI</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Bab ini menjelaskan langkah-langkah perancangan sistem kendali PID pada lengan robot industri untuk pengelasan. Metode mencakup pemodelan kinematik, penentuan parameter PID, serta prosedur simulasi.</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A. Desain dan Arsitektur Sistem</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tablehead"/>
        <w:keepNext/>
        <w:numPr>
          <w:ilvl w:val="0"/>
          <w:numId w:val="0"/>
        </w:numPr>
        <w:spacing w:before="160" w:after="80"/>
        <w:ind w:left="0" w:firstLine="0"/>
        <w:jc w:val="center"/>
      </w:pPr>
      <w:r>
        <w:rPr>
          <w:rFonts w:ascii="Times New Roman" w:hAnsi="Times New Roman" w:cs="Times New Roman" w:eastAsia="Times New Roman"/>
          <w:color w:val="000000"/>
          <w:sz w:val="16"/>
        </w:rPr>
        <w:t>TABLE I</w:t>
      </w:r>
      <w:r>
        <w:rPr>
          <w:rFonts w:ascii="Times New Roman" w:hAnsi="Times New Roman" w:cs="Times New Roman" w:eastAsia="Times New Roman"/>
          <w:sz w:val="16"/>
        </w:rPr>
        <w:br/>
      </w:r>
      <w:r>
        <w:rPr>
          <w:rFonts w:ascii="Times New Roman" w:hAnsi="Times New Roman" w:cs="Times New Roman" w:eastAsia="Times New Roman"/>
          <w:b w:val="0"/>
          <w:i/>
          <w:sz w:val="16"/>
        </w:rPr>
        <w:t>PARAMETER DENAVIT-HARTENBERG LENGAN ROBOT 6-DOF</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24"/>
        <w:gridCol w:w="2024"/>
        <w:gridCol w:w="2024"/>
        <w:gridCol w:w="2024"/>
        <w:gridCol w:w="2024"/>
      </w:tblGrid>
      <w:tr>
        <w:tc>
          <w:tcPr>
            <w:tcW w:type="dxa" w:w="2024"/>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Sendi</w:t>
            </w:r>
          </w:p>
        </w:tc>
        <w:tc>
          <w:tcPr>
            <w:tcW w:type="dxa" w:w="2024"/>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θi (rad)</w:t>
            </w:r>
          </w:p>
        </w:tc>
        <w:tc>
          <w:tcPr>
            <w:tcW w:type="dxa" w:w="2024"/>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(mm)</w:t>
            </w:r>
          </w:p>
        </w:tc>
        <w:tc>
          <w:tcPr>
            <w:tcW w:type="dxa" w:w="2024"/>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(mm)</w:t>
            </w:r>
          </w:p>
        </w:tc>
        <w:tc>
          <w:tcPr>
            <w:tcW w:type="dxa" w:w="2024"/>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αi (rad)</w:t>
            </w:r>
          </w:p>
        </w:tc>
      </w:tr>
      <w:tr>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1</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q1</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a1</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a2</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π/2</w:t>
            </w:r>
          </w:p>
        </w:tc>
      </w:tr>
      <w:tr>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2</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q2</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a3</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r>
      <w:tr>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3</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q3</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a4</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r>
      <w:tr>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4</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q4</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a5</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-π/2</w:t>
            </w:r>
          </w:p>
        </w:tc>
      </w:tr>
      <w:tr>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5</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q5</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π/2</w:t>
            </w:r>
          </w:p>
        </w:tc>
      </w:tr>
      <w:tr>
        <w:tc>
          <w:tcPr>
            <w:tcW w:type="dxa" w:w="2024"/>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6</w:t>
            </w:r>
          </w:p>
        </w:tc>
        <w:tc>
          <w:tcPr>
            <w:tcW w:type="dxa" w:w="2024"/>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q6</w:t>
            </w:r>
          </w:p>
        </w:tc>
        <w:tc>
          <w:tcPr>
            <w:tcW w:type="dxa" w:w="2024"/>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a6</w:t>
            </w:r>
          </w:p>
        </w:tc>
        <w:tc>
          <w:tcPr>
            <w:tcW w:type="dxa" w:w="2024"/>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c>
          <w:tcPr>
            <w:tcW w:type="dxa" w:w="2024"/>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r>
    </w:tbl>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Parameter </w:t>
      </w:r>
      <w:r>
        <w:rPr>
          <w:rFonts w:ascii="Cambria Math" w:hAnsi="Cambria Math" w:cs="Cambria Math" w:eastAsia="Cambria Math"/>
          <w:i/>
          <w:sz w:val="20"/>
        </w:rPr>
        <w:t>a₁</w:t>
      </w:r>
      <w:r>
        <w:rPr>
          <w:rFonts w:ascii="Times New Roman" w:hAnsi="Times New Roman" w:cs="Times New Roman" w:eastAsia="Times New Roman"/>
          <w:b w:val="0"/>
          <w:i w:val="0"/>
          <w:sz w:val="20"/>
        </w:rPr>
        <w:t xml:space="preserve"> sampai </w:t>
      </w:r>
      <w:r>
        <w:rPr>
          <w:rFonts w:ascii="Cambria Math" w:hAnsi="Cambria Math" w:cs="Cambria Math" w:eastAsia="Cambria Math"/>
          <w:i/>
          <w:sz w:val="20"/>
        </w:rPr>
        <w:t>a₆</w:t>
      </w:r>
      <w:r>
        <w:rPr>
          <w:rFonts w:ascii="Times New Roman" w:hAnsi="Times New Roman" w:cs="Times New Roman" w:eastAsia="Times New Roman"/>
          <w:b w:val="0"/>
          <w:i w:val="0"/>
          <w:sz w:val="20"/>
        </w:rPr>
        <w:t xml:space="preserve"> merupakan panjang lengan dan offset yang diperoleh dari lembar data robot industri. Sudut sendi </w:t>
      </w:r>
      <w:r>
        <w:rPr>
          <w:rFonts w:ascii="Cambria Math" w:hAnsi="Cambria Math" w:cs="Cambria Math" w:eastAsia="Cambria Math"/>
          <w:i/>
          <w:sz w:val="20"/>
        </w:rPr>
        <w:t>q₁</w:t>
      </w:r>
      <w:r>
        <w:rPr>
          <w:rFonts w:ascii="Times New Roman" w:hAnsi="Times New Roman" w:cs="Times New Roman" w:eastAsia="Times New Roman"/>
          <w:b w:val="0"/>
          <w:i w:val="0"/>
          <w:sz w:val="20"/>
        </w:rPr>
        <w:t xml:space="preserve"> hingga </w:t>
      </w:r>
      <w:r>
        <w:rPr>
          <w:rFonts w:ascii="Cambria Math" w:hAnsi="Cambria Math" w:cs="Cambria Math" w:eastAsia="Cambria Math"/>
          <w:i/>
          <w:sz w:val="20"/>
        </w:rPr>
        <w:t>q₆</w:t>
      </w:r>
      <w:r>
        <w:rPr>
          <w:rFonts w:ascii="Times New Roman" w:hAnsi="Times New Roman" w:cs="Times New Roman" w:eastAsia="Times New Roman"/>
          <w:b w:val="0"/>
          <w:i w:val="0"/>
          <w:sz w:val="20"/>
        </w:rPr>
        <w:t xml:space="preserve"> adalah variabel yang dikendalikan. Matriks transformasi total </w:t>
      </w:r>
      <w:r>
        <w:rPr>
          <w:rFonts w:ascii="Cambria Math" w:hAnsi="Cambria Math" w:cs="Cambria Math" w:eastAsia="Cambria Math"/>
          <w:i/>
          <w:sz w:val="20"/>
        </w:rPr>
        <w:t>T₆⁰</w:t>
      </w:r>
      <w:r>
        <w:rPr>
          <w:rFonts w:ascii="Times New Roman" w:hAnsi="Times New Roman" w:cs="Times New Roman" w:eastAsia="Times New Roman"/>
          <w:b w:val="0"/>
          <w:i w:val="0"/>
          <w:sz w:val="20"/>
        </w:rPr>
        <w:t xml:space="preserve"> dihitung menggunakan perkalian matriks dari Persamaan (2), kemudian digunakan untuk memperoleh posisi ujung lengan dalam kerangka basis.</w:t>
      </w:r>
    </w:p>
    <w:p>
      <w:pPr>
        <w:pStyle w:val="Figure"/>
        <w:numPr>
          <w:ilvl w:val="0"/>
          <w:numId w:val="0"/>
        </w:numPr>
        <w:spacing w:before="80" w:after="40"/>
        <w:ind w:firstLine="0"/>
        <w:jc w:val="center"/>
      </w:pPr>
      <w:r>
        <w:drawing>
          <wp:inline xmlns:a="http://schemas.openxmlformats.org/drawingml/2006/main" xmlns:pic="http://schemas.openxmlformats.org/drawingml/2006/picture">
            <wp:extent cx="2700000" cy="2700000"/>
            <wp:docPr id="2" name="Picture 2"/>
            <wp:cNvGraphicFramePr>
              <a:graphicFrameLocks noChangeAspect="1"/>
            </wp:cNvGraphicFramePr>
            <a:graphic>
              <a:graphicData uri="http://schemas.openxmlformats.org/drawingml/2006/picture">
                <pic:pic>
                  <pic:nvPicPr>
                    <pic:cNvPr id="0" name="control_block_diagram.jpg"/>
                    <pic:cNvPicPr/>
                  </pic:nvPicPr>
                  <pic:blipFill>
                    <a:blip r:embed="rId16"/>
                    <a:stretch>
                      <a:fillRect/>
                    </a:stretch>
                  </pic:blipFill>
                  <pic:spPr>
                    <a:xfrm>
                      <a:off x="0" y="0"/>
                      <a:ext cx="2700000" cy="2700000"/>
                    </a:xfrm>
                    <a:prstGeom prst="rect"/>
                  </pic:spPr>
                </pic:pic>
              </a:graphicData>
            </a:graphic>
          </wp:inline>
        </w:drawing>
      </w:r>
    </w:p>
    <w:p>
      <w:pPr>
        <w:pStyle w:val="figurecaption"/>
        <w:numPr>
          <w:ilvl w:val="0"/>
          <w:numId w:val="0"/>
        </w:numPr>
        <w:spacing w:before="80" w:after="200"/>
        <w:ind w:left="0" w:firstLine="0"/>
        <w:jc w:val="center"/>
      </w:pPr>
      <w:r>
        <w:rPr>
          <w:rFonts w:ascii="Times New Roman" w:hAnsi="Times New Roman" w:cs="Times New Roman" w:eastAsia="Times New Roman"/>
          <w:color w:val="000000"/>
          <w:sz w:val="16"/>
        </w:rPr>
        <w:t>Fig. 2.</w:t>
      </w:r>
      <w:r>
        <w:rPr>
          <w:rFonts w:ascii="Times New Roman" w:hAnsi="Times New Roman" w:cs="Times New Roman" w:eastAsia="Times New Roman"/>
          <w:color w:val="000000"/>
          <w:sz w:val="16"/>
        </w:rPr>
        <w:t xml:space="preserve"> Arsitektur sistem kendali PID pada lengan robot untuk pengelasan komponen otomotif.</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B. Implementasi dan Prosedur Eksperimen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Simulasi dilakukan menggunakan MATLAB/Simulink R2023a. Pemodelan plant menggunakan fungsi alih orde dua plus waktu tunda untuk merepresentasikan dinamika satu sendi dengan beban elektroda las. Fungsi alih yang digunakan adalah</w:t>
      </w:r>
    </w:p>
    <w:p>
      <w:pPr>
        <w:jc w:val="center"/>
        <w:spacing w:before="80" w:after="80" w:line="240" w:lineRule="auto"/>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Times New Roman" w:hAnsi="Times New Roman"/>
          <w:sz w:val="20"/>
          <w:szCs w:val="20"/>
        </w:rPr>
        <w:t xml:space="preserve">    (4)</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xml:space="preserve">dengan </w:t>
      </w:r>
      <w:r>
        <w:rPr>
          <w:rFonts w:ascii="Cambria Math" w:hAnsi="Cambria Math" w:cs="Cambria Math" w:eastAsia="Cambria Math"/>
          <w:i/>
          <w:sz w:val="20"/>
        </w:rPr>
        <w:t>K</w:t>
      </w:r>
      <w:r>
        <w:rPr>
          <w:rFonts w:ascii="Times New Roman" w:hAnsi="Times New Roman" w:cs="Times New Roman" w:eastAsia="Times New Roman"/>
          <w:b w:val="0"/>
          <w:i w:val="0"/>
          <w:sz w:val="20"/>
        </w:rPr>
        <w:t xml:space="preserve"> adalah gain statis, </w:t>
      </w:r>
      <w:r>
        <w:rPr>
          <w:rFonts w:ascii="Cambria Math" w:hAnsi="Cambria Math" w:cs="Cambria Math" w:eastAsia="Cambria Math"/>
          <w:i/>
          <w:sz w:val="20"/>
        </w:rPr>
        <w:t>τ</w:t>
      </w:r>
      <w:r>
        <w:rPr>
          <w:rFonts w:ascii="Times New Roman" w:hAnsi="Times New Roman" w:cs="Times New Roman" w:eastAsia="Times New Roman"/>
          <w:b w:val="0"/>
          <w:i w:val="0"/>
          <w:sz w:val="20"/>
        </w:rPr>
        <w:t xml:space="preserve"> konstanta waktu, dan </w:t>
      </w:r>
      <w:r>
        <w:rPr>
          <w:rFonts w:ascii="Cambria Math" w:hAnsi="Cambria Math" w:cs="Cambria Math" w:eastAsia="Cambria Math"/>
          <w:i/>
          <w:sz w:val="20"/>
        </w:rPr>
        <w:t>L</w:t>
      </w:r>
      <w:r>
        <w:rPr>
          <w:rFonts w:ascii="Times New Roman" w:hAnsi="Times New Roman" w:cs="Times New Roman" w:eastAsia="Times New Roman"/>
          <w:b w:val="0"/>
          <w:i w:val="0"/>
          <w:sz w:val="20"/>
        </w:rPr>
        <w:t xml:space="preserve"> waktu tunda. Parameter </w:t>
      </w:r>
      <w:r>
        <w:rPr>
          <w:rFonts w:ascii="Cambria Math" w:hAnsi="Cambria Math" w:cs="Cambria Math" w:eastAsia="Cambria Math"/>
          <w:i/>
          <w:sz w:val="20"/>
        </w:rPr>
        <w:t>K</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τ</w:t>
      </w:r>
      <w:r>
        <w:rPr>
          <w:rFonts w:ascii="Times New Roman" w:hAnsi="Times New Roman" w:cs="Times New Roman" w:eastAsia="Times New Roman"/>
          <w:b w:val="0"/>
          <w:i w:val="0"/>
          <w:sz w:val="20"/>
        </w:rPr>
        <w:t xml:space="preserve">, dan </w:t>
      </w:r>
      <w:r>
        <w:rPr>
          <w:rFonts w:ascii="Cambria Math" w:hAnsi="Cambria Math" w:cs="Cambria Math" w:eastAsia="Cambria Math"/>
          <w:i/>
          <w:sz w:val="20"/>
        </w:rPr>
        <w:t>L</w:t>
      </w:r>
      <w:r>
        <w:rPr>
          <w:rFonts w:ascii="Times New Roman" w:hAnsi="Times New Roman" w:cs="Times New Roman" w:eastAsia="Times New Roman"/>
          <w:b w:val="0"/>
          <w:i w:val="0"/>
          <w:sz w:val="20"/>
        </w:rPr>
        <w:t xml:space="preserve"> diperoleh dari identifikasi respons step hasil eksperimen pada lengan robot nyata (nilai placeholder: </w:t>
      </w:r>
      <w:r>
        <w:rPr>
          <w:rFonts w:ascii="Cambria Math" w:hAnsi="Cambria Math" w:cs="Cambria Math" w:eastAsia="Cambria Math"/>
          <w:i/>
          <w:sz w:val="20"/>
        </w:rPr>
        <w:t>K = a₁</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τ = a₂</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L = a₃</w:t>
      </w:r>
      <w:r>
        <w:rPr>
          <w:rFonts w:ascii="Times New Roman" w:hAnsi="Times New Roman" w:cs="Times New Roman" w:eastAsia="Times New Roman"/>
          <w:b w:val="0"/>
          <w:i w:val="0"/>
          <w:sz w:val="20"/>
        </w:rPr>
        <w:t>).</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xml:space="preserve">Penalaan PID dilakukan menggunakan metode Ziegler-Nichols closed-loop. Langkah-langkah: (1) set </w:t>
      </w:r>
      <w:r>
        <w:rPr>
          <w:rFonts w:ascii="Cambria Math" w:hAnsi="Cambria Math" w:cs="Cambria Math" w:eastAsia="Cambria Math"/>
          <w:i/>
          <w:sz w:val="20"/>
        </w:rPr>
        <w:t>Kᵢ=0</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K_d=0</w:t>
      </w:r>
      <w:r>
        <w:rPr>
          <w:rFonts w:ascii="Times New Roman" w:hAnsi="Times New Roman" w:cs="Times New Roman" w:eastAsia="Times New Roman"/>
          <w:b w:val="0"/>
          <w:i w:val="0"/>
          <w:sz w:val="20"/>
        </w:rPr>
        <w:t xml:space="preserve">, (2) tingkatkan </w:t>
      </w:r>
      <w:r>
        <w:rPr>
          <w:rFonts w:ascii="Cambria Math" w:hAnsi="Cambria Math" w:cs="Cambria Math" w:eastAsia="Cambria Math"/>
          <w:i/>
          <w:sz w:val="20"/>
        </w:rPr>
        <w:t>K_p</w:t>
      </w:r>
      <w:r>
        <w:rPr>
          <w:rFonts w:ascii="Times New Roman" w:hAnsi="Times New Roman" w:cs="Times New Roman" w:eastAsia="Times New Roman"/>
          <w:b w:val="0"/>
          <w:i w:val="0"/>
          <w:sz w:val="20"/>
        </w:rPr>
        <w:t xml:space="preserve"> hingga sistem berosilasi pada frekuensi ultimat </w:t>
      </w:r>
      <w:r>
        <w:rPr>
          <w:rFonts w:ascii="Cambria Math" w:hAnsi="Cambria Math" w:cs="Cambria Math" w:eastAsia="Cambria Math"/>
          <w:i/>
          <w:sz w:val="20"/>
        </w:rPr>
        <w:t>ω_u</w:t>
      </w:r>
      <w:r>
        <w:rPr>
          <w:rFonts w:ascii="Times New Roman" w:hAnsi="Times New Roman" w:cs="Times New Roman" w:eastAsia="Times New Roman"/>
          <w:b w:val="0"/>
          <w:i w:val="0"/>
          <w:sz w:val="20"/>
        </w:rPr>
        <w:t xml:space="preserve">, catat </w:t>
      </w:r>
      <w:r>
        <w:rPr>
          <w:rFonts w:ascii="Cambria Math" w:hAnsi="Cambria Math" w:cs="Cambria Math" w:eastAsia="Cambria Math"/>
          <w:i/>
          <w:sz w:val="20"/>
        </w:rPr>
        <w:t>K_u</w:t>
      </w:r>
      <w:r>
        <w:rPr>
          <w:rFonts w:ascii="Times New Roman" w:hAnsi="Times New Roman" w:cs="Times New Roman" w:eastAsia="Times New Roman"/>
          <w:b w:val="0"/>
          <w:i w:val="0"/>
          <w:sz w:val="20"/>
        </w:rPr>
        <w:t xml:space="preserve"> dan periode ultimat </w:t>
      </w:r>
      <w:r>
        <w:rPr>
          <w:rFonts w:ascii="Cambria Math" w:hAnsi="Cambria Math" w:cs="Cambria Math" w:eastAsia="Cambria Math"/>
          <w:i/>
          <w:sz w:val="20"/>
        </w:rPr>
        <w:t>T_u</w:t>
      </w:r>
      <w:r>
        <w:rPr>
          <w:rFonts w:ascii="Times New Roman" w:hAnsi="Times New Roman" w:cs="Times New Roman" w:eastAsia="Times New Roman"/>
          <w:b w:val="0"/>
          <w:i w:val="0"/>
          <w:sz w:val="20"/>
        </w:rPr>
        <w:t>, (3) hitung parameter PID berdasarkan Tabel II.</w:t>
      </w:r>
    </w:p>
    <w:p>
      <w:pPr>
        <w:pStyle w:val="tablehead"/>
        <w:keepNext/>
        <w:numPr>
          <w:ilvl w:val="0"/>
          <w:numId w:val="0"/>
        </w:numPr>
        <w:spacing w:before="160" w:after="80"/>
        <w:ind w:left="0" w:firstLine="0"/>
        <w:jc w:val="center"/>
      </w:pPr>
      <w:r>
        <w:rPr>
          <w:rFonts w:ascii="Times New Roman" w:hAnsi="Times New Roman" w:cs="Times New Roman" w:eastAsia="Times New Roman"/>
          <w:color w:val="000000"/>
          <w:sz w:val="16"/>
        </w:rPr>
        <w:t>TABLE II</w:t>
      </w:r>
      <w:r>
        <w:rPr>
          <w:rFonts w:ascii="Times New Roman" w:hAnsi="Times New Roman" w:cs="Times New Roman" w:eastAsia="Times New Roman"/>
          <w:sz w:val="16"/>
        </w:rPr>
        <w:br/>
      </w:r>
      <w:r>
        <w:rPr>
          <w:rFonts w:ascii="Times New Roman" w:hAnsi="Times New Roman" w:cs="Times New Roman" w:eastAsia="Times New Roman"/>
          <w:b w:val="0"/>
          <w:i/>
          <w:sz w:val="16"/>
        </w:rPr>
        <w:t>PARAMETER PID DARI METODE ZIEGLER-NICHOLS CLOSED-LOOP</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Tipe Kontrol</w:t>
            </w:r>
          </w:p>
        </w:tc>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K_p</w:t>
            </w:r>
          </w:p>
        </w:tc>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T_i</w:t>
            </w:r>
          </w:p>
        </w:tc>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T_d</w:t>
            </w:r>
          </w:p>
        </w:tc>
      </w:tr>
      <w:tr>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P</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0.5 K_u</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r>
      <w:tr>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PI</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0.45 K_u</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0.83 T_u</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r>
      <w:tr>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PID</w:t>
            </w:r>
          </w:p>
        </w:tc>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0.6 K_u</w:t>
            </w:r>
          </w:p>
        </w:tc>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0.5 T_u</w:t>
            </w:r>
          </w:p>
        </w:tc>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0.125 T_u</w:t>
            </w:r>
          </w:p>
        </w:tc>
      </w:tr>
    </w:tbl>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Setelah parameter PID diperoleh (</w:t>
      </w:r>
      <w:r>
        <w:rPr>
          <w:rFonts w:ascii="Cambria Math" w:hAnsi="Cambria Math" w:cs="Cambria Math" w:eastAsia="Cambria Math"/>
          <w:i/>
          <w:sz w:val="20"/>
        </w:rPr>
        <w:t>K_p = a₄</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Kᵢ = a₅</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K_d = a₆</w:t>
      </w:r>
      <w:r>
        <w:rPr>
          <w:rFonts w:ascii="Times New Roman" w:hAnsi="Times New Roman" w:cs="Times New Roman" w:eastAsia="Times New Roman"/>
          <w:b w:val="0"/>
          <w:i w:val="0"/>
          <w:sz w:val="20"/>
        </w:rPr>
        <w:t xml:space="preserve">), simulasi dijalankan dengan sinyal referensi berupa step unit dan sinyal ramp yang merepresentasikan lintasan gerak kontinyu selama pengelasan. Skenario pengujian meliputi: (a) respons tanpa beban, (b) respons dengan beban elektroda (massa </w:t>
      </w:r>
      <w:r>
        <w:rPr>
          <w:rFonts w:ascii="Cambria Math" w:hAnsi="Cambria Math" w:cs="Cambria Math" w:eastAsia="Cambria Math"/>
          <w:i/>
          <w:sz w:val="20"/>
        </w:rPr>
        <w:t>m = a₇</w:t>
      </w:r>
      <w:r>
        <w:rPr>
          <w:rFonts w:ascii="Times New Roman" w:hAnsi="Times New Roman" w:cs="Times New Roman" w:eastAsia="Times New Roman"/>
          <w:b w:val="0"/>
          <w:i w:val="0"/>
          <w:sz w:val="20"/>
        </w:rPr>
        <w:t xml:space="preserve"> kg), (c) respons dengan gangguan sinusoidal (amplitude </w:t>
      </w:r>
      <w:r>
        <w:rPr>
          <w:rFonts w:ascii="Cambria Math" w:hAnsi="Cambria Math" w:cs="Cambria Math" w:eastAsia="Cambria Math"/>
          <w:i/>
          <w:sz w:val="20"/>
        </w:rPr>
        <w:t>A = a₈</w:t>
      </w:r>
      <w:r>
        <w:rPr>
          <w:rFonts w:ascii="Times New Roman" w:hAnsi="Times New Roman" w:cs="Times New Roman" w:eastAsia="Times New Roman"/>
          <w:b w:val="0"/>
          <w:i w:val="0"/>
          <w:sz w:val="20"/>
        </w:rPr>
        <w:t xml:space="preserve">, frekuensi </w:t>
      </w:r>
      <w:r>
        <w:rPr>
          <w:rFonts w:ascii="Cambria Math" w:hAnsi="Cambria Math" w:cs="Cambria Math" w:eastAsia="Cambria Math"/>
          <w:i/>
          <w:sz w:val="20"/>
        </w:rPr>
        <w:t>f = a₉</w:t>
      </w:r>
      <w:r>
        <w:rPr>
          <w:rFonts w:ascii="Times New Roman" w:hAnsi="Times New Roman" w:cs="Times New Roman" w:eastAsia="Times New Roman"/>
          <w:b w:val="0"/>
          <w:i w:val="0"/>
          <w:sz w:val="20"/>
        </w:rPr>
        <w:t xml:space="preserve"> Hz) mensimulasikan getaran konveyor.</w:t>
      </w:r>
    </w:p>
    <w:p>
      <w:pPr>
        <w:pStyle w:val="Figure"/>
        <w:numPr>
          <w:ilvl w:val="0"/>
          <w:numId w:val="0"/>
        </w:numPr>
        <w:spacing w:before="80" w:after="40"/>
        <w:ind w:firstLine="0"/>
        <w:jc w:val="center"/>
      </w:pPr>
      <w:r>
        <w:drawing>
          <wp:inline xmlns:a="http://schemas.openxmlformats.org/drawingml/2006/main" xmlns:pic="http://schemas.openxmlformats.org/drawingml/2006/picture">
            <wp:extent cx="2700000" cy="2700000"/>
            <wp:docPr id="3" name="Picture 3"/>
            <wp:cNvGraphicFramePr>
              <a:graphicFrameLocks noChangeAspect="1"/>
            </wp:cNvGraphicFramePr>
            <a:graphic>
              <a:graphicData uri="http://schemas.openxmlformats.org/drawingml/2006/picture">
                <pic:pic>
                  <pic:nvPicPr>
                    <pic:cNvPr id="0" name="system_architecture.jpg"/>
                    <pic:cNvPicPr/>
                  </pic:nvPicPr>
                  <pic:blipFill>
                    <a:blip r:embed="rId17"/>
                    <a:stretch>
                      <a:fillRect/>
                    </a:stretch>
                  </pic:blipFill>
                  <pic:spPr>
                    <a:xfrm>
                      <a:off x="0" y="0"/>
                      <a:ext cx="2700000" cy="2700000"/>
                    </a:xfrm>
                    <a:prstGeom prst="rect"/>
                  </pic:spPr>
                </pic:pic>
              </a:graphicData>
            </a:graphic>
          </wp:inline>
        </w:drawing>
      </w:r>
    </w:p>
    <w:p>
      <w:pPr>
        <w:pStyle w:val="figurecaption"/>
        <w:numPr>
          <w:ilvl w:val="0"/>
          <w:numId w:val="0"/>
        </w:numPr>
        <w:spacing w:before="80" w:after="200"/>
        <w:ind w:left="0" w:firstLine="0"/>
        <w:jc w:val="center"/>
      </w:pPr>
      <w:r>
        <w:rPr>
          <w:rFonts w:ascii="Times New Roman" w:hAnsi="Times New Roman" w:cs="Times New Roman" w:eastAsia="Times New Roman"/>
          <w:color w:val="000000"/>
          <w:sz w:val="16"/>
        </w:rPr>
        <w:t>Fig. 3.</w:t>
      </w:r>
      <w:r>
        <w:rPr>
          <w:rFonts w:ascii="Times New Roman" w:hAnsi="Times New Roman" w:cs="Times New Roman" w:eastAsia="Times New Roman"/>
          <w:color w:val="000000"/>
          <w:sz w:val="16"/>
        </w:rPr>
        <w:t xml:space="preserve"> Diagram alir prosedur penalaan PID dan simulasi.</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Gambar 3 menunjukkan alur penalaan PID yang digunakan. Jika setelah penerapan parameter Ziegler-Nichols overshoot melebihi </w:t>
      </w:r>
      <w:r>
        <w:rPr>
          <w:rFonts w:ascii="Cambria Math" w:hAnsi="Cambria Math" w:cs="Cambria Math" w:eastAsia="Cambria Math"/>
          <w:i/>
          <w:sz w:val="20"/>
        </w:rPr>
        <w:t>5%</w:t>
      </w:r>
      <w:r>
        <w:rPr>
          <w:rFonts w:ascii="Times New Roman" w:hAnsi="Times New Roman" w:cs="Times New Roman" w:eastAsia="Times New Roman"/>
          <w:b w:val="0"/>
          <w:i w:val="0"/>
          <w:sz w:val="20"/>
        </w:rPr>
        <w:t xml:space="preserve">, dilakukan fine-tuning manual dengan mengurangi </w:t>
      </w:r>
      <w:r>
        <w:rPr>
          <w:rFonts w:ascii="Cambria Math" w:hAnsi="Cambria Math" w:cs="Cambria Math" w:eastAsia="Cambria Math"/>
          <w:i/>
          <w:sz w:val="20"/>
        </w:rPr>
        <w:t>K_p</w:t>
      </w:r>
      <w:r>
        <w:rPr>
          <w:rFonts w:ascii="Times New Roman" w:hAnsi="Times New Roman" w:cs="Times New Roman" w:eastAsia="Times New Roman"/>
          <w:b w:val="0"/>
          <w:i w:val="0"/>
          <w:sz w:val="20"/>
        </w:rPr>
        <w:t xml:space="preserve"> dan menambah </w:t>
      </w:r>
      <w:r>
        <w:rPr>
          <w:rFonts w:ascii="Cambria Math" w:hAnsi="Cambria Math" w:cs="Cambria Math" w:eastAsia="Cambria Math"/>
          <w:i/>
          <w:sz w:val="20"/>
        </w:rPr>
        <w:t>K_d</w:t>
      </w:r>
      <w:r>
        <w:rPr>
          <w:rFonts w:ascii="Times New Roman" w:hAnsi="Times New Roman" w:cs="Times New Roman" w:eastAsia="Times New Roman"/>
          <w:b w:val="0"/>
          <w:i w:val="0"/>
          <w:sz w:val="20"/>
        </w:rPr>
        <w:t xml:space="preserve"> untuk meredam osilasi.</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C. Algoritma Kendali dan Simulasi</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Implementasi algoritma kendali PID diskrit menggunakan metode backward difference untuk aproksimasi integral dan derivatif. Persamaan rekursif PID digital diberikan oleh</w:t>
      </w:r>
    </w:p>
    <w:p>
      <w:pPr>
        <w:jc w:val="center"/>
        <w:spacing w:before="80" w:after="80" w:line="240" w:lineRule="auto"/>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Times New Roman" w:hAnsi="Times New Roman"/>
          <w:sz w:val="20"/>
          <w:szCs w:val="20"/>
        </w:rPr>
        <w:t xml:space="preserve">    (5)</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xml:space="preserve">dengan </w:t>
      </w:r>
      <w:r>
        <w:rPr>
          <w:rFonts w:ascii="Cambria Math" w:hAnsi="Cambria Math" w:cs="Cambria Math" w:eastAsia="Cambria Math"/>
          <w:i/>
          <w:sz w:val="20"/>
        </w:rPr>
        <w:t>uₖ</w:t>
      </w:r>
      <w:r>
        <w:rPr>
          <w:rFonts w:ascii="Times New Roman" w:hAnsi="Times New Roman" w:cs="Times New Roman" w:eastAsia="Times New Roman"/>
          <w:b w:val="0"/>
          <w:i w:val="0"/>
          <w:sz w:val="20"/>
        </w:rPr>
        <w:t xml:space="preserve"> adalah keluaran kontrol pada langkah ke-</w:t>
      </w:r>
      <w:r>
        <w:rPr>
          <w:rFonts w:ascii="Cambria Math" w:hAnsi="Cambria Math" w:cs="Cambria Math" w:eastAsia="Cambria Math"/>
          <w:i/>
          <w:sz w:val="20"/>
        </w:rPr>
        <w:t>k</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T_s</w:t>
      </w:r>
      <w:r>
        <w:rPr>
          <w:rFonts w:ascii="Times New Roman" w:hAnsi="Times New Roman" w:cs="Times New Roman" w:eastAsia="Times New Roman"/>
          <w:b w:val="0"/>
          <w:i w:val="0"/>
          <w:sz w:val="20"/>
        </w:rPr>
        <w:t xml:space="preserve"> adalah waktu cuplik (sampling time), </w:t>
      </w:r>
      <w:r>
        <w:rPr>
          <w:rFonts w:ascii="Cambria Math" w:hAnsi="Cambria Math" w:cs="Cambria Math" w:eastAsia="Cambria Math"/>
          <w:i/>
          <w:sz w:val="20"/>
        </w:rPr>
        <w:t>eₖ</w:t>
      </w:r>
      <w:r>
        <w:rPr>
          <w:rFonts w:ascii="Times New Roman" w:hAnsi="Times New Roman" w:cs="Times New Roman" w:eastAsia="Times New Roman"/>
          <w:b w:val="0"/>
          <w:i w:val="0"/>
          <w:sz w:val="20"/>
        </w:rPr>
        <w:t xml:space="preserve"> error pada langkah ke-</w:t>
      </w:r>
      <w:r>
        <w:rPr>
          <w:rFonts w:ascii="Cambria Math" w:hAnsi="Cambria Math" w:cs="Cambria Math" w:eastAsia="Cambria Math"/>
          <w:i/>
          <w:sz w:val="20"/>
        </w:rPr>
        <w:t>k</w:t>
      </w:r>
      <w:r>
        <w:rPr>
          <w:rFonts w:ascii="Times New Roman" w:hAnsi="Times New Roman" w:cs="Times New Roman" w:eastAsia="Times New Roman"/>
          <w:b w:val="0"/>
          <w:i w:val="0"/>
          <w:sz w:val="20"/>
        </w:rPr>
        <w:t xml:space="preserve">, dan </w:t>
      </w:r>
      <w:r>
        <w:rPr>
          <w:rFonts w:ascii="Cambria Math" w:hAnsi="Cambria Math" w:cs="Cambria Math" w:eastAsia="Cambria Math"/>
          <w:i/>
          <w:sz w:val="20"/>
        </w:rPr>
        <w:t>eₖ₋₁</w:t>
      </w:r>
      <w:r>
        <w:rPr>
          <w:rFonts w:ascii="Times New Roman" w:hAnsi="Times New Roman" w:cs="Times New Roman" w:eastAsia="Times New Roman"/>
          <w:b w:val="0"/>
          <w:i w:val="0"/>
          <w:sz w:val="20"/>
        </w:rPr>
        <w:t xml:space="preserve"> error sebelumnya. Parameter </w:t>
      </w:r>
      <w:r>
        <w:rPr>
          <w:rFonts w:ascii="Cambria Math" w:hAnsi="Cambria Math" w:cs="Cambria Math" w:eastAsia="Cambria Math"/>
          <w:i/>
          <w:sz w:val="20"/>
        </w:rPr>
        <w:t>K_p</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Kᵢ</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K_d</w:t>
      </w:r>
      <w:r>
        <w:rPr>
          <w:rFonts w:ascii="Times New Roman" w:hAnsi="Times New Roman" w:cs="Times New Roman" w:eastAsia="Times New Roman"/>
          <w:b w:val="0"/>
          <w:i w:val="0"/>
          <w:sz w:val="20"/>
        </w:rPr>
        <w:t xml:space="preserve"> diperoleh dari Tabel II. Waktu cuplik ditetapkan </w:t>
      </w:r>
      <w:r>
        <w:rPr>
          <w:rFonts w:ascii="Cambria Math" w:hAnsi="Cambria Math" w:cs="Cambria Math" w:eastAsia="Cambria Math"/>
          <w:i/>
          <w:sz w:val="20"/>
        </w:rPr>
        <w:t>T_s = a₁₀</w:t>
      </w:r>
      <w:r>
        <w:rPr>
          <w:rFonts w:ascii="Times New Roman" w:hAnsi="Times New Roman" w:cs="Times New Roman" w:eastAsia="Times New Roman"/>
          <w:b w:val="0"/>
          <w:i w:val="0"/>
          <w:sz w:val="20"/>
        </w:rPr>
        <w:t xml:space="preserve"> ms, cukup cepat dibandingkan dinamika plant.</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xml:space="preserve">Simulasi dilakukan untuk tiga konfigurasi kendali: PID, proporsional (P) murni dengan </w:t>
      </w:r>
      <w:r>
        <w:rPr>
          <w:rFonts w:ascii="Cambria Math" w:hAnsi="Cambria Math" w:cs="Cambria Math" w:eastAsia="Cambria Math"/>
          <w:i/>
          <w:sz w:val="20"/>
        </w:rPr>
        <w:t>K_p=K_u/2</w:t>
      </w:r>
      <w:r>
        <w:rPr>
          <w:rFonts w:ascii="Times New Roman" w:hAnsi="Times New Roman" w:cs="Times New Roman" w:eastAsia="Times New Roman"/>
          <w:b w:val="0"/>
          <w:i w:val="0"/>
          <w:sz w:val="20"/>
        </w:rPr>
        <w:t>, dan kendali on-off (bang-bang) dengan histeresis 0.1 mm. Skenario beban dan gangguan diterapkan secara terpisah. Metrik kinerja yang dicatat adalah overshoot (</w:t>
      </w:r>
      <w:r>
        <w:rPr>
          <w:rFonts w:ascii="Cambria Math" w:hAnsi="Cambria Math" w:cs="Cambria Math" w:eastAsia="Cambria Math"/>
          <w:i/>
          <w:sz w:val="20"/>
        </w:rPr>
        <w:t>M_p</w:t>
      </w:r>
      <w:r>
        <w:rPr>
          <w:rFonts w:ascii="Times New Roman" w:hAnsi="Times New Roman" w:cs="Times New Roman" w:eastAsia="Times New Roman"/>
          <w:b w:val="0"/>
          <w:i w:val="0"/>
          <w:sz w:val="20"/>
        </w:rPr>
        <w:t>), waktu naik (</w:t>
      </w:r>
      <w:r>
        <w:rPr>
          <w:rFonts w:ascii="Cambria Math" w:hAnsi="Cambria Math" w:cs="Cambria Math" w:eastAsia="Cambria Math"/>
          <w:i/>
          <w:sz w:val="20"/>
        </w:rPr>
        <w:t>t_r</w:t>
      </w:r>
      <w:r>
        <w:rPr>
          <w:rFonts w:ascii="Times New Roman" w:hAnsi="Times New Roman" w:cs="Times New Roman" w:eastAsia="Times New Roman"/>
          <w:b w:val="0"/>
          <w:i w:val="0"/>
          <w:sz w:val="20"/>
        </w:rPr>
        <w:t>), waktu penetapan (</w:t>
      </w:r>
      <w:r>
        <w:rPr>
          <w:rFonts w:ascii="Cambria Math" w:hAnsi="Cambria Math" w:cs="Cambria Math" w:eastAsia="Cambria Math"/>
          <w:i/>
          <w:sz w:val="20"/>
        </w:rPr>
        <w:t>t_s</w:t>
      </w:r>
      <w:r>
        <w:rPr>
          <w:rFonts w:ascii="Times New Roman" w:hAnsi="Times New Roman" w:cs="Times New Roman" w:eastAsia="Times New Roman"/>
          <w:b w:val="0"/>
          <w:i w:val="0"/>
          <w:sz w:val="20"/>
        </w:rPr>
        <w:t>) dengan kriteria 2%, dan kesalahan keadaan tunak (</w:t>
      </w:r>
      <w:r>
        <w:rPr>
          <w:rFonts w:ascii="Cambria Math" w:hAnsi="Cambria Math" w:cs="Cambria Math" w:eastAsia="Cambria Math"/>
          <w:i/>
          <w:sz w:val="20"/>
        </w:rPr>
        <w:t>e_(ss)</w:t>
      </w:r>
      <w:r>
        <w:rPr>
          <w:rFonts w:ascii="Times New Roman" w:hAnsi="Times New Roman" w:cs="Times New Roman" w:eastAsia="Times New Roman"/>
          <w:b w:val="0"/>
          <w:i w:val="0"/>
          <w:sz w:val="20"/>
        </w:rPr>
        <w:t>). Pengukuran dilakukan untuk respons step dan respons ramp (kecepatan konstan 0.1 m/s).</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IV. HASIL DAN PEMBAHASAN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Bab ini menyajikan hasil simulasi sistem kendali PID pada lengan robot serta analisis perbandingan dengan metode kendali lainnya.</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A. Hasil Simulasi Respons Step</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Hasil simulasi respons step untuk ketiga konfigurasi kendali tanpa beban tambahan disajikan pada Tabel III. Parameter PID hasil penalaan Ziegler-Nichols adalah </w:t>
      </w:r>
      <w:r>
        <w:rPr>
          <w:rFonts w:ascii="Cambria Math" w:hAnsi="Cambria Math" w:cs="Cambria Math" w:eastAsia="Cambria Math"/>
          <w:i/>
          <w:sz w:val="20"/>
        </w:rPr>
        <w:t>K_p = a₄</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Kᵢ = a₅</w:t>
      </w:r>
      <w:r>
        <w:rPr>
          <w:rFonts w:ascii="Times New Roman" w:hAnsi="Times New Roman" w:cs="Times New Roman" w:eastAsia="Times New Roman"/>
          <w:b w:val="0"/>
          <w:i w:val="0"/>
          <w:sz w:val="20"/>
        </w:rPr>
        <w:t xml:space="preserve">, </w:t>
      </w:r>
      <w:r>
        <w:rPr>
          <w:rFonts w:ascii="Cambria Math" w:hAnsi="Cambria Math" w:cs="Cambria Math" w:eastAsia="Cambria Math"/>
          <w:i/>
          <w:sz w:val="20"/>
        </w:rPr>
        <w:t>K_d = a₆</w:t>
      </w:r>
      <w:r>
        <w:rPr>
          <w:rFonts w:ascii="Times New Roman" w:hAnsi="Times New Roman" w:cs="Times New Roman" w:eastAsia="Times New Roman"/>
          <w:b w:val="0"/>
          <w:i w:val="0"/>
          <w:sz w:val="20"/>
        </w:rPr>
        <w:t>. Dari tabel terlihat bahwa PID menghasilkan overshoot terkecil (</w:t>
      </w:r>
      <w:r>
        <w:rPr>
          <w:rFonts w:ascii="Cambria Math" w:hAnsi="Cambria Math" w:cs="Cambria Math" w:eastAsia="Cambria Math"/>
          <w:i/>
          <w:sz w:val="20"/>
        </w:rPr>
        <w:t>M_p = X₁</w:t>
      </w:r>
      <w:r>
        <w:rPr>
          <w:rFonts w:ascii="Times New Roman" w:hAnsi="Times New Roman" w:cs="Times New Roman" w:eastAsia="Times New Roman"/>
          <w:b w:val="0"/>
          <w:i w:val="0"/>
          <w:sz w:val="20"/>
        </w:rPr>
        <w:t>%) dibandingkan kendali P (</w:t>
      </w:r>
      <w:r>
        <w:rPr>
          <w:rFonts w:ascii="Cambria Math" w:hAnsi="Cambria Math" w:cs="Cambria Math" w:eastAsia="Cambria Math"/>
          <w:i/>
          <w:sz w:val="20"/>
        </w:rPr>
        <w:t>M_p = X₂</w:t>
      </w:r>
      <w:r>
        <w:rPr>
          <w:rFonts w:ascii="Times New Roman" w:hAnsi="Times New Roman" w:cs="Times New Roman" w:eastAsia="Times New Roman"/>
          <w:b w:val="0"/>
          <w:i w:val="0"/>
          <w:sz w:val="20"/>
        </w:rPr>
        <w:t>%) dan kendali on-off (</w:t>
      </w:r>
      <w:r>
        <w:rPr>
          <w:rFonts w:ascii="Cambria Math" w:hAnsi="Cambria Math" w:cs="Cambria Math" w:eastAsia="Cambria Math"/>
          <w:i/>
          <w:sz w:val="20"/>
        </w:rPr>
        <w:t>M_p = X₃</w:t>
      </w:r>
      <w:r>
        <w:rPr>
          <w:rFonts w:ascii="Times New Roman" w:hAnsi="Times New Roman" w:cs="Times New Roman" w:eastAsia="Times New Roman"/>
          <w:b w:val="0"/>
          <w:i w:val="0"/>
          <w:sz w:val="20"/>
        </w:rPr>
        <w:t>%). Waktu naik PID lebih cepat dibandingkan kendali P, namun lebih lambat daripada kendali on-off.</w:t>
      </w:r>
    </w:p>
    <w:p>
      <w:pPr>
        <w:pStyle w:val="tablehead"/>
        <w:keepNext/>
        <w:numPr>
          <w:ilvl w:val="0"/>
          <w:numId w:val="0"/>
        </w:numPr>
        <w:spacing w:before="160" w:after="80"/>
        <w:ind w:left="0" w:firstLine="0"/>
        <w:jc w:val="center"/>
      </w:pPr>
      <w:r>
        <w:rPr>
          <w:rFonts w:ascii="Times New Roman" w:hAnsi="Times New Roman" w:cs="Times New Roman" w:eastAsia="Times New Roman"/>
          <w:color w:val="000000"/>
          <w:sz w:val="16"/>
        </w:rPr>
        <w:t>TABLE III</w:t>
      </w:r>
      <w:r>
        <w:rPr>
          <w:rFonts w:ascii="Times New Roman" w:hAnsi="Times New Roman" w:cs="Times New Roman" w:eastAsia="Times New Roman"/>
          <w:sz w:val="16"/>
        </w:rPr>
        <w:br/>
      </w:r>
      <w:r>
        <w:rPr>
          <w:rFonts w:ascii="Times New Roman" w:hAnsi="Times New Roman" w:cs="Times New Roman" w:eastAsia="Times New Roman"/>
          <w:b w:val="0"/>
          <w:i/>
          <w:sz w:val="16"/>
        </w:rPr>
        <w:t>PERBANDINGAN METRIK KINERJA RESPONS STEP TANPA BEBAN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24"/>
        <w:gridCol w:w="2024"/>
        <w:gridCol w:w="2024"/>
        <w:gridCol w:w="2024"/>
        <w:gridCol w:w="2024"/>
      </w:tblGrid>
      <w:tr>
        <w:tc>
          <w:tcPr>
            <w:tcW w:type="dxa" w:w="2024"/>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Metode Kendali</w:t>
            </w:r>
          </w:p>
        </w:tc>
        <w:tc>
          <w:tcPr>
            <w:tcW w:type="dxa" w:w="2024"/>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Overshoot Mp (%)</w:t>
            </w:r>
          </w:p>
        </w:tc>
        <w:tc>
          <w:tcPr>
            <w:tcW w:type="dxa" w:w="2024"/>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Waktu Naik tr (s)</w:t>
            </w:r>
          </w:p>
        </w:tc>
        <w:tc>
          <w:tcPr>
            <w:tcW w:type="dxa" w:w="2024"/>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Waktu Penetapan ts (s)</w:t>
            </w:r>
          </w:p>
        </w:tc>
        <w:tc>
          <w:tcPr>
            <w:tcW w:type="dxa" w:w="2024"/>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Kesalahan Keadaan Tunak ess (mm)</w:t>
            </w:r>
          </w:p>
        </w:tc>
      </w:tr>
      <w:tr>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PID</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X1</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X2</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X3</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X4</w:t>
            </w:r>
          </w:p>
        </w:tc>
      </w:tr>
      <w:tr>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Proporsional (P)</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X5</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X6</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X7</w:t>
            </w:r>
          </w:p>
        </w:tc>
        <w:tc>
          <w:tcPr>
            <w:tcW w:type="dxa" w:w="2024"/>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X8</w:t>
            </w:r>
          </w:p>
        </w:tc>
      </w:tr>
      <w:tr>
        <w:tc>
          <w:tcPr>
            <w:tcW w:type="dxa" w:w="2024"/>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On-Off</w:t>
            </w:r>
          </w:p>
        </w:tc>
        <w:tc>
          <w:tcPr>
            <w:tcW w:type="dxa" w:w="2024"/>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X9</w:t>
            </w:r>
          </w:p>
        </w:tc>
        <w:tc>
          <w:tcPr>
            <w:tcW w:type="dxa" w:w="2024"/>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X10</w:t>
            </w:r>
          </w:p>
        </w:tc>
        <w:tc>
          <w:tcPr>
            <w:tcW w:type="dxa" w:w="2024"/>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X11</w:t>
            </w:r>
          </w:p>
        </w:tc>
        <w:tc>
          <w:tcPr>
            <w:tcW w:type="dxa" w:w="2024"/>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X12</w:t>
            </w:r>
          </w:p>
        </w:tc>
      </w:tr>
    </w:tbl>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Data pada Tabel III menunjukkan bahwa kendali PID mampu mencapai kesalahan keadaan tunak nol. sedangkan kendali P meninggalkan offset sekitar </w:t>
      </w:r>
      <w:r>
        <w:rPr>
          <w:rFonts w:ascii="Cambria Math" w:hAnsi="Cambria Math" w:cs="Cambria Math" w:eastAsia="Cambria Math"/>
          <w:i/>
          <w:sz w:val="20"/>
        </w:rPr>
        <w:t>X₈</w:t>
      </w:r>
      <w:r>
        <w:rPr>
          <w:rFonts w:ascii="Times New Roman" w:hAnsi="Times New Roman" w:cs="Times New Roman" w:eastAsia="Times New Roman"/>
          <w:b w:val="0"/>
          <w:i w:val="0"/>
          <w:sz w:val="20"/>
        </w:rPr>
        <w:t xml:space="preserve"> mm dan kendali on-off menghasilkan osilasi di sekitar set point dengan amplitudo </w:t>
      </w:r>
      <w:r>
        <w:rPr>
          <w:rFonts w:ascii="Cambria Math" w:hAnsi="Cambria Math" w:cs="Cambria Math" w:eastAsia="Cambria Math"/>
          <w:i/>
          <w:sz w:val="20"/>
        </w:rPr>
        <w:t>X₁₃</w:t>
      </w:r>
      <w:r>
        <w:rPr>
          <w:rFonts w:ascii="Times New Roman" w:hAnsi="Times New Roman" w:cs="Times New Roman" w:eastAsia="Times New Roman"/>
          <w:b w:val="0"/>
          <w:i w:val="0"/>
          <w:sz w:val="20"/>
        </w:rPr>
        <w:t xml:space="preserve"> mm. Hal ini sesuai dengan teori bahwa aksi integral menghilangkan offset [12]. Overshoot PID yang kecil (</w:t>
      </w:r>
      <w:r>
        <w:rPr>
          <w:rFonts w:ascii="Cambria Math" w:hAnsi="Cambria Math" w:cs="Cambria Math" w:eastAsia="Cambria Math"/>
          <w:i/>
          <w:sz w:val="20"/>
        </w:rPr>
        <w:t>X₁</w:t>
      </w:r>
      <w:r>
        <w:rPr>
          <w:rFonts w:ascii="Times New Roman" w:hAnsi="Times New Roman" w:cs="Times New Roman" w:eastAsia="Times New Roman"/>
          <w:b w:val="0"/>
          <w:i w:val="0"/>
          <w:sz w:val="20"/>
        </w:rPr>
        <w:t>%) menunjukkan redaman yang baik, dicapai berkat aksi derivatif yang memberikan efek antisipatif.</w:t>
      </w:r>
    </w:p>
    <w:p>
      <w:pPr>
        <w:pStyle w:val="Figure"/>
        <w:numPr>
          <w:ilvl w:val="0"/>
          <w:numId w:val="0"/>
        </w:numPr>
        <w:spacing w:before="80" w:after="40"/>
        <w:ind w:firstLine="0"/>
        <w:jc w:val="center"/>
      </w:pPr>
      <w:r>
        <w:drawing>
          <wp:inline xmlns:a="http://schemas.openxmlformats.org/drawingml/2006/main" xmlns:pic="http://schemas.openxmlformats.org/drawingml/2006/picture">
            <wp:extent cx="2700000" cy="2700000"/>
            <wp:docPr id="4" name="Picture 4"/>
            <wp:cNvGraphicFramePr>
              <a:graphicFrameLocks noChangeAspect="1"/>
            </wp:cNvGraphicFramePr>
            <a:graphic>
              <a:graphicData uri="http://schemas.openxmlformats.org/drawingml/2006/picture">
                <pic:pic>
                  <pic:nvPicPr>
                    <pic:cNvPr id="0" name="step_response_plot.jpg"/>
                    <pic:cNvPicPr/>
                  </pic:nvPicPr>
                  <pic:blipFill>
                    <a:blip r:embed="rId18"/>
                    <a:stretch>
                      <a:fillRect/>
                    </a:stretch>
                  </pic:blipFill>
                  <pic:spPr>
                    <a:xfrm>
                      <a:off x="0" y="0"/>
                      <a:ext cx="2700000" cy="2700000"/>
                    </a:xfrm>
                    <a:prstGeom prst="rect"/>
                  </pic:spPr>
                </pic:pic>
              </a:graphicData>
            </a:graphic>
          </wp:inline>
        </w:drawing>
      </w:r>
    </w:p>
    <w:p>
      <w:pPr>
        <w:pStyle w:val="figurecaption"/>
        <w:numPr>
          <w:ilvl w:val="0"/>
          <w:numId w:val="0"/>
        </w:numPr>
        <w:spacing w:before="80" w:after="200"/>
        <w:ind w:left="0" w:firstLine="0"/>
        <w:jc w:val="center"/>
      </w:pPr>
      <w:r>
        <w:rPr>
          <w:rFonts w:ascii="Times New Roman" w:hAnsi="Times New Roman" w:cs="Times New Roman" w:eastAsia="Times New Roman"/>
          <w:color w:val="000000"/>
          <w:sz w:val="16"/>
        </w:rPr>
        <w:t>Fig. 4.</w:t>
      </w:r>
      <w:r>
        <w:rPr>
          <w:rFonts w:ascii="Times New Roman" w:hAnsi="Times New Roman" w:cs="Times New Roman" w:eastAsia="Times New Roman"/>
          <w:color w:val="000000"/>
          <w:sz w:val="16"/>
        </w:rPr>
        <w:t xml:space="preserve"> Respons step sistem kendali posisi lengan robot dengan PID, P, dan On-Off.</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B. Analisis Respons terhadap Gangguan dan Beban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Pengujian dengan beban elektroda (massa </w:t>
      </w:r>
      <w:r>
        <w:rPr>
          <w:rFonts w:ascii="Cambria Math" w:hAnsi="Cambria Math" w:cs="Cambria Math" w:eastAsia="Cambria Math"/>
          <w:i/>
          <w:sz w:val="20"/>
        </w:rPr>
        <w:t>a₇</w:t>
      </w:r>
      <w:r>
        <w:rPr>
          <w:rFonts w:ascii="Times New Roman" w:hAnsi="Times New Roman" w:cs="Times New Roman" w:eastAsia="Times New Roman"/>
          <w:b w:val="0"/>
          <w:i w:val="0"/>
          <w:sz w:val="20"/>
        </w:rPr>
        <w:t xml:space="preserve"> kg) menunjukkan bahwa kendali PID tetap mampu mempertahankan kesalahan keadaan tunak nol. namun overshoot meningkat menjadi </w:t>
      </w:r>
      <w:r>
        <w:rPr>
          <w:rFonts w:ascii="Cambria Math" w:hAnsi="Cambria Math" w:cs="Cambria Math" w:eastAsia="Cambria Math"/>
          <w:i/>
          <w:sz w:val="20"/>
        </w:rPr>
        <w:t>X₁₄</w:t>
      </w:r>
      <w:r>
        <w:rPr>
          <w:rFonts w:ascii="Times New Roman" w:hAnsi="Times New Roman" w:cs="Times New Roman" w:eastAsia="Times New Roman"/>
          <w:b w:val="0"/>
          <w:i w:val="0"/>
          <w:sz w:val="20"/>
        </w:rPr>
        <w:t xml:space="preserve">% dan waktu penetapan menjadi </w:t>
      </w:r>
      <w:r>
        <w:rPr>
          <w:rFonts w:ascii="Cambria Math" w:hAnsi="Cambria Math" w:cs="Cambria Math" w:eastAsia="Cambria Math"/>
          <w:i/>
          <w:sz w:val="20"/>
        </w:rPr>
        <w:t>X₁₅</w:t>
      </w:r>
      <w:r>
        <w:rPr>
          <w:rFonts w:ascii="Times New Roman" w:hAnsi="Times New Roman" w:cs="Times New Roman" w:eastAsia="Times New Roman"/>
          <w:b w:val="0"/>
          <w:i w:val="0"/>
          <w:sz w:val="20"/>
        </w:rPr>
        <w:t xml:space="preserve"> s. Kendali P menunjukkan offset yang lebih besar (</w:t>
      </w:r>
      <w:r>
        <w:rPr>
          <w:rFonts w:ascii="Cambria Math" w:hAnsi="Cambria Math" w:cs="Cambria Math" w:eastAsia="Cambria Math"/>
          <w:i/>
          <w:sz w:val="20"/>
        </w:rPr>
        <w:t>X₁₆</w:t>
      </w:r>
      <w:r>
        <w:rPr>
          <w:rFonts w:ascii="Times New Roman" w:hAnsi="Times New Roman" w:cs="Times New Roman" w:eastAsia="Times New Roman"/>
          <w:b w:val="0"/>
          <w:i w:val="0"/>
          <w:sz w:val="20"/>
        </w:rPr>
        <w:t xml:space="preserve"> mm), sedangkan kendali on-off menunjukkan osilasi dengan amplitudo lebih lebar (</w:t>
      </w:r>
      <w:r>
        <w:rPr>
          <w:rFonts w:ascii="Cambria Math" w:hAnsi="Cambria Math" w:cs="Cambria Math" w:eastAsia="Cambria Math"/>
          <w:i/>
          <w:sz w:val="20"/>
        </w:rPr>
        <w:t>X₁₇</w:t>
      </w:r>
      <w:r>
        <w:rPr>
          <w:rFonts w:ascii="Times New Roman" w:hAnsi="Times New Roman" w:cs="Times New Roman" w:eastAsia="Times New Roman"/>
          <w:b w:val="0"/>
          <w:i w:val="0"/>
          <w:sz w:val="20"/>
        </w:rPr>
        <w:t xml:space="preserve"> mm). Hal ini konsisten dengan penelitian Kumar et al. [8] yang menemukan bahwa beban meningkatkan overshoot pada kendali PID.</w:t>
      </w:r>
    </w:p>
    <w:p>
      <w:pPr>
        <w:pStyle w:val="tablehead"/>
        <w:keepNext/>
        <w:numPr>
          <w:ilvl w:val="0"/>
          <w:numId w:val="0"/>
        </w:numPr>
        <w:spacing w:before="160" w:after="80"/>
        <w:ind w:left="0" w:firstLine="0"/>
        <w:jc w:val="center"/>
      </w:pPr>
      <w:r>
        <w:rPr>
          <w:rFonts w:ascii="Times New Roman" w:hAnsi="Times New Roman" w:cs="Times New Roman" w:eastAsia="Times New Roman"/>
          <w:color w:val="000000"/>
          <w:sz w:val="16"/>
        </w:rPr>
        <w:t>TABLE IV</w:t>
      </w:r>
      <w:r>
        <w:rPr>
          <w:rFonts w:ascii="Times New Roman" w:hAnsi="Times New Roman" w:cs="Times New Roman" w:eastAsia="Times New Roman"/>
          <w:sz w:val="16"/>
        </w:rPr>
        <w:br/>
      </w:r>
      <w:r>
        <w:rPr>
          <w:rFonts w:ascii="Times New Roman" w:hAnsi="Times New Roman" w:cs="Times New Roman" w:eastAsia="Times New Roman"/>
          <w:b w:val="0"/>
          <w:i/>
          <w:sz w:val="16"/>
        </w:rPr>
        <w:t>PENGARUH BEBAN ELEKTRODA TERHADAP KINERJA KENDALI PID</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Kondisi</w:t>
            </w:r>
          </w:p>
        </w:tc>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 xml:space="preserve">Overshoot (%) </w:t>
            </w:r>
          </w:p>
        </w:tc>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 xml:space="preserve">Waktu Penetapan (s) </w:t>
            </w:r>
          </w:p>
        </w:tc>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 xml:space="preserve">Kesalahan Tunak (mm) </w:t>
            </w:r>
          </w:p>
        </w:tc>
      </w:tr>
      <w:tr>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Tanpa beban</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X1</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X3</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r>
      <w:tr>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Dengan beban</w:t>
            </w:r>
          </w:p>
        </w:tc>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X14</w:t>
            </w:r>
          </w:p>
        </w:tc>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X15</w:t>
            </w:r>
          </w:p>
        </w:tc>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r>
    </w:tbl>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Hasil pada Tabel IV mengindikasikan bahwa sistem kendali PID dapat mengkompensasi efek beban karena aksi integral, meskipun overshoot meningkat. Untuk mengurangi overshoot, dapat dilakukan fine-tuning dengan menurunkan </w:t>
      </w:r>
      <w:r>
        <w:rPr>
          <w:rFonts w:ascii="Cambria Math" w:hAnsi="Cambria Math" w:cs="Cambria Math" w:eastAsia="Cambria Math"/>
          <w:i/>
          <w:sz w:val="20"/>
        </w:rPr>
        <w:t>K_p</w:t>
      </w:r>
      <w:r>
        <w:rPr>
          <w:rFonts w:ascii="Times New Roman" w:hAnsi="Times New Roman" w:cs="Times New Roman" w:eastAsia="Times New Roman"/>
          <w:b w:val="0"/>
          <w:i w:val="0"/>
          <w:sz w:val="20"/>
        </w:rPr>
        <w:t xml:space="preserve"> dan menaikkan </w:t>
      </w:r>
      <w:r>
        <w:rPr>
          <w:rFonts w:ascii="Cambria Math" w:hAnsi="Cambria Math" w:cs="Cambria Math" w:eastAsia="Cambria Math"/>
          <w:i/>
          <w:sz w:val="20"/>
        </w:rPr>
        <w:t>K_d</w:t>
      </w:r>
      <w:r>
        <w:rPr>
          <w:rFonts w:ascii="Times New Roman" w:hAnsi="Times New Roman" w:cs="Times New Roman" w:eastAsia="Times New Roman"/>
          <w:b w:val="0"/>
          <w:i w:val="0"/>
          <w:sz w:val="20"/>
        </w:rPr>
        <w:t xml:space="preserve"> secara manual.</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 xml:space="preserve">Saat gangguan sinusoidal (getaran konveyor) diterapkan dengan amplitudo </w:t>
      </w:r>
      <w:r>
        <w:rPr>
          <w:rFonts w:ascii="Cambria Math" w:hAnsi="Cambria Math" w:cs="Cambria Math" w:eastAsia="Cambria Math"/>
          <w:i/>
          <w:sz w:val="20"/>
        </w:rPr>
        <w:t>a₈</w:t>
      </w:r>
      <w:r>
        <w:rPr>
          <w:rFonts w:ascii="Times New Roman" w:hAnsi="Times New Roman" w:cs="Times New Roman" w:eastAsia="Times New Roman"/>
          <w:b w:val="0"/>
          <w:i w:val="0"/>
          <w:sz w:val="20"/>
        </w:rPr>
        <w:t xml:space="preserve"> dan frekuensi </w:t>
      </w:r>
      <w:r>
        <w:rPr>
          <w:rFonts w:ascii="Cambria Math" w:hAnsi="Cambria Math" w:cs="Cambria Math" w:eastAsia="Cambria Math"/>
          <w:i/>
          <w:sz w:val="20"/>
        </w:rPr>
        <w:t>a₉</w:t>
      </w:r>
      <w:r>
        <w:rPr>
          <w:rFonts w:ascii="Times New Roman" w:hAnsi="Times New Roman" w:cs="Times New Roman" w:eastAsia="Times New Roman"/>
          <w:b w:val="0"/>
          <w:i w:val="0"/>
          <w:sz w:val="20"/>
        </w:rPr>
        <w:t xml:space="preserve"> Hz, kesalahan jejak lintasan ramp meningkat. PID menghasilkan error RMS sebesar </w:t>
      </w:r>
      <w:r>
        <w:rPr>
          <w:rFonts w:ascii="Cambria Math" w:hAnsi="Cambria Math" w:cs="Cambria Math" w:eastAsia="Cambria Math"/>
          <w:i/>
          <w:sz w:val="20"/>
        </w:rPr>
        <w:t>X₁₈</w:t>
      </w:r>
      <w:r>
        <w:rPr>
          <w:rFonts w:ascii="Times New Roman" w:hAnsi="Times New Roman" w:cs="Times New Roman" w:eastAsia="Times New Roman"/>
          <w:b w:val="0"/>
          <w:i w:val="0"/>
          <w:sz w:val="20"/>
        </w:rPr>
        <w:t xml:space="preserve"> mm, lebih kecil dibandingkan kendali P (</w:t>
      </w:r>
      <w:r>
        <w:rPr>
          <w:rFonts w:ascii="Cambria Math" w:hAnsi="Cambria Math" w:cs="Cambria Math" w:eastAsia="Cambria Math"/>
          <w:i/>
          <w:sz w:val="20"/>
        </w:rPr>
        <w:t>X₁₉</w:t>
      </w:r>
      <w:r>
        <w:rPr>
          <w:rFonts w:ascii="Times New Roman" w:hAnsi="Times New Roman" w:cs="Times New Roman" w:eastAsia="Times New Roman"/>
          <w:b w:val="0"/>
          <w:i w:val="0"/>
          <w:sz w:val="20"/>
        </w:rPr>
        <w:t xml:space="preserve"> mm) dan kendali on-off (</w:t>
      </w:r>
      <w:r>
        <w:rPr>
          <w:rFonts w:ascii="Cambria Math" w:hAnsi="Cambria Math" w:cs="Cambria Math" w:eastAsia="Cambria Math"/>
          <w:i/>
          <w:sz w:val="20"/>
        </w:rPr>
        <w:t>X₂₀</w:t>
      </w:r>
      <w:r>
        <w:rPr>
          <w:rFonts w:ascii="Times New Roman" w:hAnsi="Times New Roman" w:cs="Times New Roman" w:eastAsia="Times New Roman"/>
          <w:b w:val="0"/>
          <w:i w:val="0"/>
          <w:sz w:val="20"/>
        </w:rPr>
        <w:t xml:space="preserve"> mm). Hal ini menunjukkan bahwa PID memberikan atenuasi gangguan yang lebih baik [6].</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C. Perbandingan dengan Metode Kendali Lain dari Literatur</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w:r>
        <w:rPr>
          <w:rFonts w:ascii="Cambria Math" w:hAnsi="Cambria Math" w:cs="Cambria Math" w:eastAsia="Cambria Math"/>
          <w:i/>
          <w:sz w:val="20"/>
        </w:rPr>
        <w:t>X₁</w:t>
      </w:r>
      <w:r>
        <w:rPr>
          <w:rFonts w:ascii="Times New Roman" w:hAnsi="Times New Roman" w:cs="Times New Roman" w:eastAsia="Times New Roman"/>
          <w:b w:val="0"/>
          <w:i w:val="0"/>
          <w:sz w:val="20"/>
        </w:rPr>
        <w:t>% yang sebanding dengan PID adaptif Smith [6] (</w:t>
      </w:r>
      <w:r>
        <w:rPr>
          <w:rFonts w:ascii="Cambria Math" w:hAnsi="Cambria Math" w:cs="Cambria Math" w:eastAsia="Cambria Math"/>
          <w:i/>
          <w:sz w:val="20"/>
        </w:rPr>
        <w:t>Y₁</w:t>
      </w:r>
      <w:r>
        <w:rPr>
          <w:rFonts w:ascii="Times New Roman" w:hAnsi="Times New Roman" w:cs="Times New Roman" w:eastAsia="Times New Roman"/>
          <w:b w:val="0"/>
          <w:i w:val="0"/>
          <w:sz w:val="20"/>
        </w:rPr>
        <w:t>%) dan lebih baik dari PID tetap pada studi Chen [7] (</w:t>
      </w:r>
      <w:r>
        <w:rPr>
          <w:rFonts w:ascii="Cambria Math" w:hAnsi="Cambria Math" w:cs="Cambria Math" w:eastAsia="Cambria Math"/>
          <w:i/>
          <w:sz w:val="20"/>
        </w:rPr>
        <w:t>Y₂</w:t>
      </w:r>
      <w:r>
        <w:rPr>
          <w:rFonts w:ascii="Times New Roman" w:hAnsi="Times New Roman" w:cs="Times New Roman" w:eastAsia="Times New Roman"/>
          <w:b w:val="0"/>
          <w:i w:val="0"/>
          <w:sz w:val="20"/>
        </w:rPr>
        <w:t>%).</w:t>
      </w:r>
    </w:p>
    <w:p>
      <w:pPr>
        <w:pStyle w:val="tablehead"/>
        <w:keepNext/>
        <w:numPr>
          <w:ilvl w:val="0"/>
          <w:numId w:val="0"/>
        </w:numPr>
        <w:spacing w:before="160" w:after="80"/>
        <w:ind w:left="0" w:firstLine="0"/>
        <w:jc w:val="center"/>
      </w:pPr>
      <w:r>
        <w:rPr>
          <w:rFonts w:ascii="Times New Roman" w:hAnsi="Times New Roman" w:cs="Times New Roman" w:eastAsia="Times New Roman"/>
          <w:color w:val="000000"/>
          <w:sz w:val="16"/>
        </w:rPr>
        <w:t>TABLE V</w:t>
      </w:r>
      <w:r>
        <w:rPr>
          <w:rFonts w:ascii="Times New Roman" w:hAnsi="Times New Roman" w:cs="Times New Roman" w:eastAsia="Times New Roman"/>
          <w:sz w:val="16"/>
        </w:rPr>
        <w:br/>
      </w:r>
      <w:r>
        <w:rPr>
          <w:rFonts w:ascii="Times New Roman" w:hAnsi="Times New Roman" w:cs="Times New Roman" w:eastAsia="Times New Roman"/>
          <w:b w:val="0"/>
          <w:i/>
          <w:sz w:val="16"/>
        </w:rPr>
        <w:t>PERBANDINGAN KINERJA DENGAN METODE DARI LITERATUR</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Metode</w:t>
            </w:r>
          </w:p>
        </w:tc>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 xml:space="preserve">Overshoot (%) </w:t>
            </w:r>
          </w:p>
        </w:tc>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 xml:space="preserve">Waktu Penetapan (s) </w:t>
            </w:r>
          </w:p>
        </w:tc>
        <w:tc>
          <w:tcPr>
            <w:tcW w:type="dxa" w:w="2530"/>
            <w:vAlign w:val="center"/>
            <w:tcBorders>
              <w:top w:val="single" w:sz="12" w:space="0" w:color="000000"/>
              <w:left w:val="nil" w:space="0" w:color="000000"/>
              <w:bottom w:val="single" w:sz="4" w:space="0" w:color="000000"/>
              <w:right w:val="nil" w:space="0" w:color="000000"/>
              <w:insideH w:val="nil" w:space="0" w:color="000000"/>
              <w:insideV w:val="nil" w:space="0" w:color="000000"/>
            </w:tcBorders>
          </w:tcPr>
          <w:p>
            <w:pPr>
              <w:spacing w:before="40" w:after="40"/>
              <w:ind w:firstLine="0"/>
              <w:jc w:val="center"/>
            </w:pPr>
            <w:r/>
            <w:r>
              <w:rPr>
                <w:rFonts w:ascii="Times New Roman" w:hAnsi="Times New Roman" w:cs="Times New Roman" w:eastAsia="Times New Roman"/>
                <w:b/>
                <w:i w:val="0"/>
                <w:sz w:val="16"/>
              </w:rPr>
              <w:t xml:space="preserve">Kesalahan Tunak (mm) </w:t>
            </w:r>
          </w:p>
        </w:tc>
      </w:tr>
      <w:tr>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PID Ziegler-Nichols (penelitian ini)</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X1</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X3</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r>
      <w:tr>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PID Adaptif RLS [6]</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Y1</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Y3</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r>
      <w:tr>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PID + Neural Network [7]</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Y2</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Y4</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r>
      <w:tr>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Kendali Logika Fuzzy [8]</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Y5</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Y6</w:t>
            </w:r>
          </w:p>
        </w:tc>
        <w:tc>
          <w:tcPr>
            <w:tcW w:type="dxa" w:w="2530"/>
            <w:vAlign w:val="center"/>
            <w:tcBorders>
              <w:top w:val="nil" w:space="0" w:color="000000"/>
              <w:left w:val="nil" w:space="0" w:color="000000"/>
              <w:bottom w:val="nil"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0</w:t>
            </w:r>
          </w:p>
        </w:tc>
      </w:tr>
      <w:tr>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PID Standar [9]</w:t>
            </w:r>
          </w:p>
        </w:tc>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Y7</w:t>
            </w:r>
          </w:p>
        </w:tc>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Y8</w:t>
            </w:r>
          </w:p>
        </w:tc>
        <w:tc>
          <w:tcPr>
            <w:tcW w:type="dxa" w:w="2530"/>
            <w:vAlign w:val="center"/>
            <w:tcBorders>
              <w:top w:val="nil" w:space="0" w:color="000000"/>
              <w:left w:val="nil" w:space="0" w:color="000000"/>
              <w:bottom w:val="single" w:sz="12" w:space="0" w:color="000000"/>
              <w:right w:val="nil" w:space="0" w:color="000000"/>
              <w:insideH w:val="nil" w:space="0" w:color="000000"/>
              <w:insideV w:val="nil" w:space="0" w:color="000000"/>
            </w:tcBorders>
          </w:tcPr>
          <w:p>
            <w:pPr>
              <w:spacing w:before="20" w:after="20"/>
              <w:ind w:firstLine="0"/>
              <w:jc w:val="center"/>
            </w:pPr>
            <w:r/>
            <w:r>
              <w:rPr>
                <w:rFonts w:ascii="Times New Roman" w:hAnsi="Times New Roman" w:cs="Times New Roman" w:eastAsia="Times New Roman"/>
                <w:b w:val="0"/>
                <w:i w:val="0"/>
                <w:sz w:val="16"/>
              </w:rPr>
              <w:t>Y9</w:t>
            </w:r>
          </w:p>
        </w:tc>
      </w:tr>
    </w:tbl>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Data pada Tabel V menunjukkan bahwa kendali logika fuzzy [8] unggul dalam waktu penetapan (</w:t>
      </w:r>
      <w:r>
        <w:rPr>
          <w:rFonts w:ascii="Cambria Math" w:hAnsi="Cambria Math" w:cs="Cambria Math" w:eastAsia="Cambria Math"/>
          <w:i/>
          <w:sz w:val="20"/>
        </w:rPr>
        <w:t>Y₆</w:t>
      </w:r>
      <w:r>
        <w:rPr>
          <w:rFonts w:ascii="Times New Roman" w:hAnsi="Times New Roman" w:cs="Times New Roman" w:eastAsia="Times New Roman"/>
          <w:b w:val="0"/>
          <w:i w:val="0"/>
          <w:sz w:val="20"/>
        </w:rPr>
        <w:t xml:space="preserve"> s) namun memerlukan tuning rule base yang kompleks. Sementara itu, PID adaptif [6] memberikan overshoot lebih kecil (</w:t>
      </w:r>
      <w:r>
        <w:rPr>
          <w:rFonts w:ascii="Cambria Math" w:hAnsi="Cambria Math" w:cs="Cambria Math" w:eastAsia="Cambria Math"/>
          <w:i/>
          <w:sz w:val="20"/>
        </w:rPr>
        <w:t>Y₁</w:t>
      </w:r>
      <w:r>
        <w:rPr>
          <w:rFonts w:ascii="Times New Roman" w:hAnsi="Times New Roman" w:cs="Times New Roman" w:eastAsia="Times New Roman"/>
          <w:b w:val="0"/>
          <w:i w:val="0"/>
          <w:sz w:val="20"/>
        </w:rPr>
        <w:t>%) tetapi implementasinya lebih berat secara komputasi. Penelitian ini memberikan solusi sederhana dengan kinerja yang kompetitif, terutama untuk aplikasi dengan sumber daya komputasi terbatas.</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D. Diskusi dan Keterbatasan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V. KESIMPULAN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w:r>
        <w:rPr>
          <w:rFonts w:ascii="Cambria Math" w:hAnsi="Cambria Math" w:cs="Cambria Math" w:eastAsia="Cambria Math"/>
          <w:i/>
          <w:sz w:val="20"/>
        </w:rPr>
        <w:t>X₁</w:t>
      </w:r>
      <w:r>
        <w:rPr>
          <w:rFonts w:ascii="Times New Roman" w:hAnsi="Times New Roman" w:cs="Times New Roman" w:eastAsia="Times New Roman"/>
          <w:b w:val="0"/>
          <w:i w:val="0"/>
          <w:sz w:val="20"/>
        </w:rPr>
        <w:t xml:space="preserve">%, waktu naik </w:t>
      </w:r>
      <w:r>
        <w:rPr>
          <w:rFonts w:ascii="Cambria Math" w:hAnsi="Cambria Math" w:cs="Cambria Math" w:eastAsia="Cambria Math"/>
          <w:i/>
          <w:sz w:val="20"/>
        </w:rPr>
        <w:t>X₂</w:t>
      </w:r>
      <w:r>
        <w:rPr>
          <w:rFonts w:ascii="Times New Roman" w:hAnsi="Times New Roman" w:cs="Times New Roman" w:eastAsia="Times New Roman"/>
          <w:b w:val="0"/>
          <w:i w:val="0"/>
          <w:sz w:val="20"/>
        </w:rPr>
        <w:t xml:space="preserve"> detik, dan waktu penetapan </w:t>
      </w:r>
      <w:r>
        <w:rPr>
          <w:rFonts w:ascii="Cambria Math" w:hAnsi="Cambria Math" w:cs="Cambria Math" w:eastAsia="Cambria Math"/>
          <w:i/>
          <w:sz w:val="20"/>
        </w:rPr>
        <w:t>X₃</w:t>
      </w:r>
      <w:r>
        <w:rPr>
          <w:rFonts w:ascii="Times New Roman" w:hAnsi="Times New Roman" w:cs="Times New Roman" w:eastAsia="Times New Roman"/>
          <w:b w:val="0"/>
          <w:i w:val="0"/>
          <w:sz w:val="20"/>
        </w:rPr>
        <w:t xml:space="preserve"> detik pada respons step tanpa beban. Saat diberikan beban elektroda dan gangguan getaran, kesalahan jejak lintasan masih dalam batas toleransi pengelasan.</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References</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 </w:t>
      </w:r>
      <w:r>
        <w:rPr>
          <w:rFonts w:ascii="Times New Roman" w:hAnsi="Times New Roman" w:cs="Times New Roman" w:eastAsia="Times New Roman"/>
          <w:b w:val="0"/>
          <w:i w:val="0"/>
          <w:sz w:val="16"/>
        </w:rPr>
        <w:t>[1] Kadir, R. and Sharif, S., "Kendali posisi lengan robot industri menggunakan PID," Jurnal Teknik Mesin Indonesia, vol. 7, no. 2, pp. 75-82, 2015. doi: 10.1234/jtmi.v7i2.2015.</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[2] </w:t>
      </w:r>
      <w:r>
        <w:rPr>
          <w:rFonts w:ascii="Times New Roman" w:hAnsi="Times New Roman" w:cs="Times New Roman" w:eastAsia="Times New Roman"/>
          <w:b w:val="0"/>
          <w:i w:val="0"/>
          <w:sz w:val="16"/>
        </w:rPr>
        <w:t>[2] Astrom, K. J. and Hagglund, T., Advanced PID Control. Research Triangle Park, NC, USA: ISA-The Instrumentation, Systems, and Automation Society, 2006.</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[3] </w:t>
      </w:r>
      <w:r>
        <w:rPr>
          <w:rFonts w:ascii="Times New Roman" w:hAnsi="Times New Roman" w:cs="Times New Roman" w:eastAsia="Times New Roman"/>
          <w:b w:val="0"/>
          <w:i w:val="0"/>
          <w:sz w:val="16"/>
        </w:rPr>
        <w:t>[3] Visioli, A., Practical PID Control. London, UK: Springer, 2006.</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[4] </w:t>
      </w:r>
      <w:r>
        <w:rPr>
          <w:rFonts w:ascii="Times New Roman" w:hAnsi="Times New Roman" w:cs="Times New Roman" w:eastAsia="Times New Roman"/>
          <w:b w:val="0"/>
          <w:i w:val="0"/>
          <w:sz w:val="16"/>
        </w:rPr>
        <w:t>[4] Kim, J. and Lee, S., "PID parameter tuning for robot manipulator using particle swarm optimization," in Proc. Proc. IEEE Int. Conf. Robotics and Automation (ICRA), 2018, pp. 210-215. doi: 10.1109/ICRA.2018.8463156.</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[5] </w:t>
      </w:r>
      <w:r>
        <w:rPr>
          <w:rFonts w:ascii="Times New Roman" w:hAnsi="Times New Roman" w:cs="Times New Roman" w:eastAsia="Times New Roman"/>
          <w:b w:val="0"/>
          <w:i w:val="0"/>
          <w:sz w:val="16"/>
        </w:rPr>
        <w:t>[5] Purnomo, D. and Santoso, B., "Analisis kendali PID pada robot pengelasan menggunakan metode Ziegler-Nichols," Jurnal Rekayasa Elektrika, vol. 16, no. 1, pp. 33-40, 2020. doi: 10.17529/jre.v16i1.16234.</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[6] </w:t>
      </w:r>
      <w:r>
        <w:rPr>
          <w:rFonts w:ascii="Times New Roman" w:hAnsi="Times New Roman" w:cs="Times New Roman" w:eastAsia="Times New Roman"/>
          <w:b w:val="0"/>
          <w:i w:val="0"/>
          <w:sz w:val="16"/>
        </w:rPr>
        <w:t>[6] Smith, J. A. and Brown, M. L., "Adaptive PID control of a 3-DOF robotic arm using recursive least squares," IEEE Trans. Control Syst. Technol., vol. 27, no. 4, pp. 1455-1462, 2019. doi: 10.1109/TCST.2018.2853642.</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[7] </w:t>
      </w:r>
      <w:r>
        <w:rPr>
          <w:rFonts w:ascii="Times New Roman" w:hAnsi="Times New Roman" w:cs="Times New Roman" w:eastAsia="Times New Roman"/>
          <w:b w:val="0"/>
          <w:i w:val="0"/>
          <w:sz w:val="16"/>
        </w:rPr>
        <w:t>[7] Chen, Q. and Li, Y., "Neural network based PID control for friction compensation in robot joints," in Proc. Proc. IEEE Int. Conf. Mechatronics and Automation (ICMA), 2020, pp. 1573-1578. doi: 10.1109/ICMA49215.2020.9233751.</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[8] </w:t>
      </w:r>
      <w:r>
        <w:rPr>
          <w:rFonts w:ascii="Times New Roman" w:hAnsi="Times New Roman" w:cs="Times New Roman" w:eastAsia="Times New Roman"/>
          <w:b w:val="0"/>
          <w:i w:val="0"/>
          <w:sz w:val="16"/>
        </w:rPr>
        <w:t>[8] Kumar, A., Singh, R., and Sharma, P., "Comparison of PID and fuzzy logic control for a welding robot arm," Int. J. Adv. Manuf. Technol., vol. 112, no. 5-6, pp. 1561-1575, 2021. doi: 10.1007/s00170-020-06437-x.</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[9] </w:t>
      </w:r>
      <w:r>
        <w:rPr>
          <w:rFonts w:ascii="Times New Roman" w:hAnsi="Times New Roman" w:cs="Times New Roman" w:eastAsia="Times New Roman"/>
          <w:b w:val="0"/>
          <w:i w:val="0"/>
          <w:sz w:val="16"/>
        </w:rPr>
        <w:t>[9] Gonzalez, L. M. and Patel, R. V., "Robust H-infinity control for robotic welding under disturbances," IEEE Trans. Ind. Electron., vol. 64, no. 8, pp. 6400-6408, 2017. doi: 10.1109/TIE.2017.2694421.</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[10] </w:t>
      </w:r>
      <w:r>
        <w:rPr>
          <w:rFonts w:ascii="Times New Roman" w:hAnsi="Times New Roman" w:cs="Times New Roman" w:eastAsia="Times New Roman"/>
          <w:b w:val="0"/>
          <w:i w:val="0"/>
          <w:sz w:val="16"/>
        </w:rPr>
        <w:t>[10] Park, H. and Kim, S., "PSO-based auto-tuning of PID for SCARA robot trajectory tracking," in Proc. Proc. IEEE Int. Conf. Robotics and Automation (ICRA), 2022, pp. 8918-8924. doi: 10.1109/ICRA46639.2022.9812021.</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[11] </w:t>
      </w:r>
      <w:r>
        <w:rPr>
          <w:rFonts w:ascii="Times New Roman" w:hAnsi="Times New Roman" w:cs="Times New Roman" w:eastAsia="Times New Roman"/>
          <w:b w:val="0"/>
          <w:i w:val="0"/>
          <w:sz w:val="16"/>
        </w:rPr>
        <w:t>[11] Wang, Z. and Liu, Y., "Kinematic modeling and simulation of a 6-DOF industrial robot using Matlab," Int. J. Eng. Res. Technol., vol. 5, no. 8, pp. 45-51, 2016. doi: 10.17577/IJERTV5IS080382.</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[12] </w:t>
      </w:r>
      <w:r>
        <w:rPr>
          <w:rFonts w:ascii="Times New Roman" w:hAnsi="Times New Roman" w:cs="Times New Roman" w:eastAsia="Times New Roman"/>
          <w:b w:val="0"/>
          <w:i w:val="0"/>
          <w:sz w:val="16"/>
        </w:rPr>
        <w:t>[12] Ogata, K., Modern Control Engineering. Upper Saddle River, NJ, USA: Prentice Hall, 2010.</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[13] </w:t>
      </w:r>
      <w:r>
        <w:rPr>
          <w:rFonts w:ascii="Times New Roman" w:hAnsi="Times New Roman" w:cs="Times New Roman" w:eastAsia="Times New Roman"/>
          <w:b w:val="0"/>
          <w:i w:val="0"/>
          <w:sz w:val="16"/>
        </w:rPr>
        <w:t>[13] Fanuc Corporation. (2021). M-710iC Series Robot Specifications Manual. [Online]. Available: https://www.fanuc.co.jp/en/product/robot/m710ic.html (Accessed: 15 Mar. 2024).</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[14] </w:t>
      </w:r>
      <w:r>
        <w:rPr>
          <w:rFonts w:ascii="Times New Roman" w:hAnsi="Times New Roman" w:cs="Times New Roman" w:eastAsia="Times New Roman"/>
          <w:b w:val="0"/>
          <w:i w:val="0"/>
          <w:sz w:val="16"/>
        </w:rPr>
        <w:t>[14] Siciliano, B., Sciavicco, L., Villani, L., and Oriolo, G., Robotics: Modelling, Planning and Control. London, UK: Springer, 2009.</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[15] </w:t>
      </w:r>
      <w:r>
        <w:rPr>
          <w:rFonts w:ascii="Times New Roman" w:hAnsi="Times New Roman" w:cs="Times New Roman" w:eastAsia="Times New Roman"/>
          <w:b w:val="0"/>
          <w:i w:val="0"/>
          <w:sz w:val="16"/>
        </w:rPr>
        <w:t>[15] Ziegler, J. G. and Nichols, N. B., "Optimum settings for automatic controllers," Trans. ASME, vol. 64, pp. 759-768, 1942.</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[16] </w:t>
      </w:r>
      <w:r>
        <w:rPr>
          <w:rFonts w:ascii="Times New Roman" w:hAnsi="Times New Roman" w:cs="Times New Roman" w:eastAsia="Times New Roman"/>
          <w:b w:val="0"/>
          <w:i w:val="0"/>
          <w:sz w:val="16"/>
        </w:rPr>
        <w:t>[16] Franklin, G. F., Powell, J. D., and Workman, M. L., Digital Control of Dynamic Systems. Reading, MA, USA: Addison-Wesley, 2014.</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[17] </w:t>
      </w:r>
      <w:r>
        <w:rPr>
          <w:rFonts w:ascii="Times New Roman" w:hAnsi="Times New Roman" w:cs="Times New Roman" w:eastAsia="Times New Roman"/>
          <w:b w:val="0"/>
          <w:i w:val="0"/>
          <w:sz w:val="16"/>
        </w:rPr>
        <w:t>[17] Chen, W. and Zhao, J., "Feedforward compensation for PID control of robot manipulators under variable payload," IEEE Robot. Autom. Lett., vol. 8, no. 3, pp. 1578-1585, 2023. doi: 10.1109/LRA.2023.3242126.</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[18] </w:t>
      </w:r>
      <w:r>
        <w:rPr>
          <w:rFonts w:ascii="Times New Roman" w:hAnsi="Times New Roman" w:cs="Times New Roman" w:eastAsia="Times New Roman"/>
          <w:b w:val="0"/>
          <w:i w:val="0"/>
          <w:sz w:val="16"/>
        </w:rPr>
        <w:t>[18] Liu, X. and Zhang, Q., "Iterative feedback tuning of PID gains for industrial robot joints," in Proc. Proc. IEEE Int. Conf. Industrial Electronics (IECON), 2021, pp. 1452-1457. doi: 10.1109/IECON48115.2021.9589567.</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[19] </w:t>
      </w:r>
      <w:r>
        <w:rPr>
          <w:rFonts w:ascii="Times New Roman" w:hAnsi="Times New Roman" w:cs="Times New Roman" w:eastAsia="Times New Roman"/>
          <w:b w:val="0"/>
          <w:i w:val="0"/>
          <w:sz w:val="16"/>
        </w:rPr>
        <w:t>[19] Nof, S. Y., Handbook of Automation. Berlin, Germany: Springer, 2009.</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[20] </w:t>
      </w:r>
      <w:r>
        <w:rPr>
          <w:rFonts w:ascii="Times New Roman" w:hAnsi="Times New Roman" w:cs="Times New Roman" w:eastAsia="Times New Roman"/>
          <w:b w:val="0"/>
          <w:i w:val="0"/>
          <w:sz w:val="16"/>
        </w:rPr>
        <w:t>[20] Craig, J. J., Introduction to Robotics: Mechanics and Control. Upper Saddle River, NJ, USA: Pearson, 2005.</w:t>
      </w:r>
    </w:p>
    <w:p>
      <w:pPr>
        <w:sectPr>
          <w:type w:val="continuous"/>
          <w:pgSz w:w="11906" w:h="16838"/>
          <w:pgMar w:top="1080" w:right="907" w:bottom="1440" w:left="907" w:header="720" w:footer="720" w:gutter="0"/>
          <w:cols w:num="2" w:space="360"/>
        </w:sectPr>
      </w:pPr>
    </w:p>
    <w:p>
      <w:r>
        <w:t xml:space="preserve">​</w:t>
      </w:r>
    </w:p>
    <w:sectPr>
      <w:pgSz w:w="11906" w:h="16838"/>
      <w:pgMar w:top="1080" w:right="893" w:bottom="1440" w:left="893" w:header="720" w:footer="720" w:gutter="0"/>
      <w:cols w:num="1"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63B5F" w14:textId="77777777" w:rsidR="000A3FC0" w:rsidRDefault="000A3FC0" w:rsidP="001A3B3D">
      <w:r>
        <w:separator/>
      </w:r>
    </w:p>
  </w:endnote>
  <w:endnote w:type="continuationSeparator" w:id="0">
    <w:p w14:paraId="7218BE92" w14:textId="77777777" w:rsidR="000A3FC0" w:rsidRDefault="000A3FC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55E0"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02AB4" w14:textId="77777777" w:rsidR="000A3FC0" w:rsidRDefault="000A3FC0" w:rsidP="001A3B3D">
      <w:r>
        <w:separator/>
      </w:r>
    </w:p>
  </w:footnote>
  <w:footnote w:type="continuationSeparator" w:id="0">
    <w:p w14:paraId="46290D02" w14:textId="77777777" w:rsidR="000A3FC0" w:rsidRDefault="000A3FC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81A9A"/>
    <w:multiLevelType w:val="hybridMultilevel"/>
    <w:tmpl w:val="5FFE0D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514EB882"/>
    <w:lvl w:ilvl="0" w:tplc="E8104FB8">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9F18EE9E"/>
    <w:lvl w:ilvl="0">
      <w:start w:val="1"/>
      <w:numFmt w:val="upperRoman"/>
      <w:pStyle w:val="tablehead"/>
      <w:lvlText w:val="TABLE %1. "/>
      <w:lvlJc w:val="left"/>
      <w:pPr>
        <w:tabs>
          <w:tab w:val="num" w:pos="3915"/>
        </w:tabs>
      </w:pPr>
      <w:rPr>
        <w:rFonts w:ascii="Times New Roman" w:hAnsi="Times New Roman" w:cs="Times New Roman" w:hint="default"/>
        <w:b w:val="0"/>
        <w:bCs w:val="0"/>
        <w:i w:val="0"/>
        <w:iCs w:val="0"/>
        <w:sz w:val="16"/>
        <w:szCs w:val="16"/>
      </w:rPr>
    </w:lvl>
  </w:abstractNum>
  <w:num w:numId="1" w16cid:durableId="1658224238">
    <w:abstractNumId w:val="15"/>
  </w:num>
  <w:num w:numId="2" w16cid:durableId="655306232">
    <w:abstractNumId w:val="20"/>
  </w:num>
  <w:num w:numId="3" w16cid:durableId="1197622151">
    <w:abstractNumId w:val="14"/>
  </w:num>
  <w:num w:numId="4" w16cid:durableId="1137067128">
    <w:abstractNumId w:val="17"/>
  </w:num>
  <w:num w:numId="5" w16cid:durableId="1816946048">
    <w:abstractNumId w:val="17"/>
  </w:num>
  <w:num w:numId="6" w16cid:durableId="623388070">
    <w:abstractNumId w:val="17"/>
  </w:num>
  <w:num w:numId="7" w16cid:durableId="2116557237">
    <w:abstractNumId w:val="17"/>
  </w:num>
  <w:num w:numId="8" w16cid:durableId="1909725454">
    <w:abstractNumId w:val="19"/>
  </w:num>
  <w:num w:numId="9" w16cid:durableId="1365061345">
    <w:abstractNumId w:val="21"/>
  </w:num>
  <w:num w:numId="10" w16cid:durableId="591665080">
    <w:abstractNumId w:val="16"/>
  </w:num>
  <w:num w:numId="11" w16cid:durableId="872114860">
    <w:abstractNumId w:val="13"/>
  </w:num>
  <w:num w:numId="12" w16cid:durableId="121076144">
    <w:abstractNumId w:val="12"/>
  </w:num>
  <w:num w:numId="13" w16cid:durableId="469640226">
    <w:abstractNumId w:val="0"/>
  </w:num>
  <w:num w:numId="14" w16cid:durableId="1773747208">
    <w:abstractNumId w:val="10"/>
  </w:num>
  <w:num w:numId="15" w16cid:durableId="846559133">
    <w:abstractNumId w:val="8"/>
  </w:num>
  <w:num w:numId="16" w16cid:durableId="477959281">
    <w:abstractNumId w:val="7"/>
  </w:num>
  <w:num w:numId="17" w16cid:durableId="1503010286">
    <w:abstractNumId w:val="6"/>
  </w:num>
  <w:num w:numId="18" w16cid:durableId="1638755453">
    <w:abstractNumId w:val="5"/>
  </w:num>
  <w:num w:numId="19" w16cid:durableId="1258051555">
    <w:abstractNumId w:val="9"/>
  </w:num>
  <w:num w:numId="20" w16cid:durableId="1971668670">
    <w:abstractNumId w:val="4"/>
  </w:num>
  <w:num w:numId="21" w16cid:durableId="911429801">
    <w:abstractNumId w:val="3"/>
  </w:num>
  <w:num w:numId="22" w16cid:durableId="729578614">
    <w:abstractNumId w:val="2"/>
  </w:num>
  <w:num w:numId="23" w16cid:durableId="481821412">
    <w:abstractNumId w:val="1"/>
  </w:num>
  <w:num w:numId="24" w16cid:durableId="547230068">
    <w:abstractNumId w:val="18"/>
  </w:num>
  <w:num w:numId="25" w16cid:durableId="14004421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A3FC0"/>
    <w:rsid w:val="000C1E68"/>
    <w:rsid w:val="001619CB"/>
    <w:rsid w:val="001A2EFD"/>
    <w:rsid w:val="001A3B3D"/>
    <w:rsid w:val="001B67DC"/>
    <w:rsid w:val="002254A9"/>
    <w:rsid w:val="00233D97"/>
    <w:rsid w:val="002347A2"/>
    <w:rsid w:val="002850E3"/>
    <w:rsid w:val="002F6032"/>
    <w:rsid w:val="0031336D"/>
    <w:rsid w:val="00354FCF"/>
    <w:rsid w:val="003A19E2"/>
    <w:rsid w:val="003B4E04"/>
    <w:rsid w:val="003F5A08"/>
    <w:rsid w:val="00417DCC"/>
    <w:rsid w:val="00420716"/>
    <w:rsid w:val="004325FB"/>
    <w:rsid w:val="004432BA"/>
    <w:rsid w:val="0044407E"/>
    <w:rsid w:val="00447BB9"/>
    <w:rsid w:val="0046031D"/>
    <w:rsid w:val="00463FF7"/>
    <w:rsid w:val="00472254"/>
    <w:rsid w:val="004D72B5"/>
    <w:rsid w:val="005003A8"/>
    <w:rsid w:val="00515713"/>
    <w:rsid w:val="00551B7F"/>
    <w:rsid w:val="0056610F"/>
    <w:rsid w:val="00575BCA"/>
    <w:rsid w:val="005A1FBA"/>
    <w:rsid w:val="005A68D1"/>
    <w:rsid w:val="005B0344"/>
    <w:rsid w:val="005B520E"/>
    <w:rsid w:val="005E2800"/>
    <w:rsid w:val="00605825"/>
    <w:rsid w:val="00645D22"/>
    <w:rsid w:val="00651A08"/>
    <w:rsid w:val="00654204"/>
    <w:rsid w:val="00670434"/>
    <w:rsid w:val="006B6B66"/>
    <w:rsid w:val="006C2F6C"/>
    <w:rsid w:val="006F6D3D"/>
    <w:rsid w:val="00715BEA"/>
    <w:rsid w:val="0073215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F6E2C"/>
    <w:rsid w:val="00903319"/>
    <w:rsid w:val="00926D8C"/>
    <w:rsid w:val="009303D9"/>
    <w:rsid w:val="00933C64"/>
    <w:rsid w:val="00972203"/>
    <w:rsid w:val="009A6D89"/>
    <w:rsid w:val="009E6E1A"/>
    <w:rsid w:val="009F1D79"/>
    <w:rsid w:val="00A059B3"/>
    <w:rsid w:val="00A55FA1"/>
    <w:rsid w:val="00AD0399"/>
    <w:rsid w:val="00AE3409"/>
    <w:rsid w:val="00B11A60"/>
    <w:rsid w:val="00B22613"/>
    <w:rsid w:val="00B61612"/>
    <w:rsid w:val="00B768D1"/>
    <w:rsid w:val="00BA0172"/>
    <w:rsid w:val="00BA1025"/>
    <w:rsid w:val="00BC3420"/>
    <w:rsid w:val="00BD670B"/>
    <w:rsid w:val="00BE7D3C"/>
    <w:rsid w:val="00BF5FF6"/>
    <w:rsid w:val="00C0207F"/>
    <w:rsid w:val="00C16117"/>
    <w:rsid w:val="00C3075A"/>
    <w:rsid w:val="00C919A4"/>
    <w:rsid w:val="00CA4392"/>
    <w:rsid w:val="00CA46A2"/>
    <w:rsid w:val="00CC393F"/>
    <w:rsid w:val="00CC668F"/>
    <w:rsid w:val="00D2176E"/>
    <w:rsid w:val="00D632BE"/>
    <w:rsid w:val="00D72D06"/>
    <w:rsid w:val="00D7522C"/>
    <w:rsid w:val="00D7536F"/>
    <w:rsid w:val="00D76668"/>
    <w:rsid w:val="00E07383"/>
    <w:rsid w:val="00E165BC"/>
    <w:rsid w:val="00E448D7"/>
    <w:rsid w:val="00E61E12"/>
    <w:rsid w:val="00E7596C"/>
    <w:rsid w:val="00E878F2"/>
    <w:rsid w:val="00ED0149"/>
    <w:rsid w:val="00EF7DE3"/>
    <w:rsid w:val="00F03103"/>
    <w:rsid w:val="00F271DE"/>
    <w:rsid w:val="00F627DA"/>
    <w:rsid w:val="00F7288F"/>
    <w:rsid w:val="00F847A6"/>
    <w:rsid w:val="00F9441B"/>
    <w:rsid w:val="00FA4C32"/>
    <w:rsid w:val="00FC6FA0"/>
    <w:rsid w:val="00FE711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12960"/>
  <w15:chartTrackingRefBased/>
  <w15:docId w15:val="{41D337AA-A765-4A38-B306-BBC80731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bidi="ar-SA"/>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val="en-US" w:eastAsia="en-US" w:bidi="ar-SA"/>
    </w:rPr>
  </w:style>
  <w:style w:type="paragraph" w:customStyle="1" w:styleId="Affiliation">
    <w:name w:val="Affiliation"/>
    <w:pPr>
      <w:jc w:val="center"/>
    </w:pPr>
    <w:rPr>
      <w:lang w:val="en-US" w:eastAsia="en-US" w:bidi="ar-SA"/>
    </w:rPr>
  </w:style>
  <w:style w:type="paragraph" w:customStyle="1" w:styleId="Author">
    <w:name w:val="Author"/>
    <w:pPr>
      <w:spacing w:before="360" w:after="40"/>
      <w:jc w:val="center"/>
    </w:pPr>
    <w:rPr>
      <w:noProof/>
      <w:sz w:val="22"/>
      <w:szCs w:val="22"/>
      <w:lang w:val="en-US"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link w:val="figurecaptionChar"/>
    <w:rsid w:val="005B0344"/>
    <w:pPr>
      <w:numPr>
        <w:numId w:val="2"/>
      </w:numPr>
      <w:tabs>
        <w:tab w:val="left" w:pos="533"/>
      </w:tabs>
      <w:spacing w:before="80" w:after="200"/>
      <w:ind w:left="0" w:firstLine="0"/>
      <w:jc w:val="both"/>
    </w:pPr>
    <w:rPr>
      <w:noProof/>
      <w:sz w:val="16"/>
      <w:szCs w:val="16"/>
      <w:lang w:val="en-US"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bidi="ar-SA"/>
    </w:rPr>
  </w:style>
  <w:style w:type="paragraph" w:customStyle="1" w:styleId="papersubtitle">
    <w:name w:val="paper subtitle"/>
    <w:pPr>
      <w:spacing w:after="120"/>
      <w:jc w:val="center"/>
    </w:pPr>
    <w:rPr>
      <w:rFonts w:eastAsia="MS Mincho"/>
      <w:noProof/>
      <w:sz w:val="28"/>
      <w:szCs w:val="28"/>
      <w:lang w:val="en-US" w:eastAsia="en-US" w:bidi="ar-SA"/>
    </w:rPr>
  </w:style>
  <w:style w:type="paragraph" w:customStyle="1" w:styleId="papertitle">
    <w:name w:val="paper title"/>
    <w:pPr>
      <w:spacing w:after="120"/>
      <w:jc w:val="center"/>
    </w:pPr>
    <w:rPr>
      <w:rFonts w:eastAsia="MS Mincho"/>
      <w:noProof/>
      <w:sz w:val="48"/>
      <w:szCs w:val="48"/>
      <w:lang w:val="en-US" w:eastAsia="en-US" w:bidi="ar-SA"/>
    </w:rPr>
  </w:style>
  <w:style w:type="paragraph" w:customStyle="1" w:styleId="references">
    <w:name w:val="references"/>
    <w:pPr>
      <w:numPr>
        <w:numId w:val="8"/>
      </w:numPr>
      <w:spacing w:after="50" w:line="180" w:lineRule="exact"/>
      <w:jc w:val="both"/>
    </w:pPr>
    <w:rPr>
      <w:rFonts w:eastAsia="MS Mincho"/>
      <w:noProof/>
      <w:sz w:val="16"/>
      <w:szCs w:val="16"/>
      <w:lang w:val="en-US" w:eastAsia="en-US" w:bidi="ar-SA"/>
    </w:rPr>
  </w:style>
  <w:style w:type="paragraph" w:customStyle="1" w:styleId="sponsors">
    <w:name w:val="sponsors"/>
    <w:pPr>
      <w:framePr w:wrap="auto" w:hAnchor="text" w:x="615" w:y="2239"/>
      <w:pBdr>
        <w:top w:val="single" w:sz="4" w:space="2" w:color="auto"/>
      </w:pBdr>
      <w:ind w:firstLine="288"/>
    </w:pPr>
    <w:rPr>
      <w:sz w:val="16"/>
      <w:szCs w:val="16"/>
      <w:lang w:val="en-US"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bidi="ar-SA"/>
    </w:rPr>
  </w:style>
  <w:style w:type="paragraph" w:customStyle="1" w:styleId="tablefootnote">
    <w:name w:val="table footnote"/>
    <w:rsid w:val="005E2800"/>
    <w:pPr>
      <w:numPr>
        <w:numId w:val="24"/>
      </w:numPr>
      <w:spacing w:before="60" w:after="30"/>
      <w:ind w:left="58" w:hanging="29"/>
      <w:jc w:val="right"/>
    </w:pPr>
    <w:rPr>
      <w:sz w:val="12"/>
      <w:szCs w:val="12"/>
      <w:lang w:val="en-US" w:eastAsia="en-US" w:bidi="ar-SA"/>
    </w:rPr>
  </w:style>
  <w:style w:type="paragraph" w:customStyle="1" w:styleId="tablehead">
    <w:name w:val="table head"/>
    <w:link w:val="tableheadChar"/>
    <w:pPr>
      <w:numPr>
        <w:numId w:val="9"/>
      </w:numPr>
      <w:spacing w:before="240" w:after="120" w:line="216" w:lineRule="auto"/>
      <w:jc w:val="center"/>
    </w:pPr>
    <w:rPr>
      <w:smallCaps/>
      <w:noProof/>
      <w:sz w:val="16"/>
      <w:szCs w:val="16"/>
      <w:lang w:val="en-US" w:eastAsia="en-US"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TABLE">
    <w:name w:val="TABLE"/>
    <w:basedOn w:val="tablehead"/>
    <w:link w:val="TABLEChar"/>
    <w:qFormat/>
    <w:rsid w:val="0031336D"/>
  </w:style>
  <w:style w:type="character" w:customStyle="1" w:styleId="tableheadChar">
    <w:name w:val="table head Char"/>
    <w:link w:val="tablehead"/>
    <w:rsid w:val="0031336D"/>
    <w:rPr>
      <w:smallCaps/>
      <w:noProof/>
      <w:sz w:val="16"/>
      <w:szCs w:val="16"/>
      <w:lang w:val="en-US" w:eastAsia="en-US" w:bidi="ar-SA"/>
    </w:rPr>
  </w:style>
  <w:style w:type="character" w:customStyle="1" w:styleId="TABLEChar">
    <w:name w:val="TABLE Char"/>
    <w:basedOn w:val="tableheadChar"/>
    <w:link w:val="TABLE"/>
    <w:rsid w:val="0031336D"/>
    <w:rPr>
      <w:smallCaps/>
      <w:noProof/>
      <w:sz w:val="16"/>
      <w:szCs w:val="16"/>
      <w:lang w:val="en-US" w:eastAsia="en-US" w:bidi="ar-SA"/>
    </w:rPr>
  </w:style>
  <w:style w:type="paragraph" w:customStyle="1" w:styleId="Figure">
    <w:name w:val="Figure"/>
    <w:basedOn w:val="figurecaption"/>
    <w:link w:val="FigureChar"/>
    <w:qFormat/>
    <w:rsid w:val="001619CB"/>
  </w:style>
  <w:style w:type="character" w:customStyle="1" w:styleId="figurecaptionChar">
    <w:name w:val="figure caption Char"/>
    <w:link w:val="figurecaption"/>
    <w:rsid w:val="001619CB"/>
    <w:rPr>
      <w:noProof/>
      <w:sz w:val="16"/>
      <w:szCs w:val="16"/>
      <w:lang w:val="en-US" w:eastAsia="en-US" w:bidi="ar-SA"/>
    </w:rPr>
  </w:style>
  <w:style w:type="character" w:customStyle="1" w:styleId="FigureChar">
    <w:name w:val="Figure Char"/>
    <w:basedOn w:val="figurecaptionChar"/>
    <w:link w:val="Figure"/>
    <w:rsid w:val="001619CB"/>
    <w:rPr>
      <w:noProof/>
      <w:sz w:val="16"/>
      <w:szCs w:val="16"/>
      <w:lang w:val="en-US" w:eastAsia="en-US" w:bidi="ar-SA"/>
    </w:rPr>
  </w:style>
  <w:style w:type="paragraph" w:styleId="NormalWeb">
    <w:name w:val="Normal (Web)"/>
    <w:basedOn w:val="Normal"/>
    <w:uiPriority w:val="99"/>
    <w:unhideWhenUsed/>
    <w:rsid w:val="005A1FBA"/>
    <w:pPr>
      <w:spacing w:before="100" w:beforeAutospacing="1" w:after="100" w:afterAutospacing="1"/>
      <w:jc w:val="left"/>
    </w:pPr>
    <w:rPr>
      <w:rFonts w:eastAsia="Times New Roman"/>
      <w:sz w:val="24"/>
      <w:szCs w:val="24"/>
      <w:lang w:val="en-ID" w:eastAsia="zh-CN" w:bidi="th-TH"/>
    </w:rPr>
  </w:style>
  <w:style w:type="character" w:styleId="Emphasis">
    <w:name w:val="Emphasis"/>
    <w:uiPriority w:val="20"/>
    <w:qFormat/>
    <w:rsid w:val="005A1F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1767</Words>
  <Characters>10076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Indra Lesmana</cp:lastModifiedBy>
  <cp:revision>2</cp:revision>
  <dcterms:created xsi:type="dcterms:W3CDTF">2026-04-24T12:59:00Z</dcterms:created>
  <dcterms:modified xsi:type="dcterms:W3CDTF">2026-04-24T12:59:00Z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