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614"/>
        <w:tblGridChange w:id="0">
          <w:tblGrid>
            <w:gridCol w:w="2405"/>
            <w:gridCol w:w="6614"/>
          </w:tblGrid>
        </w:tblGridChange>
      </w:tblGrid>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8">
            <w:pPr>
              <w:spacing w:after="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Artikel Info</w:t>
            </w:r>
          </w:p>
        </w:tc>
        <w:tc>
          <w:tcPr>
            <w:vMerge w:val="restart"/>
            <w:tcBorders>
              <w:left w:color="000000" w:space="0" w:sz="4" w:val="single"/>
            </w:tcBorders>
            <w:shd w:fill="c6d9f1" w:val="clear"/>
          </w:tcPr>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The abstract is written in a single paragraph </w:t>
            </w:r>
            <w:r w:rsidDel="00000000" w:rsidR="00000000" w:rsidRPr="00000000">
              <w:rPr>
                <w:rFonts w:ascii="Times New Roman" w:cs="Times New Roman" w:eastAsia="Times New Roman" w:hAnsi="Times New Roman"/>
                <w:b w:val="1"/>
                <w:bCs w:val="1"/>
                <w:sz w:val="20"/>
                <w:szCs w:val="20"/>
                <w:rtl w:val="0"/>
              </w:rPr>
              <w:t xml:space="preserve">no longer than 150 words</w:t>
            </w:r>
            <w:r w:rsidDel="00000000" w:rsidR="00000000" w:rsidRPr="00000000">
              <w:rPr>
                <w:rFonts w:ascii="Times New Roman" w:cs="Times New Roman" w:eastAsia="Times New Roman" w:hAnsi="Times New Roman"/>
                <w:sz w:val="20"/>
                <w:szCs w:val="20"/>
                <w:rtl w:val="0"/>
              </w:rPr>
              <w:t xml:space="preserve">, summarizing the entire content of the article in a concise and informative manner. The abstract must be </w:t>
            </w:r>
            <w:r w:rsidDel="00000000" w:rsidR="00000000" w:rsidRPr="00000000">
              <w:rPr>
                <w:rFonts w:ascii="Times New Roman" w:cs="Times New Roman" w:eastAsia="Times New Roman" w:hAnsi="Times New Roman"/>
                <w:i w:val="1"/>
                <w:iCs w:val="1"/>
                <w:sz w:val="20"/>
                <w:szCs w:val="20"/>
                <w:rtl w:val="0"/>
              </w:rPr>
              <w:t xml:space="preserve">self-contained </w:t>
            </w:r>
            <w:r w:rsidDel="00000000" w:rsidR="00000000" w:rsidRPr="00000000">
              <w:rPr>
                <w:rFonts w:ascii="Times New Roman" w:cs="Times New Roman" w:eastAsia="Times New Roman" w:hAnsi="Times New Roman"/>
                <w:sz w:val="20"/>
                <w:szCs w:val="20"/>
                <w:rtl w:val="0"/>
              </w:rPr>
              <w:t xml:space="preserve">and understandable without reading the entire manuscript. The abstract contains the main elements of the research presented in sequence, including: </w:t>
            </w:r>
            <w:r w:rsidDel="00000000" w:rsidR="00000000" w:rsidRPr="00000000">
              <w:rPr>
                <w:rFonts w:ascii="Times New Roman" w:cs="Times New Roman" w:eastAsia="Times New Roman" w:hAnsi="Times New Roman"/>
                <w:b w:val="1"/>
                <w:bCs w:val="1"/>
                <w:sz w:val="20"/>
                <w:szCs w:val="20"/>
                <w:rtl w:val="0"/>
              </w:rPr>
              <w:t xml:space="preserve">(1) the background of the research</w:t>
            </w:r>
            <w:r w:rsidDel="00000000" w:rsidR="00000000" w:rsidRPr="00000000">
              <w:rPr>
                <w:rFonts w:ascii="Times New Roman" w:cs="Times New Roman" w:eastAsia="Times New Roman" w:hAnsi="Times New Roman"/>
                <w:sz w:val="20"/>
                <w:szCs w:val="20"/>
                <w:rtl w:val="0"/>
              </w:rPr>
              <w:t xml:space="preserve">, which briefly explains the context and urgency of the research; </w:t>
            </w:r>
            <w:r w:rsidDel="00000000" w:rsidR="00000000" w:rsidRPr="00000000">
              <w:rPr>
                <w:rFonts w:ascii="Times New Roman" w:cs="Times New Roman" w:eastAsia="Times New Roman" w:hAnsi="Times New Roman"/>
                <w:b w:val="1"/>
                <w:bCs w:val="1"/>
                <w:sz w:val="20"/>
                <w:szCs w:val="20"/>
                <w:rtl w:val="0"/>
              </w:rPr>
              <w:t xml:space="preserve">(2) the objectives and scope of the research</w:t>
            </w:r>
            <w:r w:rsidDel="00000000" w:rsidR="00000000" w:rsidRPr="00000000">
              <w:rPr>
                <w:rFonts w:ascii="Times New Roman" w:cs="Times New Roman" w:eastAsia="Times New Roman" w:hAnsi="Times New Roman"/>
                <w:sz w:val="20"/>
                <w:szCs w:val="20"/>
                <w:rtl w:val="0"/>
              </w:rPr>
              <w:t xml:space="preserve">, which state the main focus and limitations of the study; </w:t>
            </w:r>
            <w:r w:rsidDel="00000000" w:rsidR="00000000" w:rsidRPr="00000000">
              <w:rPr>
                <w:rFonts w:ascii="Times New Roman" w:cs="Times New Roman" w:eastAsia="Times New Roman" w:hAnsi="Times New Roman"/>
                <w:b w:val="1"/>
                <w:bCs w:val="1"/>
                <w:sz w:val="20"/>
                <w:szCs w:val="20"/>
                <w:rtl w:val="0"/>
              </w:rPr>
              <w:t xml:space="preserve">(3) the research methods</w:t>
            </w:r>
            <w:r w:rsidDel="00000000" w:rsidR="00000000" w:rsidRPr="00000000">
              <w:rPr>
                <w:rFonts w:ascii="Times New Roman" w:cs="Times New Roman" w:eastAsia="Times New Roman" w:hAnsi="Times New Roman"/>
                <w:sz w:val="20"/>
                <w:szCs w:val="20"/>
                <w:rtl w:val="0"/>
              </w:rPr>
              <w:t xml:space="preserve">, which include the type or approach of the research and the main subjects or data sources, as well as a brief description of the instruments used; </w:t>
            </w:r>
            <w:r w:rsidDel="00000000" w:rsidR="00000000" w:rsidRPr="00000000">
              <w:rPr>
                <w:rFonts w:ascii="Times New Roman" w:cs="Times New Roman" w:eastAsia="Times New Roman" w:hAnsi="Times New Roman"/>
                <w:b w:val="1"/>
                <w:bCs w:val="1"/>
                <w:sz w:val="20"/>
                <w:szCs w:val="20"/>
                <w:rtl w:val="0"/>
              </w:rPr>
              <w:t xml:space="preserve">(4) research results</w:t>
            </w:r>
            <w:r w:rsidDel="00000000" w:rsidR="00000000" w:rsidRPr="00000000">
              <w:rPr>
                <w:rFonts w:ascii="Times New Roman" w:cs="Times New Roman" w:eastAsia="Times New Roman" w:hAnsi="Times New Roman"/>
                <w:sz w:val="20"/>
                <w:szCs w:val="20"/>
                <w:rtl w:val="0"/>
              </w:rPr>
              <w:t xml:space="preserve">, which highlight specific and data-based key findings; </w:t>
            </w:r>
            <w:r w:rsidDel="00000000" w:rsidR="00000000" w:rsidRPr="00000000">
              <w:rPr>
                <w:rFonts w:ascii="Times New Roman" w:cs="Times New Roman" w:eastAsia="Times New Roman" w:hAnsi="Times New Roman"/>
                <w:b w:val="1"/>
                <w:bCs w:val="1"/>
                <w:sz w:val="20"/>
                <w:szCs w:val="20"/>
                <w:rtl w:val="0"/>
              </w:rPr>
              <w:t xml:space="preserve">(5) conclusions</w:t>
            </w:r>
            <w:r w:rsidDel="00000000" w:rsidR="00000000" w:rsidRPr="00000000">
              <w:rPr>
                <w:rFonts w:ascii="Times New Roman" w:cs="Times New Roman" w:eastAsia="Times New Roman" w:hAnsi="Times New Roman"/>
                <w:sz w:val="20"/>
                <w:szCs w:val="20"/>
                <w:rtl w:val="0"/>
              </w:rPr>
              <w:t xml:space="preserve">, which summarize the main meaning of the research results; </w:t>
            </w:r>
            <w:r w:rsidDel="00000000" w:rsidR="00000000" w:rsidRPr="00000000">
              <w:rPr>
                <w:rFonts w:ascii="Times New Roman" w:cs="Times New Roman" w:eastAsia="Times New Roman" w:hAnsi="Times New Roman"/>
                <w:b w:val="1"/>
                <w:bCs w:val="1"/>
                <w:sz w:val="20"/>
                <w:szCs w:val="20"/>
                <w:rtl w:val="0"/>
              </w:rPr>
              <w:t xml:space="preserve">(6) novelty </w:t>
            </w:r>
            <w:r w:rsidDel="00000000" w:rsidR="00000000" w:rsidRPr="00000000">
              <w:rPr>
                <w:rFonts w:ascii="Times New Roman" w:cs="Times New Roman" w:eastAsia="Times New Roman" w:hAnsi="Times New Roman"/>
                <w:sz w:val="20"/>
                <w:szCs w:val="20"/>
                <w:rtl w:val="0"/>
              </w:rPr>
              <w:t xml:space="preserve">or newness obtained from this research, and </w:t>
            </w:r>
            <w:r w:rsidDel="00000000" w:rsidR="00000000" w:rsidRPr="00000000">
              <w:rPr>
                <w:rFonts w:ascii="Times New Roman" w:cs="Times New Roman" w:eastAsia="Times New Roman" w:hAnsi="Times New Roman"/>
                <w:b w:val="1"/>
                <w:bCs w:val="1"/>
                <w:sz w:val="20"/>
                <w:szCs w:val="20"/>
                <w:rtl w:val="0"/>
              </w:rPr>
              <w:t xml:space="preserve">(7) research contributions</w:t>
            </w:r>
            <w:r w:rsidDel="00000000" w:rsidR="00000000" w:rsidRPr="00000000">
              <w:rPr>
                <w:rFonts w:ascii="Times New Roman" w:cs="Times New Roman" w:eastAsia="Times New Roman" w:hAnsi="Times New Roman"/>
                <w:sz w:val="20"/>
                <w:szCs w:val="20"/>
                <w:rtl w:val="0"/>
              </w:rPr>
              <w:t xml:space="preserve">, which emphasize the added value or important implications of the research for the development of science, practice, or policy. Abstracts are not permitted to contain citations, tables, figures, or abbreviations that are not explained. Abstracts must be </w:t>
            </w:r>
            <w:r w:rsidDel="00000000" w:rsidR="00000000" w:rsidRPr="00000000">
              <w:rPr>
                <w:rFonts w:ascii="Times New Roman" w:cs="Times New Roman" w:eastAsia="Times New Roman" w:hAnsi="Times New Roman"/>
                <w:b w:val="1"/>
                <w:bCs w:val="1"/>
                <w:sz w:val="20"/>
                <w:szCs w:val="20"/>
                <w:rtl w:val="0"/>
              </w:rPr>
              <w:t xml:space="preserve">objective, concise, and representative</w:t>
            </w:r>
            <w:r w:rsidDel="00000000" w:rsidR="00000000" w:rsidRPr="00000000">
              <w:rPr>
                <w:rFonts w:ascii="Times New Roman" w:cs="Times New Roman" w:eastAsia="Times New Roman" w:hAnsi="Times New Roman"/>
                <w:sz w:val="20"/>
                <w:szCs w:val="20"/>
                <w:rtl w:val="0"/>
              </w:rPr>
              <w:t xml:space="preserve">, and consistent with the content of the article as a whole.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History</w:t>
            </w:r>
          </w:p>
          <w:p w:rsidR="00000000" w:rsidDel="00000000" w:rsidP="00000000" w:rsidRDefault="00000000" w:rsidRPr="00000000" w14:paraId="0000000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Received yyy-mm-dd,</w:t>
            </w:r>
          </w:p>
          <w:p w:rsidR="00000000" w:rsidDel="00000000" w:rsidP="00000000" w:rsidRDefault="00000000" w:rsidRPr="00000000" w14:paraId="0000000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Revised yyyy-mm-dd,</w:t>
            </w:r>
          </w:p>
          <w:p w:rsidR="00000000" w:rsidDel="00000000" w:rsidP="00000000" w:rsidRDefault="00000000" w:rsidRPr="00000000" w14:paraId="0000000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Accepted  yyyy-mm-dd,</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Online First yyyy-mm-dd</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Maximum of 5 keywords separated by semicolon (;), crucial to the appropriate indexing of the papers, are to be given. e.g.: Creativity; Early Childhood; Role Play</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 2025 Author 1, Author 2, et al.</w:t>
            </w:r>
          </w:p>
          <w:p w:rsidR="00000000" w:rsidDel="00000000" w:rsidP="00000000" w:rsidRDefault="00000000" w:rsidRPr="00000000" w14:paraId="00000016">
            <w:pPr>
              <w:widowControl w:val="0"/>
              <w:spacing w:after="120" w:line="360" w:lineRule="auto"/>
              <w:jc w:val="both"/>
              <w:rPr>
                <w:rFonts w:ascii="Times New Roman" w:cs="Times New Roman" w:eastAsia="Times New Roman" w:hAnsi="Times New Roman"/>
                <w:i w:val="1"/>
                <w:iCs w:val="1"/>
                <w:sz w:val="16"/>
                <w:szCs w:val="16"/>
                <w:highlight w:val="white"/>
              </w:rPr>
            </w:pPr>
            <w:r w:rsidDel="00000000" w:rsidR="00000000" w:rsidRPr="00000000">
              <w:rPr>
                <w:rFonts w:ascii="Times New Roman" w:cs="Times New Roman" w:eastAsia="Times New Roman" w:hAnsi="Times New Roman"/>
                <w:i w:val="1"/>
                <w:iCs w:val="1"/>
                <w:sz w:val="16"/>
                <w:szCs w:val="16"/>
                <w:highlight w:val="white"/>
                <w:rtl w:val="0"/>
              </w:rPr>
              <w:t xml:space="preserve">This is an open acces article under the </w:t>
            </w:r>
            <w:hyperlink r:id="rId8">
              <w:r w:rsidDel="00000000" w:rsidR="00000000" w:rsidRPr="00000000">
                <w:rPr>
                  <w:rFonts w:ascii="Times New Roman" w:cs="Times New Roman" w:eastAsia="Times New Roman" w:hAnsi="Times New Roman"/>
                  <w:i w:val="1"/>
                  <w:iCs w:val="1"/>
                  <w:color w:val="0000ff"/>
                  <w:sz w:val="16"/>
                  <w:szCs w:val="16"/>
                  <w:highlight w:val="white"/>
                  <w:u w:val="single"/>
                  <w:rtl w:val="0"/>
                </w:rPr>
                <w:t xml:space="preserve">CC-BY-NC-SA</w:t>
              </w:r>
            </w:hyperlink>
            <w:r w:rsidDel="00000000" w:rsidR="00000000" w:rsidRPr="00000000">
              <w:rPr>
                <w:rFonts w:ascii="Times New Roman" w:cs="Times New Roman" w:eastAsia="Times New Roman" w:hAnsi="Times New Roman"/>
                <w:i w:val="1"/>
                <w:iCs w:val="1"/>
                <w:sz w:val="16"/>
                <w:szCs w:val="16"/>
                <w:highlight w:val="white"/>
                <w:rtl w:val="0"/>
              </w:rPr>
              <w:t xml:space="preserve"> license.</w:t>
            </w:r>
            <w:r w:rsidDel="00000000" w:rsidR="00000000" w:rsidRPr="00000000">
              <w:drawing>
                <wp:anchor allowOverlap="1" behindDoc="0" distB="0" distT="0" distL="114300" distR="114300" hidden="0" layoutInCell="1" locked="0" relativeHeight="0" simplePos="0">
                  <wp:simplePos x="0" y="0"/>
                  <wp:positionH relativeFrom="column">
                    <wp:posOffset>8039</wp:posOffset>
                  </wp:positionH>
                  <wp:positionV relativeFrom="paragraph">
                    <wp:posOffset>306914</wp:posOffset>
                  </wp:positionV>
                  <wp:extent cx="603250" cy="211455"/>
                  <wp:effectExtent b="0" l="0" r="0" t="0"/>
                  <wp:wrapNone/>
                  <wp:docPr id="19604755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250" cy="211455"/>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c>
        <w:tc>
          <w:tcPr>
            <w:vMerge w:val="continue"/>
            <w:tcBorders>
              <w:left w:color="000000" w:space="0" w:sz="4" w:val="single"/>
            </w:tcBorders>
            <w:shd w:fill="c6d9f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pPr>
        <w:spacing w:before="120" w:after="480" w:line="240" w:lineRule="auto"/>
        <w:jc w:val="center"/>
      </w:pPr>
      <w:r>
        <w:rPr>
          <w:rFonts w:ascii="Times New Roman" w:hAnsi="Times New Roman"/>
          <w:b/>
          <w:sz w:val="28"/>
        </w:rPr>
        <w:t>Efektivitas Model Pembelajaran Hybrid Berbasis Project-Based Learning terhadap Perkembangan Sosial-Emosional Anak Usia Dini Pasca-Pandemi</w:t>
      </w:r>
    </w:p>
    <w:p>
      <w:pPr>
        <w:spacing w:before="0" w:after="0" w:line="240" w:lineRule="auto"/>
        <w:jc w:val="center"/>
      </w:pPr>
      <w:r>
        <w:rPr>
          <w:rFonts w:ascii="Times New Roman" w:hAnsi="Times New Roman"/>
          <w:sz w:val="22"/>
        </w:rPr>
        <w:t xml:space="preserve">Asmah Ayu </w:t>
      </w:r>
    </w:p>
    <w:p>
      <w:pPr>
        <w:spacing w:before="0" w:after="0" w:line="240" w:lineRule="auto"/>
        <w:jc w:val="center"/>
      </w:pPr>
      <w:r>
        <w:rPr>
          <w:rFonts w:ascii="Times New Roman" w:hAnsi="Times New Roman"/>
          <w:sz w:val="18"/>
        </w:rPr>
        <w:t>Universitas PGRI Kanjuruhan Malang</w:t>
      </w:r>
    </w:p>
    <w:p>
      <w:pPr>
        <w:spacing w:before="120" w:after="60" w:line="240" w:lineRule="auto"/>
        <w:jc w:val="left"/>
      </w:pPr>
      <w:r>
        <w:rPr>
          <w:rFonts w:ascii="Times New Roman" w:hAnsi="Times New Roman"/>
          <w:b/>
          <w:sz w:val="22"/>
        </w:rPr>
        <w:t>Abstract</w:t>
      </w:r>
    </w:p>
    <w:p>
      <w:pPr>
        <w:spacing w:before="0" w:after="120" w:line="240" w:lineRule="auto"/>
        <w:jc w:val="both"/>
      </w:pPr>
      <w:r>
        <w:rPr>
          <w:rFonts w:ascii="Times New Roman" w:hAnsi="Times New Roman"/>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120" w:line="240" w:lineRule="auto"/>
        <w:jc w:val="both"/>
      </w:pPr>
      <w:r>
        <w:rPr>
          <w:rFonts w:ascii="Times New Roman" w:hAnsi="Times New Roman"/>
          <w:b/>
          <w:sz w:val="22"/>
        </w:rPr>
        <w:t xml:space="preserve">Keywords: </w:t>
      </w:r>
      <w:r>
        <w:rPr>
          <w:rFonts w:ascii="Times New Roman" w:hAnsi="Times New Roman"/>
          <w:i/>
          <w:sz w:val="22"/>
        </w:rPr>
        <w:t>pembelajaran hybrid, project-based learning, perkembangan sosial-emosional, anak usia dini, pasca-pandemi, kuasi-eksperimen</w:t>
      </w:r>
    </w:p>
    <w:p>
      <w:pPr>
        <w:spacing w:before="60" w:after="120" w:line="360" w:lineRule="auto"/>
        <w:jc w:val="both"/>
      </w:pPr>
      <w:r>
        <w:rPr>
          <w:rFonts w:ascii="Times New Roman" w:hAnsi="Times New Roman"/>
          <w:b/>
          <w:sz w:val="22"/>
        </w:rPr>
        <w:t>PENDAHULUAN</w:t>
      </w:r>
    </w:p>
    <w:p>
      <w:pPr>
        <w:spacing w:before="60" w:after="120" w:line="240" w:lineRule="auto"/>
        <w:jc w:val="both"/>
        <w:ind w:firstLine="720"/>
      </w:pPr>
      <w:r>
        <w:rPr>
          <w:rFonts w:ascii="Times New Roman" w:hAnsi="Times New Roman"/>
          <w:sz w:val="22"/>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60" w:after="120" w:line="240" w:lineRule="auto"/>
        <w:jc w:val="both"/>
        <w:ind w:firstLine="720"/>
      </w:pPr>
      <w:r>
        <w:rPr>
          <w:rFonts w:ascii="Times New Roman" w:hAnsi="Times New Roman"/>
          <w:sz w:val="22"/>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60" w:after="120" w:line="240" w:lineRule="auto"/>
        <w:jc w:val="both"/>
        <w:ind w:firstLine="720"/>
      </w:pPr>
      <w:r>
        <w:rPr>
          <w:rFonts w:ascii="Times New Roman" w:hAnsi="Times New Roman"/>
          <w:sz w:val="22"/>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60" w:after="120" w:line="240" w:lineRule="auto"/>
        <w:jc w:val="both"/>
        <w:ind w:firstLine="720"/>
      </w:pPr>
      <w:r>
        <w:rPr>
          <w:rFonts w:ascii="Times New Roman" w:hAnsi="Times New Roman"/>
          <w:sz w:val="22"/>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60" w:after="120" w:line="240" w:lineRule="auto"/>
        <w:jc w:val="both"/>
        <w:ind w:firstLine="720"/>
      </w:pPr>
      <w:r>
        <w:rPr>
          <w:rFonts w:ascii="Times New Roman" w:hAnsi="Times New Roman"/>
          <w:sz w:val="22"/>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60" w:after="120" w:line="360" w:lineRule="auto"/>
        <w:jc w:val="both"/>
      </w:pPr>
      <w:r>
        <w:rPr>
          <w:rFonts w:ascii="Times New Roman" w:hAnsi="Times New Roman"/>
          <w:b/>
          <w:sz w:val="22"/>
        </w:rPr>
        <w:t>TINJAUAN PUSTAKA</w:t>
      </w:r>
    </w:p>
    <w:p>
      <w:pPr>
        <w:spacing w:before="60" w:after="120" w:line="240" w:lineRule="auto"/>
        <w:jc w:val="both"/>
        <w:ind w:firstLine="720"/>
      </w:pPr>
      <w:r>
        <w:rPr>
          <w:rFonts w:ascii="Times New Roman" w:hAnsi="Times New Roman"/>
          <w:sz w:val="22"/>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pPr>
      <w:r>
        <w:rPr>
          <w:rFonts w:ascii="Times New Roman" w:hAnsi="Times New Roman"/>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pPr>
      <w:r>
        <w:rPr>
          <w:rFonts w:ascii="Times New Roman" w:hAnsi="Times New Roman"/>
          <w:b/>
          <w:sz w:val="20"/>
        </w:rPr>
        <w:t xml:space="preserve">Figure 1. </w:t>
      </w:r>
      <w:r>
        <w:rPr>
          <w:rFonts w:ascii="Times New Roman" w:hAnsi="Times New Roman"/>
          <w:sz w:val="20"/>
        </w:rPr>
        <w:t>Peta Konsep Tiga Domain Tinjauan Pustaka: Hybrid Learning, Project-Based Learning, dan Perkembangan Sosial-Emosional AUD</w:t>
      </w:r>
    </w:p>
    <w:p>
      <w:pPr>
        <w:spacing w:before="60" w:after="120" w:line="360" w:lineRule="auto"/>
        <w:jc w:val="both"/>
      </w:pPr>
      <w:r>
        <w:rPr>
          <w:rFonts w:ascii="Times New Roman" w:hAnsi="Times New Roman"/>
          <w:b/>
          <w:sz w:val="22"/>
        </w:rPr>
        <w:t>METODOLOGI</w:t>
      </w:r>
    </w:p>
    <w:p>
      <w:pPr>
        <w:spacing w:before="60" w:after="120" w:line="240" w:lineRule="auto"/>
        <w:jc w:val="both"/>
        <w:ind w:firstLine="720"/>
      </w:pPr>
      <w:r>
        <w:rPr>
          <w:rFonts w:ascii="Times New Roman" w:hAnsi="Times New Roman"/>
          <w:sz w:val="22"/>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60" w:after="120" w:line="360" w:lineRule="auto"/>
        <w:jc w:val="both"/>
      </w:pPr>
      <w:r>
        <w:rPr>
          <w:rFonts w:ascii="Times New Roman" w:hAnsi="Times New Roman"/>
          <w:b/>
          <w:sz w:val="22"/>
        </w:rPr>
        <w:t>HASIL DAN PEMBAHASAN</w:t>
      </w:r>
    </w:p>
    <w:p>
      <w:pPr>
        <w:spacing w:before="60" w:after="120" w:line="240" w:lineRule="auto"/>
        <w:jc w:val="both"/>
        <w:ind w:firstLine="720"/>
      </w:pPr>
      <w:r>
        <w:rPr>
          <w:rFonts w:ascii="Times New Roman" w:hAnsi="Times New Roman"/>
          <w:sz w:val="22"/>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60" w:after="120" w:line="360" w:lineRule="auto"/>
        <w:jc w:val="both"/>
      </w:pPr>
      <w:r>
        <w:rPr>
          <w:rFonts w:ascii="Times New Roman" w:hAnsi="Times New Roman"/>
          <w:b/>
          <w:sz w:val="22"/>
        </w:rPr>
        <w:t>KESIMPULAN</w:t>
      </w:r>
    </w:p>
    <w:p>
      <w:pPr>
        <w:spacing w:before="60" w:after="120" w:line="240" w:lineRule="auto"/>
        <w:jc w:val="both"/>
        <w:ind w:firstLine="720"/>
      </w:pPr>
      <w:r>
        <w:rPr>
          <w:rFonts w:ascii="Times New Roman" w:hAnsi="Times New Roman"/>
          <w:sz w:val="22"/>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60" w:after="120" w:line="240" w:lineRule="auto"/>
        <w:jc w:val="both"/>
        <w:ind w:firstLine="720"/>
      </w:pPr>
      <w:r>
        <w:rPr>
          <w:rFonts w:ascii="Times New Roman" w:hAnsi="Times New Roman"/>
          <w:sz w:val="22"/>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60" w:after="120" w:line="240" w:lineRule="auto"/>
        <w:jc w:val="both"/>
        <w:ind w:firstLine="720"/>
      </w:pPr>
      <w:r>
        <w:rPr>
          <w:rFonts w:ascii="Times New Roman" w:hAnsi="Times New Roman"/>
          <w:sz w:val="22"/>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60" w:after="120" w:line="360" w:lineRule="auto"/>
        <w:jc w:val="both"/>
      </w:pPr>
      <w:r>
        <w:rPr>
          <w:rFonts w:ascii="Times New Roman" w:hAnsi="Times New Roman"/>
          <w:b/>
          <w:sz w:val="22"/>
        </w:rPr>
        <w:t>REFERENCES</w:t>
      </w:r>
    </w:p>
    <w:p>
      <w:pPr>
        <w:spacing w:before="0" w:after="0" w:line="240" w:lineRule="auto"/>
        <w:jc w:val="both"/>
        <w:ind w:firstLine="-567" w:left="567"/>
      </w:pPr>
      <w:r>
        <w:rPr>
          <w:rFonts w:ascii="Times New Roman" w:hAnsi="Times New Roman"/>
          <w:sz w:val="22"/>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567" w:left="567"/>
      </w:pPr>
      <w:r>
        <w:rPr>
          <w:rFonts w:ascii="Times New Roman" w:hAnsi="Times New Roman"/>
          <w:sz w:val="22"/>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567" w:left="567"/>
      </w:pPr>
      <w:r>
        <w:rPr>
          <w:rFonts w:ascii="Times New Roman" w:hAnsi="Times New Roman"/>
          <w:sz w:val="22"/>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567" w:left="567"/>
      </w:pPr>
      <w:r>
        <w:rPr>
          <w:rFonts w:ascii="Times New Roman" w:hAnsi="Times New Roman"/>
          <w:sz w:val="22"/>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567" w:left="567"/>
      </w:pPr>
      <w:r>
        <w:rPr>
          <w:rFonts w:ascii="Times New Roman" w:hAnsi="Times New Roman"/>
          <w:sz w:val="22"/>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567" w:left="567"/>
      </w:pPr>
      <w:r>
        <w:rPr>
          <w:rFonts w:ascii="Times New Roman" w:hAnsi="Times New Roman"/>
          <w:sz w:val="22"/>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567" w:left="567"/>
      </w:pPr>
      <w:r>
        <w:rPr>
          <w:rFonts w:ascii="Times New Roman" w:hAnsi="Times New Roman"/>
          <w:sz w:val="22"/>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567" w:left="567"/>
      </w:pPr>
      <w:r>
        <w:rPr>
          <w:rFonts w:ascii="Times New Roman" w:hAnsi="Times New Roman"/>
          <w:sz w:val="22"/>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567" w:left="567"/>
      </w:pPr>
      <w:r>
        <w:rPr>
          <w:rFonts w:ascii="Times New Roman" w:hAnsi="Times New Roman"/>
          <w:sz w:val="22"/>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567" w:left="567"/>
      </w:pPr>
      <w:r>
        <w:rPr>
          <w:rFonts w:ascii="Times New Roman" w:hAnsi="Times New Roman"/>
          <w:sz w:val="22"/>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567" w:left="567"/>
      </w:pPr>
      <w:r>
        <w:rPr>
          <w:rFonts w:ascii="Times New Roman" w:hAnsi="Times New Roman"/>
          <w:sz w:val="22"/>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567" w:left="567"/>
      </w:pPr>
      <w:r>
        <w:rPr>
          <w:rFonts w:ascii="Times New Roman" w:hAnsi="Times New Roman"/>
          <w:sz w:val="22"/>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567" w:left="567"/>
      </w:pPr>
      <w:r>
        <w:rPr>
          <w:rFonts w:ascii="Times New Roman" w:hAnsi="Times New Roman"/>
          <w:sz w:val="22"/>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567" w:left="567"/>
      </w:pPr>
      <w:r>
        <w:rPr>
          <w:rFonts w:ascii="Times New Roman" w:hAnsi="Times New Roman"/>
          <w:sz w:val="22"/>
        </w:rPr>
        <w:t>[14] 'doi': '10.1017/9781009157926', 'type': 'book', 'year': 2023, 'title': 'Climate Change 2022 - Mitigation of Climate Change', 'authors': ['IPCC'], 'publisher': 'Cambridge University Press'</w:t>
      </w:r>
    </w:p>
    <w:p>
      <w:pPr>
        <w:spacing w:before="0" w:after="0" w:line="240" w:lineRule="auto"/>
        <w:jc w:val="both"/>
        <w:ind w:firstLine="-567" w:left="567"/>
      </w:pPr>
      <w:r>
        <w:rPr>
          <w:rFonts w:ascii="Times New Roman" w:hAnsi="Times New Roman"/>
          <w:sz w:val="22"/>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567" w:left="567"/>
      </w:pPr>
      <w:r>
        <w:rPr>
          <w:rFonts w:ascii="Times New Roman" w:hAnsi="Times New Roman"/>
          <w:sz w:val="22"/>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567" w:left="567"/>
      </w:pPr>
      <w:r>
        <w:rPr>
          <w:rFonts w:ascii="Times New Roman" w:hAnsi="Times New Roman"/>
          <w:sz w:val="22"/>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567" w:left="567"/>
      </w:pPr>
      <w:r>
        <w:rPr>
          <w:rFonts w:ascii="Times New Roman" w:hAnsi="Times New Roman"/>
          <w:sz w:val="22"/>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567" w:left="567"/>
      </w:pPr>
      <w:r>
        <w:rPr>
          <w:rFonts w:ascii="Times New Roman" w:hAnsi="Times New Roman"/>
          <w:sz w:val="22"/>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567" w:left="567"/>
      </w:pPr>
      <w:r>
        <w:rPr>
          <w:rFonts w:ascii="Times New Roman" w:hAnsi="Times New Roman"/>
          <w:sz w:val="22"/>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567" w:left="567"/>
      </w:pPr>
      <w:r>
        <w:rPr>
          <w:rFonts w:ascii="Times New Roman" w:hAnsi="Times New Roman"/>
          <w:sz w:val="22"/>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567" w:left="567"/>
      </w:pPr>
      <w:r>
        <w:rPr>
          <w:rFonts w:ascii="Times New Roman" w:hAnsi="Times New Roman"/>
          <w:sz w:val="22"/>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567" w:left="567"/>
      </w:pPr>
      <w:r>
        <w:rPr>
          <w:rFonts w:ascii="Times New Roman" w:hAnsi="Times New Roman"/>
          <w:sz w:val="22"/>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567" w:left="567"/>
      </w:pPr>
      <w:r>
        <w:rPr>
          <w:rFonts w:ascii="Times New Roman" w:hAnsi="Times New Roman"/>
          <w:sz w:val="22"/>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567" w:left="567"/>
      </w:pPr>
      <w:r>
        <w:rPr>
          <w:rFonts w:ascii="Times New Roman" w:hAnsi="Times New Roman"/>
          <w:sz w:val="22"/>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567" w:left="567"/>
      </w:pPr>
      <w:r>
        <w:rPr>
          <w:rFonts w:ascii="Times New Roman" w:hAnsi="Times New Roman"/>
          <w:sz w:val="22"/>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567" w:left="567"/>
      </w:pPr>
      <w:r>
        <w:rPr>
          <w:rFonts w:ascii="Times New Roman" w:hAnsi="Times New Roman"/>
          <w:sz w:val="22"/>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headerReference r:id="rId14" w:type="default"/>
      <w:headerReference r:id="rId15" w:type="first"/>
      <w:headerReference r:id="rId16" w:type="even"/>
      <w:footerReference r:id="rId17" w:type="default"/>
      <w:footerReference r:id="rId18" w:type="first"/>
      <w:footerReference r:id="rId19"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center" w:leader="none" w:pos="3420"/>
        <w:tab w:val="right" w:leader="none" w:pos="9000"/>
      </w:tabs>
      <w:spacing w:after="0" w:line="240" w:lineRule="auto"/>
      <w:jc w:val="righ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b w:val="1"/>
        <w:bCs w:val="1"/>
        <w:i w:val="1"/>
        <w:iCs w:val="1"/>
        <w:color w:val="000000"/>
        <w:sz w:val="18"/>
        <w:szCs w:val="18"/>
        <w:rtl w:val="0"/>
      </w:rPr>
      <w:t xml:space="preserve"> </w:t>
      <w:tab/>
      <w:tab/>
      <w:t xml:space="preserve">PAUDIA</w:t>
    </w:r>
    <w:r w:rsidDel="00000000" w:rsidR="00000000" w:rsidRPr="00000000">
      <w:rPr>
        <w:rFonts w:ascii="Times New Roman" w:cs="Times New Roman" w:eastAsia="Times New Roman" w:hAnsi="Times New Roman"/>
        <w:i w:val="1"/>
        <w:iCs w:val="1"/>
        <w:color w:val="000000"/>
        <w:sz w:val="18"/>
        <w:szCs w:val="18"/>
        <w:rtl w:val="0"/>
      </w:rPr>
      <w:t xml:space="preserve">, Volume xx, No. x, July xxxx, pp. xx-xx</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i w:val="1"/>
        <w:iCs w:val="1"/>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Article Title … </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0000"/>
        <w:sz w:val="18"/>
        <w:szCs w:val="18"/>
        <w:rtl w:val="0"/>
      </w:rPr>
      <w:t xml:space="preserve">Author 1, Author 2 </w:t>
      <w:tab/>
      <w:tab/>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rtl w:val="0"/>
      </w:rPr>
      <w:t xml:space="preserve">PAUDIA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4681220</wp:posOffset>
          </wp:positionH>
          <wp:positionV relativeFrom="paragraph">
            <wp:posOffset>36195</wp:posOffset>
          </wp:positionV>
          <wp:extent cx="1180465" cy="801370"/>
          <wp:effectExtent b="0" l="0" r="0" t="0"/>
          <wp:wrapNone/>
          <wp:docPr id="1960475512" name="image2.png"/>
          <a:graphic>
            <a:graphicData uri="http://schemas.openxmlformats.org/drawingml/2006/picture">
              <pic:pic>
                <pic:nvPicPr>
                  <pic:cNvPr id="0" name="image2.png"/>
                  <pic:cNvPicPr preferRelativeResize="0"/>
                </pic:nvPicPr>
                <pic:blipFill>
                  <a:blip r:embed="rId1"/>
                  <a:srcRect b="0" l="0" r="0" t="8390"/>
                  <a:stretch>
                    <a:fillRect/>
                  </a:stretch>
                </pic:blipFill>
                <pic:spPr>
                  <a:xfrm>
                    <a:off x="0" y="0"/>
                    <a:ext cx="1180465" cy="801370"/>
                  </a:xfrm>
                  <a:prstGeom prst="rect"/>
                  <a:ln/>
                </pic:spPr>
              </pic:pic>
            </a:graphicData>
          </a:graphic>
        </wp:anchor>
      </w:drawing>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Penelitian dalam Bidang Pendidikan Anak Usia Dini</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Volume xx, No. x, Month xxxx, pp. x-xx</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ISSN : 2089-1431 (print) </w:t>
    </w:r>
    <w:r w:rsidDel="00000000" w:rsidR="00000000" w:rsidRPr="00000000">
      <w:rPr>
        <w:rFonts w:ascii="Times New Roman" w:cs="Times New Roman" w:eastAsia="Times New Roman" w:hAnsi="Times New Roman"/>
        <w:sz w:val="18"/>
        <w:szCs w:val="18"/>
        <w:rtl w:val="0"/>
      </w:rPr>
      <w:t xml:space="preserve">ISSN : 2598-4047 (online)</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DOI: 10.26877/paudia.xxx.xxxx</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sz w:val="18"/>
        <w:szCs w:val="18"/>
      </w:rPr>
    </w:pPr>
    <w:hyperlink r:id="rId2">
      <w:r w:rsidDel="00000000" w:rsidR="00000000" w:rsidRPr="00000000">
        <w:rPr>
          <w:rFonts w:ascii="Times New Roman" w:cs="Times New Roman" w:eastAsia="Times New Roman" w:hAnsi="Times New Roman"/>
          <w:color w:val="0000ff"/>
          <w:sz w:val="18"/>
          <w:szCs w:val="18"/>
          <w:u w:val="single"/>
          <w:rtl w:val="0"/>
        </w:rPr>
        <w:t xml:space="preserve">https://journal2.upgris.ac.id/index.php/paudia/index</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0" w:line="240" w:lineRule="auto"/>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
              <a:graphic>
                <a:graphicData uri="http://schemas.microsoft.com/office/word/2010/wordprocessingShape">
                  <wps:wsp>
                    <wps:cNvCnPr/>
                    <wps:spPr>
                      <a:xfrm>
                        <a:off x="2442780" y="3780000"/>
                        <a:ext cx="5806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wp:posOffset>
              </wp:positionH>
              <wp:positionV relativeFrom="paragraph">
                <wp:posOffset>113030</wp:posOffset>
              </wp:positionV>
              <wp:extent cx="0" cy="12700"/>
              <wp:effectExtent b="0" l="0" r="0" t="0"/>
              <wp:wrapNone/>
              <wp:docPr id="196047550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
              <a:graphic>
                <a:graphicData uri="http://schemas.microsoft.com/office/word/2010/wordprocessingShape">
                  <wps:wsp>
                    <wps:cNvCnPr/>
                    <wps:spPr>
                      <a:xfrm>
                        <a:off x="2442780" y="3780000"/>
                        <a:ext cx="5806440" cy="0"/>
                      </a:xfrm>
                      <a:prstGeom prst="straightConnector1">
                        <a:avLst/>
                      </a:prstGeom>
                      <a:noFill/>
                      <a:ln cap="flat" cmpd="sng" w="381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48895</wp:posOffset>
              </wp:positionV>
              <wp:extent cx="0" cy="38100"/>
              <wp:effectExtent b="0" l="0" r="0" t="0"/>
              <wp:wrapNone/>
              <wp:docPr id="1960475510"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pPr>
    <w:rPr>
      <w:rFonts w:ascii="Times New Roman" w:cs="Times New Roman" w:eastAsia="Times New Roman" w:hAnsi="Times New Roman"/>
      <w:b w:val="1"/>
      <w:bCs w:val="1"/>
    </w:rPr>
  </w:style>
  <w:style w:type="paragraph" w:styleId="Heading2">
    <w:name w:val="heading 2"/>
    <w:basedOn w:val="Normal"/>
    <w:next w:val="Normal"/>
    <w:pPr>
      <w:keepNext w:val="1"/>
      <w:widowControl w:val="0"/>
      <w:spacing w:after="0"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0" w:before="200" w:line="240" w:lineRule="auto"/>
    </w:pPr>
    <w:rPr>
      <w:rFonts w:ascii="Times New Roman" w:cs="Times New Roman" w:eastAsia="Times New Roman" w:hAnsi="Times New Roman"/>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A7788"/>
    <w:rPr>
      <w:color w:val="0000ff" w:themeColor="hyperlink"/>
      <w:u w:val="single"/>
    </w:rPr>
  </w:style>
  <w:style w:type="paragraph" w:styleId="BalloonText">
    <w:name w:val="Balloon Text"/>
    <w:basedOn w:val="Normal"/>
    <w:link w:val="BalloonTextChar"/>
    <w:uiPriority w:val="99"/>
    <w:semiHidden w:val="1"/>
    <w:unhideWhenUsed w:val="1"/>
    <w:rsid w:val="00A27E6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27E65"/>
    <w:rPr>
      <w:rFonts w:ascii="Tahoma" w:cs="Tahoma" w:hAnsi="Tahoma"/>
      <w:sz w:val="16"/>
      <w:szCs w:val="16"/>
    </w:rPr>
  </w:style>
  <w:style w:type="paragraph" w:styleId="ListParagraph">
    <w:name w:val="List Paragraph"/>
    <w:basedOn w:val="Normal"/>
    <w:link w:val="ListParagraphChar"/>
    <w:uiPriority w:val="34"/>
    <w:qFormat w:val="1"/>
    <w:rsid w:val="005F14ED"/>
    <w:pPr>
      <w:ind w:left="720"/>
      <w:contextualSpacing w:val="1"/>
    </w:pPr>
    <w:rPr>
      <w:rFonts w:cs="Times New Roman"/>
    </w:rPr>
  </w:style>
  <w:style w:type="paragraph" w:styleId="CommentText">
    <w:name w:val="annotation text"/>
    <w:basedOn w:val="Normal"/>
    <w:link w:val="CommentTextChar"/>
    <w:uiPriority w:val="99"/>
    <w:unhideWhenUsed w:val="1"/>
    <w:rsid w:val="005F14ED"/>
    <w:pPr>
      <w:spacing w:line="240" w:lineRule="auto"/>
    </w:pPr>
    <w:rPr>
      <w:sz w:val="20"/>
      <w:szCs w:val="20"/>
    </w:rPr>
  </w:style>
  <w:style w:type="character" w:styleId="CommentTextChar" w:customStyle="1">
    <w:name w:val="Comment Text Char"/>
    <w:basedOn w:val="DefaultParagraphFont"/>
    <w:link w:val="CommentText"/>
    <w:uiPriority w:val="99"/>
    <w:rsid w:val="005F14ED"/>
    <w:rPr>
      <w:sz w:val="20"/>
      <w:szCs w:val="20"/>
      <w:lang w:val="id-ID"/>
    </w:rPr>
  </w:style>
  <w:style w:type="character" w:styleId="ListParagraphChar" w:customStyle="1">
    <w:name w:val="List Paragraph Char"/>
    <w:basedOn w:val="DefaultParagraphFont"/>
    <w:link w:val="ListParagraph"/>
    <w:uiPriority w:val="34"/>
    <w:locked w:val="1"/>
    <w:rsid w:val="005F14ED"/>
    <w:rPr>
      <w:rFonts w:ascii="Calibri" w:cs="Times New Roman" w:eastAsia="Calibri" w:hAnsi="Calibri"/>
    </w:rPr>
  </w:style>
  <w:style w:type="table" w:styleId="LightShading1" w:customStyle="1">
    <w:name w:val="Light Shading1"/>
    <w:basedOn w:val="TableNormal"/>
    <w:uiPriority w:val="60"/>
    <w:rsid w:val="005F14ED"/>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Grid1" w:customStyle="1">
    <w:name w:val="Light Grid1"/>
    <w:basedOn w:val="TableNormal"/>
    <w:uiPriority w:val="62"/>
    <w:rsid w:val="000A72B8"/>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TableGrid">
    <w:name w:val="Table Grid"/>
    <w:basedOn w:val="TableNormal"/>
    <w:uiPriority w:val="59"/>
    <w:rsid w:val="007660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766043"/>
    <w:pPr>
      <w:autoSpaceDE w:val="0"/>
      <w:autoSpaceDN w:val="0"/>
      <w:adjustRightInd w:val="0"/>
      <w:spacing w:after="0" w:line="240" w:lineRule="auto"/>
    </w:pPr>
    <w:rPr>
      <w:rFonts w:ascii="Cambria" w:cs="Cambria" w:hAnsi="Cambria"/>
      <w:color w:val="000000"/>
      <w:sz w:val="24"/>
      <w:szCs w:val="24"/>
    </w:rPr>
  </w:style>
  <w:style w:type="paragraph" w:styleId="Header">
    <w:name w:val="header"/>
    <w:basedOn w:val="Normal"/>
    <w:link w:val="HeaderChar"/>
    <w:uiPriority w:val="99"/>
    <w:unhideWhenUsed w:val="1"/>
    <w:rsid w:val="00B531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B53143"/>
  </w:style>
  <w:style w:type="paragraph" w:styleId="Footer">
    <w:name w:val="footer"/>
    <w:basedOn w:val="Normal"/>
    <w:link w:val="FooterChar"/>
    <w:uiPriority w:val="99"/>
    <w:unhideWhenUsed w:val="1"/>
    <w:rsid w:val="00B531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B53143"/>
  </w:style>
  <w:style w:type="character" w:styleId="Strong">
    <w:name w:val="Strong"/>
    <w:basedOn w:val="DefaultParagraphFont"/>
    <w:uiPriority w:val="22"/>
    <w:qFormat w:val="1"/>
    <w:rsid w:val="00B53143"/>
    <w:rPr>
      <w:b w:val="1"/>
      <w:bCs w:val="1"/>
    </w:rPr>
  </w:style>
  <w:style w:type="paragraph" w:styleId="Body" w:customStyle="1">
    <w:name w:val="Body"/>
    <w:basedOn w:val="Normal"/>
    <w:rsid w:val="00EB4D55"/>
    <w:pPr>
      <w:widowControl w:val="0"/>
      <w:autoSpaceDE w:val="0"/>
      <w:autoSpaceDN w:val="0"/>
      <w:adjustRightInd w:val="0"/>
      <w:spacing w:after="0" w:line="360" w:lineRule="auto"/>
      <w:ind w:firstLine="340"/>
      <w:jc w:val="both"/>
      <w:textAlignment w:val="baseline"/>
    </w:pPr>
    <w:rPr>
      <w:rFonts w:ascii="Times New Roman" w:cs="Times New Roman" w:eastAsia="BatangChe" w:hAnsi="Times New Roman"/>
      <w:sz w:val="24"/>
      <w:szCs w:val="20"/>
      <w:lang w:eastAsia="ko-KR"/>
    </w:rPr>
  </w:style>
  <w:style w:type="character" w:styleId="Heading2Char" w:customStyle="1">
    <w:name w:val="Heading 2 Char"/>
    <w:basedOn w:val="DefaultParagraphFont"/>
    <w:link w:val="Heading2"/>
    <w:uiPriority w:val="9"/>
    <w:rsid w:val="00D03F57"/>
    <w:rPr>
      <w:rFonts w:ascii="Times New Roman" w:cs="Times New Roman" w:eastAsia="BatangChe" w:hAnsi="Times New Roman"/>
      <w:b w:val="1"/>
      <w:lang w:eastAsia="ko-KR"/>
    </w:rPr>
  </w:style>
  <w:style w:type="paragraph" w:styleId="Bullet" w:customStyle="1">
    <w:name w:val="Bullet"/>
    <w:basedOn w:val="Body"/>
    <w:rsid w:val="00EB4D55"/>
    <w:pPr>
      <w:ind w:left="576" w:hanging="288"/>
    </w:pPr>
  </w:style>
  <w:style w:type="paragraph" w:styleId="SubBullet" w:customStyle="1">
    <w:name w:val="SubBullet"/>
    <w:basedOn w:val="Body"/>
    <w:rsid w:val="00EB4D55"/>
    <w:pPr>
      <w:ind w:left="1145" w:hanging="283"/>
    </w:pPr>
  </w:style>
  <w:style w:type="paragraph" w:styleId="Enumerated" w:customStyle="1">
    <w:name w:val="Enumerated"/>
    <w:basedOn w:val="Bullet"/>
    <w:rsid w:val="00EB4D55"/>
  </w:style>
  <w:style w:type="paragraph" w:styleId="FigureTitle" w:customStyle="1">
    <w:name w:val="FigureTitle"/>
    <w:basedOn w:val="Body"/>
    <w:rsid w:val="00EB4D55"/>
    <w:pPr>
      <w:spacing w:after="120"/>
      <w:jc w:val="center"/>
    </w:pPr>
    <w:rPr>
      <w:i w:val="1"/>
    </w:rPr>
  </w:style>
  <w:style w:type="paragraph" w:styleId="Equation" w:customStyle="1">
    <w:name w:val="Equation"/>
    <w:basedOn w:val="Normal"/>
    <w:rsid w:val="00EB4D55"/>
    <w:pPr>
      <w:widowControl w:val="0"/>
      <w:tabs>
        <w:tab w:val="left" w:pos="0"/>
        <w:tab w:val="center" w:pos="2268"/>
        <w:tab w:val="right" w:pos="4706"/>
      </w:tabs>
      <w:autoSpaceDE w:val="0"/>
      <w:autoSpaceDN w:val="0"/>
      <w:adjustRightInd w:val="0"/>
      <w:spacing w:after="120" w:before="120" w:line="360" w:lineRule="auto"/>
      <w:jc w:val="both"/>
      <w:textAlignment w:val="baseline"/>
    </w:pPr>
    <w:rPr>
      <w:rFonts w:ascii="Times New Roman" w:cs="Times New Roman" w:eastAsia="BatangChe" w:hAnsi="Times New Roman"/>
      <w:szCs w:val="20"/>
      <w:lang w:eastAsia="ko-KR"/>
    </w:rPr>
  </w:style>
  <w:style w:type="character" w:styleId="Heading1Char" w:customStyle="1">
    <w:name w:val="Heading 1 Char"/>
    <w:basedOn w:val="DefaultParagraphFont"/>
    <w:link w:val="Heading1"/>
    <w:uiPriority w:val="9"/>
    <w:rsid w:val="00D03F57"/>
    <w:rPr>
      <w:rFonts w:ascii="Times New Roman" w:hAnsi="Times New Roman" w:cstheme="majorBidi" w:eastAsiaTheme="majorEastAsia"/>
      <w:b w:val="1"/>
      <w:szCs w:val="32"/>
    </w:rPr>
  </w:style>
  <w:style w:type="paragraph" w:styleId="Tabletitle" w:customStyle="1">
    <w:name w:val="Tabletitle"/>
    <w:basedOn w:val="Body"/>
    <w:rsid w:val="007E0220"/>
    <w:pPr>
      <w:spacing w:after="120" w:before="240"/>
      <w:jc w:val="center"/>
    </w:pPr>
    <w:rPr>
      <w:i w:val="1"/>
    </w:rPr>
  </w:style>
  <w:style w:type="character" w:styleId="Heading3Char" w:customStyle="1">
    <w:name w:val="Heading 3 Char"/>
    <w:basedOn w:val="DefaultParagraphFont"/>
    <w:link w:val="Heading3"/>
    <w:uiPriority w:val="9"/>
    <w:rsid w:val="00512EF1"/>
    <w:rPr>
      <w:rFonts w:ascii="Times New Roman" w:hAnsi="Times New Roman" w:cstheme="majorBidi" w:eastAsiaTheme="majorEastAsia"/>
      <w:b w:val="1"/>
      <w:bCs w:val="1"/>
      <w:i w:val="1"/>
    </w:rPr>
  </w:style>
  <w:style w:type="table" w:styleId="PlainTable2">
    <w:name w:val="Plain Table 2"/>
    <w:basedOn w:val="TableNormal"/>
    <w:uiPriority w:val="42"/>
    <w:rsid w:val="005D2D7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a" w:customStyle="1">
    <w:basedOn w:val="TableNormal"/>
    <w:pPr>
      <w:spacing w:after="0" w:line="240" w:lineRule="auto"/>
    </w:pPr>
    <w:rPr>
      <w:color w:val="000000"/>
    </w:rPr>
    <w:tblPr>
      <w:tblStyleRowBandSize w:val="1"/>
      <w:tblStyleColBandSize w:val="1"/>
    </w:tblPr>
    <w:tblStylePr w:type="firstRow">
      <w:rPr>
        <w:b w:val="1"/>
      </w:rPr>
      <w:tblPr/>
      <w:tcPr>
        <w:tcBorders>
          <w:bottom w:color="7f7f7f" w:space="0" w:sz="4" w:val="single"/>
        </w:tcBorders>
      </w:tcPr>
    </w:tblStylePr>
    <w:tblStylePr w:type="lastRow">
      <w:rPr>
        <w:b w:val="1"/>
      </w:rPr>
      <w:tblPr/>
      <w:tcPr>
        <w:tcBorders>
          <w:top w:color="7f7f7f" w:space="0" w:sz="4" w:val="single"/>
        </w:tcBorders>
      </w:tcPr>
    </w:tblStylePr>
    <w:tblStylePr w:type="firstCol">
      <w:rPr>
        <w:b w:val="1"/>
      </w:rPr>
    </w:tblStylePr>
    <w:tblStylePr w:type="lastCol">
      <w:rPr>
        <w:b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paragraph" w:styleId="NormalWeb">
    <w:name w:val="Normal (Web)"/>
    <w:basedOn w:val="Normal"/>
    <w:uiPriority w:val="99"/>
    <w:semiHidden w:val="1"/>
    <w:unhideWhenUsed w:val="1"/>
    <w:rsid w:val="00ED3186"/>
    <w:pPr>
      <w:spacing w:after="100" w:afterAutospacing="1" w:before="100" w:beforeAutospacing="1" w:line="240" w:lineRule="auto"/>
    </w:pPr>
    <w:rPr>
      <w:rFonts w:ascii="Times New Roman" w:cs="Times New Roman" w:eastAsia="Times New Roman" w:hAnsi="Times New Roman"/>
      <w:sz w:val="24"/>
      <w:szCs w:val="24"/>
      <w:lang w:val="en-ID"/>
    </w:rPr>
  </w:style>
  <w:style w:type="character" w:styleId="UnresolvedMention">
    <w:name w:val="Unresolved Mention"/>
    <w:basedOn w:val="DefaultParagraphFont"/>
    <w:uiPriority w:val="99"/>
    <w:semiHidden w:val="1"/>
    <w:unhideWhenUsed w:val="1"/>
    <w:rsid w:val="0010286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004/obsesi.v1i2.24" TargetMode="External"/><Relationship Id="rId10" Type="http://schemas.openxmlformats.org/officeDocument/2006/relationships/chart" Target="charts/chart1.xml"/><Relationship Id="rId13" Type="http://schemas.openxmlformats.org/officeDocument/2006/relationships/image" Target="media/image3.png"/><Relationship Id="rId12" Type="http://schemas.openxmlformats.org/officeDocument/2006/relationships/hyperlink" Target="https://doi.org/10.1089/cpb.2004.7.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your@email.address" TargetMode="External"/><Relationship Id="rId8" Type="http://schemas.openxmlformats.org/officeDocument/2006/relationships/hyperlink" Target="https://creativecommons.org/licenses/by-nc-sa/4.0/"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journal2.upgris.ac.id/index.php/paudia/index" TargetMode="External"/><Relationship Id="rId3"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oleObject" Target="file:///C:\2015%20puji\UNSRI\2015%20statbio-with%20pak%20ucup\STATBIO%202016\puji-korelasi%20dan%20regre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'korelasi dan regresi'!$F$5</c:f>
              <c:strCache>
                <c:ptCount val="1"/>
                <c:pt idx="0">
                  <c:v>Y</c:v>
                </c:pt>
              </c:strCache>
            </c:strRef>
          </c:tx>
          <c:spPr>
            <a:ln w="28575">
              <a:noFill/>
            </a:ln>
          </c:spPr>
          <c:trendline>
            <c:trendlineType val="linear"/>
            <c:dispRSqr val="1"/>
            <c:dispEq val="1"/>
            <c:trendlineLbl>
              <c:layout>
                <c:manualLayout>
                  <c:x val="0.38061025188080605"/>
                  <c:y val="-0.16009646641735062"/>
                </c:manualLayout>
              </c:layout>
              <c:numFmt formatCode="General" sourceLinked="0"/>
            </c:trendlineLbl>
          </c:trendline>
          <c:trendline>
            <c:trendlineType val="linear"/>
            <c:dispRSqr val="0"/>
            <c:dispEq val="0"/>
          </c:trendline>
          <c:trendline>
            <c:trendlineType val="linear"/>
            <c:dispRSqr val="0"/>
            <c:dispEq val="0"/>
          </c:trendline>
          <c:xVal>
            <c:numRef>
              <c:f>'korelasi dan regresi'!$E$6:$E$114</c:f>
              <c:numCache>
                <c:formatCode>General</c:formatCode>
                <c:ptCount val="109"/>
                <c:pt idx="0">
                  <c:v>74.75</c:v>
                </c:pt>
                <c:pt idx="1">
                  <c:v>72.599999999999994</c:v>
                </c:pt>
                <c:pt idx="2">
                  <c:v>81.8</c:v>
                </c:pt>
                <c:pt idx="3">
                  <c:v>83.95</c:v>
                </c:pt>
                <c:pt idx="4">
                  <c:v>74.650000000000006</c:v>
                </c:pt>
                <c:pt idx="5">
                  <c:v>71.849999999999994</c:v>
                </c:pt>
                <c:pt idx="6">
                  <c:v>80.900000000000006</c:v>
                </c:pt>
                <c:pt idx="7">
                  <c:v>83.4</c:v>
                </c:pt>
                <c:pt idx="8">
                  <c:v>63.5</c:v>
                </c:pt>
                <c:pt idx="9">
                  <c:v>73.2</c:v>
                </c:pt>
                <c:pt idx="10">
                  <c:v>71.900000000000006</c:v>
                </c:pt>
                <c:pt idx="11">
                  <c:v>75</c:v>
                </c:pt>
                <c:pt idx="12">
                  <c:v>73.099999999999994</c:v>
                </c:pt>
                <c:pt idx="13">
                  <c:v>79</c:v>
                </c:pt>
                <c:pt idx="14">
                  <c:v>77</c:v>
                </c:pt>
                <c:pt idx="15">
                  <c:v>68.849999999999994</c:v>
                </c:pt>
                <c:pt idx="16">
                  <c:v>75.95</c:v>
                </c:pt>
                <c:pt idx="17">
                  <c:v>74.150000000000006</c:v>
                </c:pt>
                <c:pt idx="18">
                  <c:v>73.8</c:v>
                </c:pt>
                <c:pt idx="19">
                  <c:v>75.900000000000006</c:v>
                </c:pt>
                <c:pt idx="20">
                  <c:v>76.849999999999994</c:v>
                </c:pt>
                <c:pt idx="21">
                  <c:v>80.900000000000006</c:v>
                </c:pt>
                <c:pt idx="22">
                  <c:v>79.900000000000006</c:v>
                </c:pt>
                <c:pt idx="23">
                  <c:v>89.2</c:v>
                </c:pt>
                <c:pt idx="24">
                  <c:v>82</c:v>
                </c:pt>
                <c:pt idx="25">
                  <c:v>92</c:v>
                </c:pt>
                <c:pt idx="26">
                  <c:v>86.6</c:v>
                </c:pt>
                <c:pt idx="27">
                  <c:v>80.5</c:v>
                </c:pt>
                <c:pt idx="28">
                  <c:v>86</c:v>
                </c:pt>
                <c:pt idx="29">
                  <c:v>82.5</c:v>
                </c:pt>
                <c:pt idx="30">
                  <c:v>83.5</c:v>
                </c:pt>
                <c:pt idx="31">
                  <c:v>88.1</c:v>
                </c:pt>
                <c:pt idx="32">
                  <c:v>90.8</c:v>
                </c:pt>
                <c:pt idx="33">
                  <c:v>89.4</c:v>
                </c:pt>
                <c:pt idx="34">
                  <c:v>102</c:v>
                </c:pt>
                <c:pt idx="35">
                  <c:v>94.5</c:v>
                </c:pt>
                <c:pt idx="36">
                  <c:v>91</c:v>
                </c:pt>
                <c:pt idx="37">
                  <c:v>103</c:v>
                </c:pt>
                <c:pt idx="38">
                  <c:v>80</c:v>
                </c:pt>
                <c:pt idx="39">
                  <c:v>79</c:v>
                </c:pt>
                <c:pt idx="40">
                  <c:v>83.5</c:v>
                </c:pt>
                <c:pt idx="41">
                  <c:v>76</c:v>
                </c:pt>
                <c:pt idx="42">
                  <c:v>80.5</c:v>
                </c:pt>
                <c:pt idx="43">
                  <c:v>86.5</c:v>
                </c:pt>
                <c:pt idx="44">
                  <c:v>83</c:v>
                </c:pt>
                <c:pt idx="45">
                  <c:v>107.1</c:v>
                </c:pt>
                <c:pt idx="46">
                  <c:v>94.3</c:v>
                </c:pt>
                <c:pt idx="47">
                  <c:v>94.5</c:v>
                </c:pt>
                <c:pt idx="48">
                  <c:v>79.7</c:v>
                </c:pt>
                <c:pt idx="49">
                  <c:v>79.3</c:v>
                </c:pt>
                <c:pt idx="50">
                  <c:v>89.8</c:v>
                </c:pt>
                <c:pt idx="51">
                  <c:v>83.8</c:v>
                </c:pt>
                <c:pt idx="52">
                  <c:v>85.2</c:v>
                </c:pt>
                <c:pt idx="53">
                  <c:v>75.5</c:v>
                </c:pt>
                <c:pt idx="54">
                  <c:v>78.400000000000006</c:v>
                </c:pt>
                <c:pt idx="55">
                  <c:v>78.599999999999994</c:v>
                </c:pt>
                <c:pt idx="56">
                  <c:v>87.8</c:v>
                </c:pt>
                <c:pt idx="57">
                  <c:v>86.3</c:v>
                </c:pt>
                <c:pt idx="58">
                  <c:v>85.5</c:v>
                </c:pt>
                <c:pt idx="59">
                  <c:v>83.7</c:v>
                </c:pt>
                <c:pt idx="60">
                  <c:v>77.599999999999994</c:v>
                </c:pt>
                <c:pt idx="61">
                  <c:v>84.9</c:v>
                </c:pt>
                <c:pt idx="62">
                  <c:v>79.8</c:v>
                </c:pt>
                <c:pt idx="63">
                  <c:v>108.3</c:v>
                </c:pt>
                <c:pt idx="64">
                  <c:v>119.6</c:v>
                </c:pt>
                <c:pt idx="65">
                  <c:v>119.9</c:v>
                </c:pt>
                <c:pt idx="66">
                  <c:v>96.5</c:v>
                </c:pt>
                <c:pt idx="67">
                  <c:v>105.5</c:v>
                </c:pt>
                <c:pt idx="68">
                  <c:v>105</c:v>
                </c:pt>
                <c:pt idx="69">
                  <c:v>107</c:v>
                </c:pt>
                <c:pt idx="70">
                  <c:v>107</c:v>
                </c:pt>
                <c:pt idx="71">
                  <c:v>101</c:v>
                </c:pt>
                <c:pt idx="72">
                  <c:v>97</c:v>
                </c:pt>
                <c:pt idx="73">
                  <c:v>100</c:v>
                </c:pt>
                <c:pt idx="74">
                  <c:v>108</c:v>
                </c:pt>
                <c:pt idx="75">
                  <c:v>100</c:v>
                </c:pt>
                <c:pt idx="76">
                  <c:v>103</c:v>
                </c:pt>
                <c:pt idx="77">
                  <c:v>104</c:v>
                </c:pt>
                <c:pt idx="78">
                  <c:v>106</c:v>
                </c:pt>
                <c:pt idx="79">
                  <c:v>109</c:v>
                </c:pt>
                <c:pt idx="80">
                  <c:v>103.5</c:v>
                </c:pt>
                <c:pt idx="81">
                  <c:v>110</c:v>
                </c:pt>
                <c:pt idx="82">
                  <c:v>110</c:v>
                </c:pt>
                <c:pt idx="83">
                  <c:v>112</c:v>
                </c:pt>
                <c:pt idx="84">
                  <c:v>108.5</c:v>
                </c:pt>
                <c:pt idx="85">
                  <c:v>104</c:v>
                </c:pt>
                <c:pt idx="86">
                  <c:v>111</c:v>
                </c:pt>
                <c:pt idx="87">
                  <c:v>108.5</c:v>
                </c:pt>
                <c:pt idx="88">
                  <c:v>121</c:v>
                </c:pt>
                <c:pt idx="89">
                  <c:v>109</c:v>
                </c:pt>
                <c:pt idx="90">
                  <c:v>97.5</c:v>
                </c:pt>
                <c:pt idx="91">
                  <c:v>105.5</c:v>
                </c:pt>
                <c:pt idx="92">
                  <c:v>98</c:v>
                </c:pt>
                <c:pt idx="93">
                  <c:v>94.5</c:v>
                </c:pt>
                <c:pt idx="94">
                  <c:v>97</c:v>
                </c:pt>
                <c:pt idx="95">
                  <c:v>105</c:v>
                </c:pt>
                <c:pt idx="96">
                  <c:v>106</c:v>
                </c:pt>
                <c:pt idx="97">
                  <c:v>99</c:v>
                </c:pt>
                <c:pt idx="98">
                  <c:v>91</c:v>
                </c:pt>
                <c:pt idx="99">
                  <c:v>102.5</c:v>
                </c:pt>
                <c:pt idx="100">
                  <c:v>106</c:v>
                </c:pt>
                <c:pt idx="101">
                  <c:v>109.1</c:v>
                </c:pt>
                <c:pt idx="102">
                  <c:v>115</c:v>
                </c:pt>
                <c:pt idx="103">
                  <c:v>101</c:v>
                </c:pt>
                <c:pt idx="104">
                  <c:v>100.1</c:v>
                </c:pt>
                <c:pt idx="105">
                  <c:v>93.3</c:v>
                </c:pt>
                <c:pt idx="106">
                  <c:v>101.8</c:v>
                </c:pt>
                <c:pt idx="107">
                  <c:v>107.9</c:v>
                </c:pt>
                <c:pt idx="108">
                  <c:v>108.5</c:v>
                </c:pt>
              </c:numCache>
            </c:numRef>
          </c:xVal>
          <c:yVal>
            <c:numRef>
              <c:f>'korelasi dan regresi'!$F$6:$F$114</c:f>
              <c:numCache>
                <c:formatCode>General</c:formatCode>
                <c:ptCount val="109"/>
                <c:pt idx="0">
                  <c:v>25.72</c:v>
                </c:pt>
                <c:pt idx="1">
                  <c:v>25.89</c:v>
                </c:pt>
                <c:pt idx="2">
                  <c:v>42.6</c:v>
                </c:pt>
                <c:pt idx="3">
                  <c:v>42.8</c:v>
                </c:pt>
                <c:pt idx="4">
                  <c:v>29.84</c:v>
                </c:pt>
                <c:pt idx="5">
                  <c:v>21.68</c:v>
                </c:pt>
                <c:pt idx="6">
                  <c:v>29.08</c:v>
                </c:pt>
                <c:pt idx="7">
                  <c:v>32.979999999999997</c:v>
                </c:pt>
                <c:pt idx="8">
                  <c:v>11.44</c:v>
                </c:pt>
                <c:pt idx="9">
                  <c:v>32.220000000000013</c:v>
                </c:pt>
                <c:pt idx="10">
                  <c:v>28.32</c:v>
                </c:pt>
                <c:pt idx="11">
                  <c:v>43.86</c:v>
                </c:pt>
                <c:pt idx="12">
                  <c:v>38.21</c:v>
                </c:pt>
                <c:pt idx="13">
                  <c:v>42.48</c:v>
                </c:pt>
                <c:pt idx="14">
                  <c:v>30.95999999999999</c:v>
                </c:pt>
                <c:pt idx="15">
                  <c:v>55.78</c:v>
                </c:pt>
                <c:pt idx="16">
                  <c:v>43.78</c:v>
                </c:pt>
                <c:pt idx="17">
                  <c:v>33.409999999999997</c:v>
                </c:pt>
                <c:pt idx="18">
                  <c:v>43.35</c:v>
                </c:pt>
                <c:pt idx="19">
                  <c:v>29.31000000000002</c:v>
                </c:pt>
                <c:pt idx="20">
                  <c:v>36.6</c:v>
                </c:pt>
                <c:pt idx="21">
                  <c:v>40.25</c:v>
                </c:pt>
                <c:pt idx="22">
                  <c:v>35.43</c:v>
                </c:pt>
                <c:pt idx="23">
                  <c:v>60.09</c:v>
                </c:pt>
                <c:pt idx="24">
                  <c:v>45.84</c:v>
                </c:pt>
                <c:pt idx="25">
                  <c:v>70.400000000000006</c:v>
                </c:pt>
                <c:pt idx="26">
                  <c:v>83.45</c:v>
                </c:pt>
                <c:pt idx="27">
                  <c:v>84.3</c:v>
                </c:pt>
                <c:pt idx="28">
                  <c:v>78.89</c:v>
                </c:pt>
                <c:pt idx="29">
                  <c:v>64.75</c:v>
                </c:pt>
                <c:pt idx="30">
                  <c:v>72.56</c:v>
                </c:pt>
                <c:pt idx="31">
                  <c:v>89.31</c:v>
                </c:pt>
                <c:pt idx="32">
                  <c:v>78.940000000000026</c:v>
                </c:pt>
                <c:pt idx="33">
                  <c:v>83.55</c:v>
                </c:pt>
                <c:pt idx="34">
                  <c:v>127</c:v>
                </c:pt>
                <c:pt idx="35">
                  <c:v>121</c:v>
                </c:pt>
                <c:pt idx="36">
                  <c:v>107</c:v>
                </c:pt>
                <c:pt idx="37">
                  <c:v>129</c:v>
                </c:pt>
                <c:pt idx="38">
                  <c:v>74.02</c:v>
                </c:pt>
                <c:pt idx="39">
                  <c:v>55.48</c:v>
                </c:pt>
                <c:pt idx="40">
                  <c:v>73.13</c:v>
                </c:pt>
                <c:pt idx="41">
                  <c:v>50.5</c:v>
                </c:pt>
                <c:pt idx="42">
                  <c:v>50.88</c:v>
                </c:pt>
                <c:pt idx="43">
                  <c:v>140</c:v>
                </c:pt>
                <c:pt idx="44">
                  <c:v>96.54</c:v>
                </c:pt>
                <c:pt idx="45">
                  <c:v>118</c:v>
                </c:pt>
                <c:pt idx="46">
                  <c:v>107</c:v>
                </c:pt>
                <c:pt idx="47">
                  <c:v>123</c:v>
                </c:pt>
                <c:pt idx="48">
                  <c:v>65.92</c:v>
                </c:pt>
                <c:pt idx="49">
                  <c:v>81.290000000000006</c:v>
                </c:pt>
                <c:pt idx="50">
                  <c:v>111</c:v>
                </c:pt>
                <c:pt idx="51">
                  <c:v>90.73</c:v>
                </c:pt>
                <c:pt idx="52">
                  <c:v>133</c:v>
                </c:pt>
                <c:pt idx="53">
                  <c:v>41.9</c:v>
                </c:pt>
                <c:pt idx="54">
                  <c:v>41.71</c:v>
                </c:pt>
                <c:pt idx="55">
                  <c:v>58.160000000000011</c:v>
                </c:pt>
                <c:pt idx="56">
                  <c:v>88.85</c:v>
                </c:pt>
                <c:pt idx="57">
                  <c:v>155</c:v>
                </c:pt>
                <c:pt idx="58">
                  <c:v>70.77</c:v>
                </c:pt>
                <c:pt idx="59">
                  <c:v>75.08</c:v>
                </c:pt>
                <c:pt idx="60">
                  <c:v>57.05</c:v>
                </c:pt>
                <c:pt idx="61">
                  <c:v>99.73</c:v>
                </c:pt>
                <c:pt idx="62">
                  <c:v>27.95999999999999</c:v>
                </c:pt>
                <c:pt idx="63">
                  <c:v>123</c:v>
                </c:pt>
                <c:pt idx="64">
                  <c:v>90.410000000000025</c:v>
                </c:pt>
                <c:pt idx="65">
                  <c:v>106</c:v>
                </c:pt>
                <c:pt idx="66">
                  <c:v>144</c:v>
                </c:pt>
                <c:pt idx="67">
                  <c:v>121</c:v>
                </c:pt>
                <c:pt idx="68">
                  <c:v>97.13</c:v>
                </c:pt>
                <c:pt idx="69">
                  <c:v>166</c:v>
                </c:pt>
                <c:pt idx="70">
                  <c:v>87.990000000000023</c:v>
                </c:pt>
                <c:pt idx="71">
                  <c:v>154</c:v>
                </c:pt>
                <c:pt idx="72">
                  <c:v>100</c:v>
                </c:pt>
                <c:pt idx="73">
                  <c:v>123</c:v>
                </c:pt>
                <c:pt idx="74">
                  <c:v>217</c:v>
                </c:pt>
                <c:pt idx="75">
                  <c:v>140</c:v>
                </c:pt>
                <c:pt idx="76">
                  <c:v>109</c:v>
                </c:pt>
                <c:pt idx="77">
                  <c:v>127</c:v>
                </c:pt>
                <c:pt idx="78">
                  <c:v>112</c:v>
                </c:pt>
                <c:pt idx="79">
                  <c:v>192</c:v>
                </c:pt>
                <c:pt idx="80">
                  <c:v>132</c:v>
                </c:pt>
                <c:pt idx="81">
                  <c:v>126</c:v>
                </c:pt>
                <c:pt idx="82">
                  <c:v>153</c:v>
                </c:pt>
                <c:pt idx="83">
                  <c:v>158</c:v>
                </c:pt>
                <c:pt idx="84">
                  <c:v>183</c:v>
                </c:pt>
                <c:pt idx="85">
                  <c:v>184</c:v>
                </c:pt>
                <c:pt idx="86">
                  <c:v>121</c:v>
                </c:pt>
                <c:pt idx="87">
                  <c:v>159</c:v>
                </c:pt>
                <c:pt idx="88">
                  <c:v>245</c:v>
                </c:pt>
                <c:pt idx="89">
                  <c:v>137</c:v>
                </c:pt>
                <c:pt idx="90">
                  <c:v>165</c:v>
                </c:pt>
                <c:pt idx="91">
                  <c:v>152</c:v>
                </c:pt>
                <c:pt idx="92">
                  <c:v>181</c:v>
                </c:pt>
                <c:pt idx="93">
                  <c:v>80.95</c:v>
                </c:pt>
                <c:pt idx="94">
                  <c:v>137</c:v>
                </c:pt>
                <c:pt idx="95">
                  <c:v>125</c:v>
                </c:pt>
                <c:pt idx="96">
                  <c:v>241</c:v>
                </c:pt>
                <c:pt idx="97">
                  <c:v>134</c:v>
                </c:pt>
                <c:pt idx="98">
                  <c:v>150</c:v>
                </c:pt>
                <c:pt idx="99">
                  <c:v>198</c:v>
                </c:pt>
                <c:pt idx="100">
                  <c:v>151</c:v>
                </c:pt>
                <c:pt idx="101">
                  <c:v>229</c:v>
                </c:pt>
                <c:pt idx="102">
                  <c:v>253</c:v>
                </c:pt>
                <c:pt idx="103">
                  <c:v>188</c:v>
                </c:pt>
                <c:pt idx="104">
                  <c:v>124</c:v>
                </c:pt>
                <c:pt idx="105">
                  <c:v>62.2</c:v>
                </c:pt>
                <c:pt idx="106">
                  <c:v>133</c:v>
                </c:pt>
                <c:pt idx="107">
                  <c:v>208</c:v>
                </c:pt>
                <c:pt idx="108">
                  <c:v>208</c:v>
                </c:pt>
              </c:numCache>
            </c:numRef>
          </c:yVal>
          <c:smooth val="0"/>
          <c:extLst>
            <c:ext xmlns:c16="http://schemas.microsoft.com/office/drawing/2014/chart" uri="{C3380CC4-5D6E-409C-BE32-E72D297353CC}">
              <c16:uniqueId val="{00000003-6516-46FE-BFEA-209A5684F7A9}"/>
            </c:ext>
          </c:extLst>
        </c:ser>
        <c:dLbls>
          <c:showLegendKey val="0"/>
          <c:showVal val="0"/>
          <c:showCatName val="0"/>
          <c:showSerName val="0"/>
          <c:showPercent val="0"/>
          <c:showBubbleSize val="0"/>
        </c:dLbls>
        <c:axId val="592062840"/>
        <c:axId val="592058528"/>
      </c:scatterChart>
      <c:valAx>
        <c:axId val="592062840"/>
        <c:scaling>
          <c:orientation val="minMax"/>
          <c:min val="50"/>
        </c:scaling>
        <c:delete val="0"/>
        <c:axPos val="b"/>
        <c:numFmt formatCode="General" sourceLinked="1"/>
        <c:majorTickMark val="out"/>
        <c:minorTickMark val="none"/>
        <c:tickLblPos val="nextTo"/>
        <c:crossAx val="592058528"/>
        <c:crosses val="autoZero"/>
        <c:crossBetween val="midCat"/>
        <c:majorUnit val="20"/>
      </c:valAx>
      <c:valAx>
        <c:axId val="592058528"/>
        <c:scaling>
          <c:orientation val="minMax"/>
        </c:scaling>
        <c:delete val="0"/>
        <c:axPos val="l"/>
        <c:majorGridlines/>
        <c:numFmt formatCode="General" sourceLinked="1"/>
        <c:majorTickMark val="out"/>
        <c:minorTickMark val="none"/>
        <c:tickLblPos val="nextTo"/>
        <c:crossAx val="59206284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j2pjQV39TqmV0RRnQ82NSpL+vw==">CgMxLjAyDWguZG1ybTBtcDl4ZGEyDmgudWxjMTBoaHh2cmw4Mg5oLnkzMmh4cG8ycThpMjIOaC52bjV3NXV6NWRtZmIyDmguNHFlYTZlMXhuMTNmMghoLnR5amN3dDIJaC4zZHk2dmttOAByITFWV0llYUVqV3EzQlBpQk9PME9CZ1BHTXZVR3V0Q1NHWg==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2026-01-28T01:26:00Z</dcterms:created>
  <dc:creator>okti</dc:creator>
</cp:coreProperties>
</file>