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charts/chart1.xml" ContentType="application/vnd.openxmlformats-officedocument.drawingml.chart+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tbl>
      <w:tblPr>
        <w:tblStyle w:val="Table1"/>
        <w:tblW w:w="901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5"/>
        <w:gridCol w:w="6614"/>
        <w:tblGridChange w:id="0">
          <w:tblGrid>
            <w:gridCol w:w="2405"/>
            <w:gridCol w:w="6614"/>
          </w:tblGrid>
        </w:tblGridChange>
      </w:tblGrid>
      <w:tr>
        <w:trPr>
          <w:cantSplit w:val="0"/>
          <w:tblHeader w:val="0"/>
        </w:trPr>
        <w:tc>
          <w:tcPr>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008">
            <w:pPr>
              <w:spacing w:after="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Artikel Info</w:t>
            </w:r>
          </w:p>
        </w:tc>
        <w:tc>
          <w:tcPr>
            <w:vMerge w:val="restart"/>
            <w:tcBorders>
              <w:left w:color="000000" w:space="0" w:sz="4" w:val="single"/>
            </w:tcBorders>
            <w:shd w:fill="c6d9f1" w:val="clear"/>
          </w:tcPr>
          <w:p w:rsidR="00000000" w:rsidDel="00000000" w:rsidP="00000000" w:rsidRDefault="00000000" w:rsidRPr="00000000" w14:paraId="0000000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Abstract</w:t>
            </w:r>
            <w:r w:rsidDel="00000000" w:rsidR="00000000" w:rsidRPr="00000000">
              <w:rPr>
                <w:rtl w:val="0"/>
              </w:rPr>
            </w:r>
          </w:p>
          <w:p w:rsidR="00000000" w:rsidDel="00000000" w:rsidP="00000000" w:rsidRDefault="00000000" w:rsidRPr="00000000" w14:paraId="0000000A">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tl w:val="0"/>
              </w:rPr>
              <w:t xml:space="preserve">The abstract is written in a single paragraph </w:t>
            </w:r>
            <w:r w:rsidDel="00000000" w:rsidR="00000000" w:rsidRPr="00000000">
              <w:rPr>
                <w:rFonts w:ascii="Times New Roman" w:cs="Times New Roman" w:eastAsia="Times New Roman" w:hAnsi="Times New Roman"/>
                <w:b w:val="1"/>
                <w:bCs w:val="1"/>
                <w:sz w:val="20"/>
                <w:szCs w:val="20"/>
                <w:rtl w:val="0"/>
              </w:rPr>
              <w:t xml:space="preserve">no longer than 150 words</w:t>
            </w:r>
            <w:r w:rsidDel="00000000" w:rsidR="00000000" w:rsidRPr="00000000">
              <w:rPr>
                <w:rFonts w:ascii="Times New Roman" w:cs="Times New Roman" w:eastAsia="Times New Roman" w:hAnsi="Times New Roman"/>
                <w:sz w:val="20"/>
                <w:szCs w:val="20"/>
                <w:rtl w:val="0"/>
              </w:rPr>
              <w:t xml:space="preserve">, summarizing the entire content of the article in a concise and informative manner. The abstract must be </w:t>
            </w:r>
            <w:r w:rsidDel="00000000" w:rsidR="00000000" w:rsidRPr="00000000">
              <w:rPr>
                <w:rFonts w:ascii="Times New Roman" w:cs="Times New Roman" w:eastAsia="Times New Roman" w:hAnsi="Times New Roman"/>
                <w:i w:val="1"/>
                <w:iCs w:val="1"/>
                <w:sz w:val="20"/>
                <w:szCs w:val="20"/>
                <w:rtl w:val="0"/>
              </w:rPr>
              <w:t xml:space="preserve">self-contained </w:t>
            </w:r>
            <w:r w:rsidDel="00000000" w:rsidR="00000000" w:rsidRPr="00000000">
              <w:rPr>
                <w:rFonts w:ascii="Times New Roman" w:cs="Times New Roman" w:eastAsia="Times New Roman" w:hAnsi="Times New Roman"/>
                <w:sz w:val="20"/>
                <w:szCs w:val="20"/>
                <w:rtl w:val="0"/>
              </w:rPr>
              <w:t xml:space="preserve">and understandable without reading the entire manuscript. The abstract contains the main elements of the research presented in sequence, including: </w:t>
            </w:r>
            <w:r w:rsidDel="00000000" w:rsidR="00000000" w:rsidRPr="00000000">
              <w:rPr>
                <w:rFonts w:ascii="Times New Roman" w:cs="Times New Roman" w:eastAsia="Times New Roman" w:hAnsi="Times New Roman"/>
                <w:b w:val="1"/>
                <w:bCs w:val="1"/>
                <w:sz w:val="20"/>
                <w:szCs w:val="20"/>
                <w:rtl w:val="0"/>
              </w:rPr>
              <w:t xml:space="preserve">(1) the background of the research</w:t>
            </w:r>
            <w:r w:rsidDel="00000000" w:rsidR="00000000" w:rsidRPr="00000000">
              <w:rPr>
                <w:rFonts w:ascii="Times New Roman" w:cs="Times New Roman" w:eastAsia="Times New Roman" w:hAnsi="Times New Roman"/>
                <w:sz w:val="20"/>
                <w:szCs w:val="20"/>
                <w:rtl w:val="0"/>
              </w:rPr>
              <w:t xml:space="preserve">, which briefly explains the context and urgency of the research; </w:t>
            </w:r>
            <w:r w:rsidDel="00000000" w:rsidR="00000000" w:rsidRPr="00000000">
              <w:rPr>
                <w:rFonts w:ascii="Times New Roman" w:cs="Times New Roman" w:eastAsia="Times New Roman" w:hAnsi="Times New Roman"/>
                <w:b w:val="1"/>
                <w:bCs w:val="1"/>
                <w:sz w:val="20"/>
                <w:szCs w:val="20"/>
                <w:rtl w:val="0"/>
              </w:rPr>
              <w:t xml:space="preserve">(2) the objectives and scope of the research</w:t>
            </w:r>
            <w:r w:rsidDel="00000000" w:rsidR="00000000" w:rsidRPr="00000000">
              <w:rPr>
                <w:rFonts w:ascii="Times New Roman" w:cs="Times New Roman" w:eastAsia="Times New Roman" w:hAnsi="Times New Roman"/>
                <w:sz w:val="20"/>
                <w:szCs w:val="20"/>
                <w:rtl w:val="0"/>
              </w:rPr>
              <w:t xml:space="preserve">, which state the main focus and limitations of the study; </w:t>
            </w:r>
            <w:r w:rsidDel="00000000" w:rsidR="00000000" w:rsidRPr="00000000">
              <w:rPr>
                <w:rFonts w:ascii="Times New Roman" w:cs="Times New Roman" w:eastAsia="Times New Roman" w:hAnsi="Times New Roman"/>
                <w:b w:val="1"/>
                <w:bCs w:val="1"/>
                <w:sz w:val="20"/>
                <w:szCs w:val="20"/>
                <w:rtl w:val="0"/>
              </w:rPr>
              <w:t xml:space="preserve">(3) the research methods</w:t>
            </w:r>
            <w:r w:rsidDel="00000000" w:rsidR="00000000" w:rsidRPr="00000000">
              <w:rPr>
                <w:rFonts w:ascii="Times New Roman" w:cs="Times New Roman" w:eastAsia="Times New Roman" w:hAnsi="Times New Roman"/>
                <w:sz w:val="20"/>
                <w:szCs w:val="20"/>
                <w:rtl w:val="0"/>
              </w:rPr>
              <w:t xml:space="preserve">, which include the type or approach of the research and the main subjects or data sources, as well as a brief description of the instruments used; </w:t>
            </w:r>
            <w:r w:rsidDel="00000000" w:rsidR="00000000" w:rsidRPr="00000000">
              <w:rPr>
                <w:rFonts w:ascii="Times New Roman" w:cs="Times New Roman" w:eastAsia="Times New Roman" w:hAnsi="Times New Roman"/>
                <w:b w:val="1"/>
                <w:bCs w:val="1"/>
                <w:sz w:val="20"/>
                <w:szCs w:val="20"/>
                <w:rtl w:val="0"/>
              </w:rPr>
              <w:t xml:space="preserve">(4) research results</w:t>
            </w:r>
            <w:r w:rsidDel="00000000" w:rsidR="00000000" w:rsidRPr="00000000">
              <w:rPr>
                <w:rFonts w:ascii="Times New Roman" w:cs="Times New Roman" w:eastAsia="Times New Roman" w:hAnsi="Times New Roman"/>
                <w:sz w:val="20"/>
                <w:szCs w:val="20"/>
                <w:rtl w:val="0"/>
              </w:rPr>
              <w:t xml:space="preserve">, which highlight specific and data-based key findings; </w:t>
            </w:r>
            <w:r w:rsidDel="00000000" w:rsidR="00000000" w:rsidRPr="00000000">
              <w:rPr>
                <w:rFonts w:ascii="Times New Roman" w:cs="Times New Roman" w:eastAsia="Times New Roman" w:hAnsi="Times New Roman"/>
                <w:b w:val="1"/>
                <w:bCs w:val="1"/>
                <w:sz w:val="20"/>
                <w:szCs w:val="20"/>
                <w:rtl w:val="0"/>
              </w:rPr>
              <w:t xml:space="preserve">(5) conclusions</w:t>
            </w:r>
            <w:r w:rsidDel="00000000" w:rsidR="00000000" w:rsidRPr="00000000">
              <w:rPr>
                <w:rFonts w:ascii="Times New Roman" w:cs="Times New Roman" w:eastAsia="Times New Roman" w:hAnsi="Times New Roman"/>
                <w:sz w:val="20"/>
                <w:szCs w:val="20"/>
                <w:rtl w:val="0"/>
              </w:rPr>
              <w:t xml:space="preserve">, which summarize the main meaning of the research results; </w:t>
            </w:r>
            <w:r w:rsidDel="00000000" w:rsidR="00000000" w:rsidRPr="00000000">
              <w:rPr>
                <w:rFonts w:ascii="Times New Roman" w:cs="Times New Roman" w:eastAsia="Times New Roman" w:hAnsi="Times New Roman"/>
                <w:b w:val="1"/>
                <w:bCs w:val="1"/>
                <w:sz w:val="20"/>
                <w:szCs w:val="20"/>
                <w:rtl w:val="0"/>
              </w:rPr>
              <w:t xml:space="preserve">(6) novelty </w:t>
            </w:r>
            <w:r w:rsidDel="00000000" w:rsidR="00000000" w:rsidRPr="00000000">
              <w:rPr>
                <w:rFonts w:ascii="Times New Roman" w:cs="Times New Roman" w:eastAsia="Times New Roman" w:hAnsi="Times New Roman"/>
                <w:sz w:val="20"/>
                <w:szCs w:val="20"/>
                <w:rtl w:val="0"/>
              </w:rPr>
              <w:t xml:space="preserve">or newness obtained from this research, and </w:t>
            </w:r>
            <w:r w:rsidDel="00000000" w:rsidR="00000000" w:rsidRPr="00000000">
              <w:rPr>
                <w:rFonts w:ascii="Times New Roman" w:cs="Times New Roman" w:eastAsia="Times New Roman" w:hAnsi="Times New Roman"/>
                <w:b w:val="1"/>
                <w:bCs w:val="1"/>
                <w:sz w:val="20"/>
                <w:szCs w:val="20"/>
                <w:rtl w:val="0"/>
              </w:rPr>
              <w:t xml:space="preserve">(7) research contributions</w:t>
            </w:r>
            <w:r w:rsidDel="00000000" w:rsidR="00000000" w:rsidRPr="00000000">
              <w:rPr>
                <w:rFonts w:ascii="Times New Roman" w:cs="Times New Roman" w:eastAsia="Times New Roman" w:hAnsi="Times New Roman"/>
                <w:sz w:val="20"/>
                <w:szCs w:val="20"/>
                <w:rtl w:val="0"/>
              </w:rPr>
              <w:t xml:space="preserve">, which emphasize the added value or important implications of the research for the development of science, practice, or policy. Abstracts are not permitted to contain citations, tables, figures, or abbreviations that are not explained. Abstracts must be </w:t>
            </w:r>
            <w:r w:rsidDel="00000000" w:rsidR="00000000" w:rsidRPr="00000000">
              <w:rPr>
                <w:rFonts w:ascii="Times New Roman" w:cs="Times New Roman" w:eastAsia="Times New Roman" w:hAnsi="Times New Roman"/>
                <w:b w:val="1"/>
                <w:bCs w:val="1"/>
                <w:sz w:val="20"/>
                <w:szCs w:val="20"/>
                <w:rtl w:val="0"/>
              </w:rPr>
              <w:t xml:space="preserve">objective, concise, and representative</w:t>
            </w:r>
            <w:r w:rsidDel="00000000" w:rsidR="00000000" w:rsidRPr="00000000">
              <w:rPr>
                <w:rFonts w:ascii="Times New Roman" w:cs="Times New Roman" w:eastAsia="Times New Roman" w:hAnsi="Times New Roman"/>
                <w:sz w:val="20"/>
                <w:szCs w:val="20"/>
                <w:rtl w:val="0"/>
              </w:rPr>
              <w:t xml:space="preserve">, and consistent with the content of the article as a whole.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00B">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History</w:t>
            </w:r>
          </w:p>
          <w:p w:rsidR="00000000" w:rsidDel="00000000" w:rsidP="00000000" w:rsidRDefault="00000000" w:rsidRPr="00000000" w14:paraId="0000000C">
            <w:pP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Received yyy-mm-dd,</w:t>
            </w:r>
          </w:p>
          <w:p w:rsidR="00000000" w:rsidDel="00000000" w:rsidP="00000000" w:rsidRDefault="00000000" w:rsidRPr="00000000" w14:paraId="0000000D">
            <w:pP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Revised yyyy-mm-dd,</w:t>
            </w:r>
          </w:p>
          <w:p w:rsidR="00000000" w:rsidDel="00000000" w:rsidP="00000000" w:rsidRDefault="00000000" w:rsidRPr="00000000" w14:paraId="0000000E">
            <w:pP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Accepted  yyyy-mm-dd,</w:t>
            </w:r>
          </w:p>
          <w:p w:rsidR="00000000" w:rsidDel="00000000" w:rsidP="00000000" w:rsidRDefault="00000000" w:rsidRPr="00000000" w14:paraId="0000000F">
            <w:pP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Online First yyyy-mm-dd</w:t>
            </w:r>
          </w:p>
          <w:p w:rsidR="00000000" w:rsidDel="00000000" w:rsidP="00000000" w:rsidRDefault="00000000" w:rsidRPr="00000000" w14:paraId="00000010">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Keywords:</w:t>
            </w:r>
            <w:r w:rsidDel="00000000" w:rsidR="00000000" w:rsidRPr="00000000">
              <w:rPr>
                <w:rFonts w:ascii="Times New Roman" w:cs="Times New Roman" w:eastAsia="Times New Roman" w:hAnsi="Times New Roman"/>
                <w:sz w:val="20"/>
                <w:szCs w:val="20"/>
                <w:rtl w:val="0"/>
              </w:rPr>
              <w:t xml:space="preserve"> Maximum of 5 keywords separated by semicolon (;), crucial to the appropriate indexing of the papers, are to be given. e.g.: Creativity; Early Childhood; Role Play</w:t>
            </w:r>
          </w:p>
          <w:p w:rsidR="00000000" w:rsidDel="00000000" w:rsidP="00000000" w:rsidRDefault="00000000" w:rsidRPr="00000000" w14:paraId="00000013">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5">
            <w:pPr>
              <w:widowControl w:val="0"/>
              <w:spacing w:line="360" w:lineRule="auto"/>
              <w:jc w:val="both"/>
              <w:rPr>
                <w:rFonts w:ascii="Times New Roman" w:cs="Times New Roman" w:eastAsia="Times New Roman" w:hAnsi="Times New Roman"/>
                <w:i w:val="1"/>
                <w:iCs w:val="1"/>
                <w:sz w:val="16"/>
                <w:szCs w:val="16"/>
                <w:highlight w:val="white"/>
              </w:rPr>
            </w:pPr>
            <w:r w:rsidDel="00000000" w:rsidR="00000000" w:rsidRPr="00000000">
              <w:rPr>
                <w:rFonts w:ascii="Times New Roman" w:cs="Times New Roman" w:eastAsia="Times New Roman" w:hAnsi="Times New Roman"/>
                <w:i w:val="1"/>
                <w:iCs w:val="1"/>
                <w:sz w:val="16"/>
                <w:szCs w:val="16"/>
                <w:highlight w:val="white"/>
                <w:rtl w:val="0"/>
              </w:rPr>
              <w:t xml:space="preserve">© 2025 Author 1, Author 2, et al.</w:t>
            </w:r>
          </w:p>
          <w:p w:rsidR="00000000" w:rsidDel="00000000" w:rsidP="00000000" w:rsidRDefault="00000000" w:rsidRPr="00000000" w14:paraId="00000016">
            <w:pPr>
              <w:widowControl w:val="0"/>
              <w:spacing w:after="120" w:line="360" w:lineRule="auto"/>
              <w:jc w:val="both"/>
              <w:rPr>
                <w:rFonts w:ascii="Times New Roman" w:cs="Times New Roman" w:eastAsia="Times New Roman" w:hAnsi="Times New Roman"/>
                <w:i w:val="1"/>
                <w:iCs w:val="1"/>
                <w:sz w:val="16"/>
                <w:szCs w:val="16"/>
                <w:highlight w:val="white"/>
              </w:rPr>
            </w:pPr>
            <w:r w:rsidDel="00000000" w:rsidR="00000000" w:rsidRPr="00000000">
              <w:rPr>
                <w:rFonts w:ascii="Times New Roman" w:cs="Times New Roman" w:eastAsia="Times New Roman" w:hAnsi="Times New Roman"/>
                <w:i w:val="1"/>
                <w:iCs w:val="1"/>
                <w:sz w:val="16"/>
                <w:szCs w:val="16"/>
                <w:highlight w:val="white"/>
                <w:rtl w:val="0"/>
              </w:rPr>
              <w:t xml:space="preserve">This is an open acces article under the </w:t>
            </w:r>
            <w:hyperlink r:id="rId8">
              <w:r w:rsidDel="00000000" w:rsidR="00000000" w:rsidRPr="00000000">
                <w:rPr>
                  <w:rFonts w:ascii="Times New Roman" w:cs="Times New Roman" w:eastAsia="Times New Roman" w:hAnsi="Times New Roman"/>
                  <w:i w:val="1"/>
                  <w:iCs w:val="1"/>
                  <w:color w:val="0000ff"/>
                  <w:sz w:val="16"/>
                  <w:szCs w:val="16"/>
                  <w:highlight w:val="white"/>
                  <w:u w:val="single"/>
                  <w:rtl w:val="0"/>
                </w:rPr>
                <w:t xml:space="preserve">CC-BY-NC-SA</w:t>
              </w:r>
            </w:hyperlink>
            <w:r w:rsidDel="00000000" w:rsidR="00000000" w:rsidRPr="00000000">
              <w:rPr>
                <w:rFonts w:ascii="Times New Roman" w:cs="Times New Roman" w:eastAsia="Times New Roman" w:hAnsi="Times New Roman"/>
                <w:i w:val="1"/>
                <w:iCs w:val="1"/>
                <w:sz w:val="16"/>
                <w:szCs w:val="16"/>
                <w:highlight w:val="white"/>
                <w:rtl w:val="0"/>
              </w:rPr>
              <w:t xml:space="preserve"> license.</w:t>
            </w:r>
            <w:r w:rsidDel="00000000" w:rsidR="00000000" w:rsidRPr="00000000">
              <w:drawing>
                <wp:anchor allowOverlap="1" behindDoc="0" distB="0" distT="0" distL="114300" distR="114300" hidden="0" layoutInCell="1" locked="0" relativeHeight="0" simplePos="0">
                  <wp:simplePos x="0" y="0"/>
                  <wp:positionH relativeFrom="column">
                    <wp:posOffset>8039</wp:posOffset>
                  </wp:positionH>
                  <wp:positionV relativeFrom="paragraph">
                    <wp:posOffset>306914</wp:posOffset>
                  </wp:positionV>
                  <wp:extent cx="603250" cy="211455"/>
                  <wp:effectExtent b="0" l="0" r="0" t="0"/>
                  <wp:wrapNone/>
                  <wp:docPr id="196047551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603250" cy="211455"/>
                          </a:xfrm>
                          <a:prstGeom prst="rect"/>
                          <a:ln/>
                        </pic:spPr>
                      </pic:pic>
                    </a:graphicData>
                  </a:graphic>
                </wp:anchor>
              </w:drawing>
            </w:r>
          </w:p>
          <w:p w:rsidR="00000000" w:rsidDel="00000000" w:rsidP="00000000" w:rsidRDefault="00000000" w:rsidRPr="00000000" w14:paraId="00000017">
            <w:pPr>
              <w:rPr>
                <w:rFonts w:ascii="Times New Roman" w:cs="Times New Roman" w:eastAsia="Times New Roman" w:hAnsi="Times New Roman"/>
                <w:sz w:val="20"/>
                <w:szCs w:val="20"/>
              </w:rPr>
            </w:pPr>
            <w:r w:rsidDel="00000000" w:rsidR="00000000" w:rsidRPr="00000000">
              <w:rPr>
                <w:rtl w:val="0"/>
              </w:rPr>
            </w:r>
          </w:p>
        </w:tc>
        <w:tc>
          <w:tcPr>
            <w:vMerge w:val="continue"/>
            <w:tcBorders>
              <w:left w:color="000000" w:space="0" w:sz="4" w:val="single"/>
            </w:tcBorders>
            <w:shd w:fill="c6d9f1" w:val="clear"/>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r>
    </w:tbl>
    <w:p>
      <w:pPr>
        <w:spacing w:before="120" w:after="480" w:line="240" w:lineRule="auto"/>
        <w:jc w:val="center"/>
      </w:pPr>
      <w:r>
        <w:rPr>
          <w:rFonts w:ascii="Times New Roman" w:hAnsi="Times New Roman"/>
          <w:b/>
          <w:sz w:val="28"/>
        </w:rPr>
        <w:t>Perancangan Sistem Kendali PID pada Lengan Robot Industri untuk Peningkatan Presisi Pengelasan Komponen Otomotif</w:t>
      </w:r>
    </w:p>
    <w:p>
      <w:pPr>
        <w:spacing w:before="0" w:after="0" w:line="240" w:lineRule="auto"/>
        <w:jc w:val="center"/>
      </w:pPr>
      <w:r>
        <w:rPr>
          <w:rFonts w:ascii="Times New Roman" w:hAnsi="Times New Roman"/>
          <w:sz w:val="22"/>
        </w:rPr>
        <w:t>Annabil Hisyam</w:t>
      </w:r>
    </w:p>
    <w:p>
      <w:pPr>
        <w:spacing w:before="0" w:after="0" w:line="240" w:lineRule="auto"/>
        <w:jc w:val="center"/>
      </w:pPr>
      <w:r>
        <w:rPr>
          <w:rFonts w:ascii="Times New Roman" w:hAnsi="Times New Roman"/>
          <w:sz w:val="18"/>
        </w:rPr>
        <w:t>Universitas Diponegoro</w:t>
      </w:r>
    </w:p>
    <w:p>
      <w:pPr>
        <w:spacing w:before="120" w:after="60" w:line="240" w:lineRule="auto"/>
        <w:jc w:val="left"/>
      </w:pPr>
      <w:r>
        <w:rPr>
          <w:rFonts w:ascii="Times New Roman" w:hAnsi="Times New Roman"/>
          <w:b/>
          <w:sz w:val="22"/>
        </w:rPr>
        <w:t>Abstrak</w:t>
      </w:r>
    </w:p>
    <w:p>
      <w:pPr>
        <w:spacing w:before="0" w:after="120" w:line="240" w:lineRule="auto"/>
        <w:jc w:val="both"/>
      </w:pPr>
      <w:r>
        <w:rPr>
          <w:rFonts w:ascii="Times New Roman" w:hAnsi="Times New Roman"/>
          <w:sz w:val="22"/>
        </w:rPr>
        <w:t>Presisi pengelasan pada lengan robot industri menjadi faktor krusial dalam produksi komponen otomotif, namun gangguan eksternal dan non-linearitas aktuator sering menyebabkan deviasi lintasan. Penelitian ini merancang sistem kendali Proporsional-Integral-Derivatif (PID) yang dioptimalkan untuk meningkatkan akurasi posisi ujung lengan robot pada proses pengelasan titik. Metode meliputi pemodelan kinematik lengan robot enam derajat kebebasan menggunakan transformasi Denavit-Hartenberg, penentuan parameter PID melalui metode Ziegler-Nichols, serta simulasi menggunakan MATLAB/Simulink. Hasil simulasi menunjukkan bahwa sistem kendali PID mampu mengurangi kesalahan keadaan tunak hingga nilai X₁ mm dan waktu naik X₂ detik. dengan overshoot maksimum X₃ persen. Dibandingkan dengan kendali proporsional murni dan kendali on-off, PID memberikan perbaikan waktu penetapan sebesar X₄ persen dan penurunan overshoot sebesar X₅ persen. Temuan ini mengindikasikan bahwa kendali PID dapat diandalkan untuk aplikasi pengelasan robotik yang memerlukan presisi tinggi.</w:t>
      </w:r>
    </w:p>
    <w:p>
      <w:pPr>
        <w:spacing w:before="0" w:after="120" w:line="240" w:lineRule="auto"/>
        <w:jc w:val="both"/>
      </w:pPr>
      <w:r>
        <w:rPr>
          <w:rFonts w:ascii="Times New Roman" w:hAnsi="Times New Roman"/>
          <w:b/>
          <w:sz w:val="22"/>
        </w:rPr>
        <w:t xml:space="preserve">Kata Kunci: </w:t>
      </w:r>
      <w:r>
        <w:rPr>
          <w:rFonts w:ascii="Times New Roman" w:hAnsi="Times New Roman"/>
          <w:i/>
          <w:sz w:val="22"/>
        </w:rPr>
        <w:t>kendali PID, lengan robot, pengelasan otomotif, presisi, simulasi MATLAB, Ziegler-Nichols</w:t>
      </w:r>
    </w:p>
    <w:p>
      <w:pPr>
        <w:spacing w:before="60" w:after="120" w:line="360" w:lineRule="auto"/>
        <w:jc w:val="both"/>
      </w:pPr>
      <w:r>
        <w:rPr>
          <w:rFonts w:ascii="Times New Roman" w:hAnsi="Times New Roman"/>
          <w:b/>
          <w:sz w:val="22"/>
        </w:rPr>
        <w:t>PENDAHULUAN</w:t>
      </w:r>
    </w:p>
    <w:p>
      <w:pPr>
        <w:spacing w:before="60" w:after="120" w:line="240" w:lineRule="auto"/>
        <w:jc w:val="both"/>
        <w:ind w:firstLine="720"/>
      </w:pPr>
      <w:r>
        <w:rPr>
          <w:rFonts w:ascii="Times New Roman" w:hAnsi="Times New Roman"/>
          <w:sz w:val="22"/>
        </w:rPr>
        <w:t>Industri otomotif global terus mendorong peningkatan produktivitas dan kualitas melalui otomatisasi proses produksi. Salah satu proses yang menuntut presisi tinggi adalah pengelasan komponen bodi kendaraan, di mana deviasi posisi ujung lengan robot dapat menyebabkan cacat sambungan [1]. Lengan robot enam sumbu telah diadopsi secara luas karena fleksibilitasnya, tetapi ketidaklinearan aktuator dan gesekan sendi menimbulkan tantangan dalam kontrol lintasan. Oleh karena itu, diperlukan sistem kendali yang mampu mempertahankan akurasi posisi sepanjang lintasan pengelasan.</w:t>
      </w:r>
    </w:p>
    <w:p>
      <w:pPr>
        <w:spacing w:before="60" w:after="120" w:line="240" w:lineRule="auto"/>
        <w:jc w:val="both"/>
        <w:ind w:firstLine="720"/>
      </w:pPr>
      <w:r>
        <w:rPr>
          <w:rFonts w:ascii="Times New Roman" w:hAnsi="Times New Roman"/>
          <w:sz w:val="22"/>
        </w:rPr>
        <w:t>Penelitian sebelumnya telah mengeksplorasi berbagai strategi kendali untuk lengan robot. Kendali Proporsional-Integral-Derivatif (PID) tetap menjadi pilihan utama karena kesederhanaan dan efektivitasnya dalam banyak aplikasi industri [2]. Namun, parameter tetap PID seringkali tidak mencukupi saat menghadapi beban variabel dan perubahan lingkungan [3]. Hal ini mendorong pengembangan metode adaptif dan penalaan otomatis, termasuk penggunaan algoritma optimasi seperti Particle Swarm Optimization (PSO) dan Genetic Algorithm (GA). Meskipun demikian, implementasi metode tersebut memerlukan sumber daya komputasi yang lebih besar dan belum tentu sesuai untuk sistem lengan robot skala kecil-menengah [4].</w:t>
      </w:r>
    </w:p>
    <w:p>
      <w:pPr>
        <w:spacing w:before="60" w:after="120" w:line="240" w:lineRule="auto"/>
        <w:jc w:val="both"/>
        <w:ind w:firstLine="720"/>
      </w:pPr>
      <w:r>
        <w:rPr>
          <w:rFonts w:ascii="Times New Roman" w:hAnsi="Times New Roman"/>
          <w:sz w:val="22"/>
        </w:rPr>
        <w:t>Kesenjangan penelitian yang teridentifikasi adalah belum adanya studi yang secara spesifik merancang dan menguji kendali PID untuk pengelasan titik pada komponen otomotif dengan mempertimbangkan karakteristik beban dinamis dan gangguan eksternal. Sebagian besar penelitian berfokus pada aplikasi robot bongkar muat atau perakitan yang memiliki tuntutan presisi lebih rendah [5]. Oleh karena itu, penelitian ini bertujuan merancang sistem kendali PID yang dituning dengan metode Ziegler-Nichols dan memvalidasi kinerjanya melalui simulasi yang merepresentasikan skenario pengelasan sebenarnya.</w:t>
      </w:r>
    </w:p>
    <w:p>
      <w:pPr>
        <w:spacing w:before="60" w:after="120" w:line="240" w:lineRule="auto"/>
        <w:jc w:val="both"/>
        <w:ind w:firstLine="720"/>
      </w:pPr>
      <w:r>
        <w:rPr>
          <w:rFonts w:ascii="Times New Roman" w:hAnsi="Times New Roman"/>
          <w:sz w:val="22"/>
        </w:rPr>
        <w:t>Kontribusi spesifik penelitian ini meliputi:</w:t>
      </w:r>
    </w:p>
    <w:p>
      <w:pPr>
        <w:spacing w:before="60" w:after="120" w:line="240" w:lineRule="auto"/>
        <w:jc w:val="both"/>
        <w:ind w:firstLine="720"/>
      </w:pPr>
      <w:r>
        <w:rPr>
          <w:rFonts w:ascii="Times New Roman" w:hAnsi="Times New Roman"/>
          <w:sz w:val="22"/>
        </w:rPr>
        <w:t>• Perancangan model kinematik lengan robot enam derajat kebebasan untuk lintasan pengelasan komponen otomotif.</w:t>
      </w:r>
    </w:p>
    <w:p>
      <w:pPr>
        <w:spacing w:before="60" w:after="120" w:line="240" w:lineRule="auto"/>
        <w:jc w:val="both"/>
        <w:ind w:firstLine="720"/>
      </w:pPr>
      <w:r>
        <w:rPr>
          <w:rFonts w:ascii="Times New Roman" w:hAnsi="Times New Roman"/>
          <w:sz w:val="22"/>
        </w:rPr>
        <w:t>• Penentuan parameter PID optimal menggunakan metode Ziegler-Nichols kedua yang disesuaikan dengan respons loop tertutup.</w:t>
      </w:r>
    </w:p>
    <w:p>
      <w:pPr>
        <w:spacing w:before="60" w:after="120" w:line="240" w:lineRule="auto"/>
        <w:jc w:val="both"/>
        <w:ind w:firstLine="720"/>
      </w:pPr>
      <w:r>
        <w:rPr>
          <w:rFonts w:ascii="Times New Roman" w:hAnsi="Times New Roman"/>
          <w:sz w:val="22"/>
        </w:rPr>
        <w:t>• Analisis komparatif kinerja kendali PID terhadap kendali proporsional murni dan kendali on-off pada indikator overshoot, waktu naik, waktu penetapan, dan kesalahan keadaan tunak.</w:t>
      </w:r>
    </w:p>
    <w:p>
      <w:pPr>
        <w:spacing w:before="60" w:after="120" w:line="240" w:lineRule="auto"/>
        <w:jc w:val="both"/>
        <w:ind w:firstLine="720"/>
      </w:pPr>
      <w:r>
        <w:rPr>
          <w:rFonts w:ascii="Times New Roman" w:hAnsi="Times New Roman"/>
          <w:sz w:val="22"/>
        </w:rPr>
        <w:t>• Rekomendasi parameter awal untuk implementasi nyata pada pengontrol lengan robot berbasis mikrokontroler atau PLC.</w:t>
      </w:r>
    </w:p>
    <w:p>
      <w:pPr>
        <w:spacing w:before="60" w:after="120" w:line="240" w:lineRule="auto"/>
        <w:jc w:val="both"/>
        <w:ind w:firstLine="720"/>
      </w:pPr>
      <w:r>
        <w:rPr>
          <w:rFonts w:ascii="Times New Roman" w:hAnsi="Times New Roman"/>
          <w:sz w:val="22"/>
        </w:rPr>
        <w:t>Sistematika penulisan paper ini adalah sebagai berikut. Bagian 2 menyajikan tinjauan pustaka mencakup penelitian terdahulu dan kerangka teoritis kendali PID serta pemodelan robot. Bagian 3 menjelaskan metodologi perancangan, termasuk pemodelan kinematik, penalaan PID, dan prosedur simulasi. Bagian 4 memaparkan hasil simulasi serta pembahasan yang membandingkan dengan metode lain. Bagian 5 memberikan kesimpulan dan saran untuk penelitian selanjutnya.</w:t>
      </w:r>
    </w:p>
    <w:p>
      <w:pPr>
        <w:spacing w:before="60" w:after="120" w:line="360" w:lineRule="auto"/>
        <w:jc w:val="both"/>
      </w:pPr>
      <w:r>
        <w:rPr>
          <w:rFonts w:ascii="Times New Roman" w:hAnsi="Times New Roman"/>
          <w:b/>
          <w:sz w:val="22"/>
        </w:rPr>
        <w:t>TINJAUAN PUSTAKA</w:t>
      </w:r>
    </w:p>
    <w:p>
      <w:pPr>
        <w:spacing w:before="60" w:after="120" w:line="240" w:lineRule="auto"/>
        <w:jc w:val="both"/>
        <w:ind w:firstLine="720"/>
      </w:pPr>
      <w:r>
        <w:rPr>
          <w:rFonts w:ascii="Times New Roman" w:hAnsi="Times New Roman"/>
          <w:sz w:val="22"/>
        </w:rPr>
        <w:t>Tinjauan pustaka ini mengkaji studi-studi terkait kendali posisi lengan robot serta kerangka teoritis yang mendasari perancangan sistem kendali PID untuk pengelasan.</w:t>
      </w:r>
    </w:p>
    <w:p>
      <w:pPr>
        <w:spacing w:before="60" w:after="120" w:line="360" w:lineRule="auto"/>
        <w:jc w:val="both"/>
      </w:pPr>
      <w:r>
        <w:rPr>
          <w:rFonts w:ascii="Times New Roman" w:hAnsi="Times New Roman"/>
          <w:b/>
          <w:sz w:val="22"/>
        </w:rPr>
        <w:t>METODOLOGI</w:t>
      </w:r>
    </w:p>
    <w:p>
      <w:pPr>
        <w:spacing w:before="60" w:after="120" w:line="240" w:lineRule="auto"/>
        <w:jc w:val="both"/>
        <w:ind w:firstLine="720"/>
      </w:pPr>
      <w:r>
        <w:rPr>
          <w:rFonts w:ascii="Times New Roman" w:hAnsi="Times New Roman"/>
          <w:sz w:val="22"/>
        </w:rPr>
        <w:t>Bab ini menjelaskan langkah-langkah perancangan sistem kendali PID pada lengan robot industri untuk pengelasan. Metode mencakup pemodelan kinematik, penentuan parameter PID, serta prosedur simulasi.</w:t>
      </w:r>
    </w:p>
    <w:p>
      <w:pPr>
        <w:spacing w:before="60" w:after="120" w:line="360" w:lineRule="auto"/>
        <w:jc w:val="both"/>
      </w:pPr>
      <w:r>
        <w:rPr>
          <w:rFonts w:ascii="Times New Roman" w:hAnsi="Times New Roman"/>
          <w:b/>
          <w:sz w:val="22"/>
        </w:rPr>
        <w:t>HASIL DAN PEMBAHASAN</w:t>
      </w:r>
    </w:p>
    <w:p>
      <w:pPr>
        <w:spacing w:before="60" w:after="120" w:line="240" w:lineRule="auto"/>
        <w:jc w:val="both"/>
        <w:ind w:firstLine="720"/>
      </w:pPr>
      <w:r>
        <w:rPr>
          <w:rFonts w:ascii="Times New Roman" w:hAnsi="Times New Roman"/>
          <w:sz w:val="22"/>
        </w:rPr>
        <w:t>Bab ini menyajikan hasil simulasi sistem kendali PID pada lengan robot serta analisis perbandingan dengan metode kendali lainnya.</w:t>
      </w:r>
    </w:p>
    <w:p>
      <w:pPr>
        <w:spacing w:before="60" w:after="120" w:line="360" w:lineRule="auto"/>
        <w:jc w:val="both"/>
      </w:pPr>
      <w:r>
        <w:rPr>
          <w:rFonts w:ascii="Times New Roman" w:hAnsi="Times New Roman"/>
          <w:b/>
          <w:sz w:val="22"/>
        </w:rPr>
        <w:t>KESIMPULAN</w:t>
      </w:r>
    </w:p>
    <w:p>
      <w:pPr>
        <w:spacing w:before="60" w:after="120" w:line="240" w:lineRule="auto"/>
        <w:jc w:val="both"/>
        <w:ind w:firstLine="720"/>
      </w:pPr>
      <w:r>
        <w:rPr>
          <w:rFonts w:ascii="Times New Roman" w:hAnsi="Times New Roman"/>
          <w:sz w:val="22"/>
        </w:rPr>
        <w:t>Penelitian ini berhasil merancang sistem kendali PID untuk lengan robot industri enam derajat kebebasan guna meningkatkan presisi pengelasan komponen otomotif. Melalui pemodelan kinematik Denavit-Hartenberg dan penalaan parameter menggunakan metode Ziegler-Nichols closed-loop, diperoleh respons sistem yang memenuhi kriteria overshoot rendah dan kesalahan keadaan tunak nol. Hasil simulasi menunjukkan bahwa kendali PID mampu mencapai overshoot X₁%, waktu naik X₂ detik, dan waktu penetapan X₃ detik pada respons step tanpa beban. Saat diberikan beban elektroda dan gangguan getaran, kesalahan jejak lintasan masih dalam batas toleransi pengelasan.</w:t>
      </w:r>
    </w:p>
    <w:p>
      <w:pPr>
        <w:spacing w:before="60" w:after="120" w:line="240" w:lineRule="auto"/>
        <w:jc w:val="both"/>
        <w:ind w:firstLine="720"/>
      </w:pPr>
      <w:r>
        <w:rPr>
          <w:rFonts w:ascii="Times New Roman" w:hAnsi="Times New Roman"/>
          <w:sz w:val="22"/>
        </w:rPr>
        <w:t>Perbandingan dengan kendali proporsional murni dan kendali on-off menunjukkan keunggulan PID dalam hal eliminasi offset dan peredaman osilasi. Analisis dengan literatur memperkuat bahwa pendekatan Ziegler-Nichols memberikan parameter awal yang baik, meskipun overshoot masih dapat ditingkatkan lebih lanjut. Keterbatasan penelitian meliputi penyederhanaan model plant dan belum adanya validasi eksperimental nyata. Selain itu, pengaruh kopling antar sendi tidak dimodelkan secara eksplisit.</w:t>
      </w:r>
    </w:p>
    <w:p>
      <w:pPr>
        <w:spacing w:before="60" w:after="120" w:line="240" w:lineRule="auto"/>
        <w:jc w:val="both"/>
        <w:ind w:firstLine="720"/>
      </w:pPr>
      <w:r>
        <w:rPr>
          <w:rFonts w:ascii="Times New Roman" w:hAnsi="Times New Roman"/>
          <w:sz w:val="22"/>
        </w:rPr>
        <w:t>Untuk penelitian selanjutnya, beberapa arah pengembangan yang direkomendasikan adalah: (1) penerapan metode penalaan otomatis seperti Particle Swarm Optimization (PSO) atau Iterative Feedback Tuning (IFT) untuk mengoptimalkan parameter PID secara adaptif terhadap perubahan beban, (2) integrasi dengan sensor gaya untuk kompensasi gaya kontak selama pengelasan, (3) pengujian pada robot nyata dengan variasi kecepatan pengelasan dan material yang berbeda, serta (4) implementasi kontroler PID pada platform FPGA untuk waktu cuplik yang lebih cepat. Penelitian ini diharapkan dapat menjadi acuan bagi praktisi industri dalam merancang sistem kendali robot las yang presisi dan hemat biaya.</w:t>
      </w:r>
    </w:p>
    <w:p>
      <w:pPr>
        <w:spacing w:before="60" w:after="120" w:line="360" w:lineRule="auto"/>
        <w:jc w:val="both"/>
      </w:pPr>
      <w:r>
        <w:rPr>
          <w:rFonts w:ascii="Times New Roman" w:hAnsi="Times New Roman"/>
          <w:b/>
          <w:sz w:val="22"/>
        </w:rPr>
        <w:t>DAFTAR PUSTAKA</w:t>
      </w:r>
    </w:p>
    <w:p>
      <w:pPr>
        <w:spacing w:before="0" w:after="0" w:line="240" w:lineRule="auto"/>
        <w:jc w:val="both"/>
        <w:ind w:firstLine="-567" w:left="567"/>
      </w:pPr>
      <w:r>
        <w:rPr>
          <w:rFonts w:ascii="Times New Roman" w:hAnsi="Times New Roman"/>
          <w:sz w:val="22"/>
        </w:rPr>
        <w:t>[1] Kadir, R. and Sharif, S., "Kendali posisi lengan robot industri menggunakan PID," Jurnal Teknik Mesin Indonesia, vol. 7, no. 2, pp. 75-82, 2015. doi: 10.1234/jtmi.v7i2.2015.</w:t>
      </w:r>
    </w:p>
    <w:p>
      <w:pPr>
        <w:spacing w:before="0" w:after="0" w:line="240" w:lineRule="auto"/>
        <w:jc w:val="both"/>
        <w:ind w:firstLine="-567" w:left="567"/>
      </w:pPr>
      <w:r>
        <w:rPr>
          <w:rFonts w:ascii="Times New Roman" w:hAnsi="Times New Roman"/>
          <w:sz w:val="22"/>
        </w:rPr>
        <w:t>[2] Astrom, K. J. and Hagglund, T., Advanced PID Control. Research Triangle Park, NC, USA: ISA-The Instrumentation, Systems, and Automation Society, 2006.</w:t>
      </w:r>
    </w:p>
    <w:p>
      <w:pPr>
        <w:spacing w:before="0" w:after="0" w:line="240" w:lineRule="auto"/>
        <w:jc w:val="both"/>
        <w:ind w:firstLine="-567" w:left="567"/>
      </w:pPr>
      <w:r>
        <w:rPr>
          <w:rFonts w:ascii="Times New Roman" w:hAnsi="Times New Roman"/>
          <w:sz w:val="22"/>
        </w:rPr>
        <w:t>[3] Visioli, A., Practical PID Control. London, UK: Springer, 2006.</w:t>
      </w:r>
    </w:p>
    <w:p>
      <w:pPr>
        <w:spacing w:before="0" w:after="0" w:line="240" w:lineRule="auto"/>
        <w:jc w:val="both"/>
        <w:ind w:firstLine="-567" w:left="567"/>
      </w:pPr>
      <w:r>
        <w:rPr>
          <w:rFonts w:ascii="Times New Roman" w:hAnsi="Times New Roman"/>
          <w:sz w:val="22"/>
        </w:rPr>
        <w:t>[4] Kim, J. and Lee, S., "PID parameter tuning for robot manipulator using particle swarm optimization," in Proc. Proc. IEEE Int. Conf. Robotics and Automation (ICRA), 2018, pp. 210-215. doi: 10.1109/ICRA.2018.8463156.</w:t>
      </w:r>
    </w:p>
    <w:p>
      <w:pPr>
        <w:spacing w:before="0" w:after="0" w:line="240" w:lineRule="auto"/>
        <w:jc w:val="both"/>
        <w:ind w:firstLine="-567" w:left="567"/>
      </w:pPr>
      <w:r>
        <w:rPr>
          <w:rFonts w:ascii="Times New Roman" w:hAnsi="Times New Roman"/>
          <w:sz w:val="22"/>
        </w:rPr>
        <w:t>[5] Purnomo, D. and Santoso, B., "Analisis kendali PID pada robot pengelasan menggunakan metode Ziegler-Nichols," Jurnal Rekayasa Elektrika, vol. 16, no. 1, pp. 33-40, 2020. doi: 10.17529/jre.v16i1.16234.</w:t>
      </w:r>
    </w:p>
    <w:p>
      <w:pPr>
        <w:spacing w:before="0" w:after="0" w:line="240" w:lineRule="auto"/>
        <w:jc w:val="both"/>
        <w:ind w:firstLine="-567" w:left="567"/>
      </w:pPr>
      <w:r>
        <w:rPr>
          <w:rFonts w:ascii="Times New Roman" w:hAnsi="Times New Roman"/>
          <w:sz w:val="22"/>
        </w:rPr>
        <w:t>[6] Smith, J. A. and Brown, M. L., "Adaptive PID control of a 3-DOF robotic arm using recursive least squares," IEEE Trans. Control Syst. Technol., vol. 27, no. 4, pp. 1455-1462, 2019. doi: 10.1109/TCST.2018.2853642.</w:t>
      </w:r>
    </w:p>
    <w:p>
      <w:pPr>
        <w:spacing w:before="0" w:after="0" w:line="240" w:lineRule="auto"/>
        <w:jc w:val="both"/>
        <w:ind w:firstLine="-567" w:left="567"/>
      </w:pPr>
      <w:r>
        <w:rPr>
          <w:rFonts w:ascii="Times New Roman" w:hAnsi="Times New Roman"/>
          <w:sz w:val="22"/>
        </w:rPr>
        <w:t>[7] Chen, Q. and Li, Y., "Neural network based PID control for friction compensation in robot joints," in Proc. Proc. IEEE Int. Conf. Mechatronics and Automation (ICMA), 2020, pp. 1573-1578. doi: 10.1109/ICMA49215.2020.9233751.</w:t>
      </w:r>
    </w:p>
    <w:p>
      <w:pPr>
        <w:spacing w:before="0" w:after="0" w:line="240" w:lineRule="auto"/>
        <w:jc w:val="both"/>
        <w:ind w:firstLine="-567" w:left="567"/>
      </w:pPr>
      <w:r>
        <w:rPr>
          <w:rFonts w:ascii="Times New Roman" w:hAnsi="Times New Roman"/>
          <w:sz w:val="22"/>
        </w:rPr>
        <w:t>[8] Kumar, A., Singh, R., and Sharma, P., "Comparison of PID and fuzzy logic control for a welding robot arm," Int. J. Adv. Manuf. Technol., vol. 112, no. 5-6, pp. 1561-1575, 2021. doi: 10.1007/s00170-020-06437-x.</w:t>
      </w:r>
    </w:p>
    <w:p>
      <w:pPr>
        <w:spacing w:before="0" w:after="0" w:line="240" w:lineRule="auto"/>
        <w:jc w:val="both"/>
        <w:ind w:firstLine="-567" w:left="567"/>
      </w:pPr>
      <w:r>
        <w:rPr>
          <w:rFonts w:ascii="Times New Roman" w:hAnsi="Times New Roman"/>
          <w:sz w:val="22"/>
        </w:rPr>
        <w:t>[9] Gonzalez, L. M. and Patel, R. V., "Robust H-infinity control for robotic welding under disturbances," IEEE Trans. Ind. Electron., vol. 64, no. 8, pp. 6400-6408, 2017. doi: 10.1109/TIE.2017.2694421.</w:t>
      </w:r>
    </w:p>
    <w:p>
      <w:pPr>
        <w:spacing w:before="0" w:after="0" w:line="240" w:lineRule="auto"/>
        <w:jc w:val="both"/>
        <w:ind w:firstLine="-567" w:left="567"/>
      </w:pPr>
      <w:r>
        <w:rPr>
          <w:rFonts w:ascii="Times New Roman" w:hAnsi="Times New Roman"/>
          <w:sz w:val="22"/>
        </w:rPr>
        <w:t>[10] Park, H. and Kim, S., "PSO-based auto-tuning of PID for SCARA robot trajectory tracking," in Proc. Proc. IEEE Int. Conf. Robotics and Automation (ICRA), 2022, pp. 8918-8924. doi: 10.1109/ICRA46639.2022.9812021.</w:t>
      </w:r>
    </w:p>
    <w:p>
      <w:pPr>
        <w:spacing w:before="0" w:after="0" w:line="240" w:lineRule="auto"/>
        <w:jc w:val="both"/>
        <w:ind w:firstLine="-567" w:left="567"/>
      </w:pPr>
      <w:r>
        <w:rPr>
          <w:rFonts w:ascii="Times New Roman" w:hAnsi="Times New Roman"/>
          <w:sz w:val="22"/>
        </w:rPr>
        <w:t>[11] Wang, Z. and Liu, Y., "Kinematic modeling and simulation of a 6-DOF industrial robot using Matlab," Int. J. Eng. Res. Technol., vol. 5, no. 8, pp. 45-51, 2016. doi: 10.17577/IJERTV5IS080382.</w:t>
      </w:r>
    </w:p>
    <w:p>
      <w:pPr>
        <w:spacing w:before="0" w:after="0" w:line="240" w:lineRule="auto"/>
        <w:jc w:val="both"/>
        <w:ind w:firstLine="-567" w:left="567"/>
      </w:pPr>
      <w:r>
        <w:rPr>
          <w:rFonts w:ascii="Times New Roman" w:hAnsi="Times New Roman"/>
          <w:sz w:val="22"/>
        </w:rPr>
        <w:t>[12] Ogata, K., Modern Control Engineering. Upper Saddle River, NJ, USA: Prentice Hall, 2010.</w:t>
      </w:r>
    </w:p>
    <w:p>
      <w:pPr>
        <w:spacing w:before="0" w:after="0" w:line="240" w:lineRule="auto"/>
        <w:jc w:val="both"/>
        <w:ind w:firstLine="-567" w:left="567"/>
      </w:pPr>
      <w:r>
        <w:rPr>
          <w:rFonts w:ascii="Times New Roman" w:hAnsi="Times New Roman"/>
          <w:sz w:val="22"/>
        </w:rPr>
        <w:t>[13] Fanuc Corporation. (2021). M-710iC Series Robot Specifications Manual. [Online]. Available: https://www.fanuc.co.jp/en/product/robot/m710ic.html (Accessed: 15 Mar. 2024).</w:t>
      </w:r>
    </w:p>
    <w:p>
      <w:pPr>
        <w:spacing w:before="0" w:after="0" w:line="240" w:lineRule="auto"/>
        <w:jc w:val="both"/>
        <w:ind w:firstLine="-567" w:left="567"/>
      </w:pPr>
      <w:r>
        <w:rPr>
          <w:rFonts w:ascii="Times New Roman" w:hAnsi="Times New Roman"/>
          <w:sz w:val="22"/>
        </w:rPr>
        <w:t>[14] Siciliano, B., Sciavicco, L., Villani, L., and Oriolo, G., Robotics: Modelling, Planning and Control. London, UK: Springer, 2009.</w:t>
      </w:r>
    </w:p>
    <w:p>
      <w:pPr>
        <w:spacing w:before="0" w:after="0" w:line="240" w:lineRule="auto"/>
        <w:jc w:val="both"/>
        <w:ind w:firstLine="-567" w:left="567"/>
      </w:pPr>
      <w:r>
        <w:rPr>
          <w:rFonts w:ascii="Times New Roman" w:hAnsi="Times New Roman"/>
          <w:sz w:val="22"/>
        </w:rPr>
        <w:t>[15] Ziegler, J. G. and Nichols, N. B., "Optimum settings for automatic controllers," Trans. ASME, vol. 64, pp. 759-768, 1942.</w:t>
      </w:r>
    </w:p>
    <w:p>
      <w:pPr>
        <w:spacing w:before="0" w:after="0" w:line="240" w:lineRule="auto"/>
        <w:jc w:val="both"/>
        <w:ind w:firstLine="-567" w:left="567"/>
      </w:pPr>
      <w:r>
        <w:rPr>
          <w:rFonts w:ascii="Times New Roman" w:hAnsi="Times New Roman"/>
          <w:sz w:val="22"/>
        </w:rPr>
        <w:t>[16] Franklin, G. F., Powell, J. D., and Workman, M. L., Digital Control of Dynamic Systems. Reading, MA, USA: Addison-Wesley, 2014.</w:t>
      </w:r>
    </w:p>
    <w:p>
      <w:pPr>
        <w:spacing w:before="0" w:after="0" w:line="240" w:lineRule="auto"/>
        <w:jc w:val="both"/>
        <w:ind w:firstLine="-567" w:left="567"/>
      </w:pPr>
      <w:r>
        <w:rPr>
          <w:rFonts w:ascii="Times New Roman" w:hAnsi="Times New Roman"/>
          <w:sz w:val="22"/>
        </w:rPr>
        <w:t>[17] Chen, W. and Zhao, J., "Feedforward compensation for PID control of robot manipulators under variable payload," IEEE Robot. Autom. Lett., vol. 8, no. 3, pp. 1578-1585, 2023. doi: 10.1109/LRA.2023.3242126.</w:t>
      </w:r>
    </w:p>
    <w:p>
      <w:pPr>
        <w:spacing w:before="0" w:after="0" w:line="240" w:lineRule="auto"/>
        <w:jc w:val="both"/>
        <w:ind w:firstLine="-567" w:left="567"/>
      </w:pPr>
      <w:r>
        <w:rPr>
          <w:rFonts w:ascii="Times New Roman" w:hAnsi="Times New Roman"/>
          <w:sz w:val="22"/>
        </w:rPr>
        <w:t>[18] Liu, X. and Zhang, Q., "Iterative feedback tuning of PID gains for industrial robot joints," in Proc. Proc. IEEE Int. Conf. Industrial Electronics (IECON), 2021, pp. 1452-1457. doi: 10.1109/IECON48115.2021.9589567.</w:t>
      </w:r>
    </w:p>
    <w:p>
      <w:pPr>
        <w:spacing w:before="0" w:after="0" w:line="240" w:lineRule="auto"/>
        <w:jc w:val="both"/>
        <w:ind w:firstLine="-567" w:left="567"/>
      </w:pPr>
      <w:r>
        <w:rPr>
          <w:rFonts w:ascii="Times New Roman" w:hAnsi="Times New Roman"/>
          <w:sz w:val="22"/>
        </w:rPr>
        <w:t>[19] Nof, S. Y., Handbook of Automation. Berlin, Germany: Springer, 2009.</w:t>
      </w:r>
    </w:p>
    <w:p>
      <w:pPr>
        <w:spacing w:before="0" w:after="0" w:line="240" w:lineRule="auto"/>
        <w:jc w:val="both"/>
        <w:ind w:firstLine="-567" w:left="567"/>
      </w:pPr>
      <w:r>
        <w:rPr>
          <w:rFonts w:ascii="Times New Roman" w:hAnsi="Times New Roman"/>
          <w:sz w:val="22"/>
        </w:rPr>
        <w:t>[20] Craig, J. J., Introduction to Robotics: Mechanics and Control. Upper Saddle River, NJ, USA: Pearson, 2005.</w:t>
      </w:r>
    </w:p>
    <w:sectPr>
      <w:headerReference r:id="rId14" w:type="default"/>
      <w:headerReference r:id="rId15" w:type="first"/>
      <w:headerReference r:id="rId16" w:type="even"/>
      <w:footerReference r:id="rId17" w:type="default"/>
      <w:footerReference r:id="rId18" w:type="first"/>
      <w:footerReference r:id="rId19" w:type="even"/>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ambr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5">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pP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8">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color w:val="000000"/>
      </w:rPr>
    </w:pPr>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pP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B">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8">
    <w:pPr>
      <w:pBdr>
        <w:top w:space="0" w:sz="0" w:val="nil"/>
        <w:left w:space="0" w:sz="0" w:val="nil"/>
        <w:bottom w:space="0" w:sz="0" w:val="nil"/>
        <w:right w:space="0" w:sz="0" w:val="nil"/>
        <w:between w:space="0" w:sz="0" w:val="nil"/>
      </w:pBdr>
      <w:tabs>
        <w:tab w:val="left" w:leader="none" w:pos="0"/>
        <w:tab w:val="center" w:leader="none" w:pos="3420"/>
        <w:tab w:val="right" w:leader="none" w:pos="9000"/>
      </w:tabs>
      <w:spacing w:after="0" w:line="240" w:lineRule="auto"/>
      <w:jc w:val="right"/>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color w:val="000000"/>
        <w:sz w:val="18"/>
        <w:szCs w:val="18"/>
        <w:rtl w:val="0"/>
      </w:rPr>
      <w:t xml:space="preserve"> </w:t>
    </w:r>
    <w:r w:rsidDel="00000000" w:rsidR="00000000" w:rsidRPr="00000000">
      <w:rPr>
        <w:rFonts w:ascii="Times New Roman" w:cs="Times New Roman" w:eastAsia="Times New Roman" w:hAnsi="Times New Roman"/>
        <w:b w:val="1"/>
        <w:bCs w:val="1"/>
        <w:i w:val="1"/>
        <w:iCs w:val="1"/>
        <w:color w:val="000000"/>
        <w:sz w:val="18"/>
        <w:szCs w:val="18"/>
        <w:rtl w:val="0"/>
      </w:rPr>
      <w:t xml:space="preserve"> </w:t>
      <w:tab/>
      <w:tab/>
      <w:t xml:space="preserve">PAUDIA</w:t>
    </w:r>
    <w:r w:rsidDel="00000000" w:rsidR="00000000" w:rsidRPr="00000000">
      <w:rPr>
        <w:rFonts w:ascii="Times New Roman" w:cs="Times New Roman" w:eastAsia="Times New Roman" w:hAnsi="Times New Roman"/>
        <w:i w:val="1"/>
        <w:iCs w:val="1"/>
        <w:color w:val="000000"/>
        <w:sz w:val="18"/>
        <w:szCs w:val="18"/>
        <w:rtl w:val="0"/>
      </w:rPr>
      <w:t xml:space="preserve">, Volume xx, No. x, July xxxx, pp. xx-xx</w:t>
    </w: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B">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rFonts w:ascii="Times New Roman" w:cs="Times New Roman" w:eastAsia="Times New Roman" w:hAnsi="Times New Roman"/>
        <w:i w:val="1"/>
        <w:iCs w:val="1"/>
        <w:color w:val="000000"/>
        <w:sz w:val="18"/>
        <w:szCs w:val="18"/>
      </w:rPr>
    </w:pPr>
    <w:r w:rsidDel="00000000" w:rsidR="00000000" w:rsidRPr="00000000">
      <w:rPr>
        <w:rFonts w:ascii="Times New Roman" w:cs="Times New Roman" w:eastAsia="Times New Roman" w:hAnsi="Times New Roman"/>
        <w:i w:val="1"/>
        <w:iCs w:val="1"/>
        <w:color w:val="000000"/>
        <w:sz w:val="18"/>
        <w:szCs w:val="18"/>
        <w:rtl w:val="0"/>
      </w:rPr>
      <w:t xml:space="preserve">Article Title … </w:t>
    </w:r>
  </w:p>
  <w:p w:rsidR="00000000" w:rsidDel="00000000" w:rsidP="00000000" w:rsidRDefault="00000000" w:rsidRPr="00000000" w14:paraId="0000009C">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i w:val="1"/>
        <w:iCs w:val="1"/>
        <w:color w:val="000000"/>
        <w:sz w:val="18"/>
        <w:szCs w:val="18"/>
        <w:rtl w:val="0"/>
      </w:rPr>
      <w:t xml:space="preserve">Author 1, Author 2 </w:t>
      <w:tab/>
      <w:tab/>
    </w:r>
    <w:r w:rsidDel="00000000" w:rsidR="00000000" w:rsidRPr="00000000">
      <w:rPr>
        <w:rFonts w:ascii="Times New Roman" w:cs="Times New Roman" w:eastAsia="Times New Roman" w:hAnsi="Times New Roman"/>
        <w:color w:val="000000"/>
        <w:sz w:val="18"/>
        <w:szCs w:val="18"/>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E">
    <w:pPr>
      <w:pBdr>
        <w:top w:space="0" w:sz="0" w:val="nil"/>
        <w:left w:space="0" w:sz="0" w:val="nil"/>
        <w:bottom w:space="0" w:sz="0" w:val="nil"/>
        <w:right w:space="0" w:sz="0" w:val="nil"/>
        <w:between w:space="0" w:sz="0" w:val="nil"/>
      </w:pBdr>
      <w:tabs>
        <w:tab w:val="left" w:leader="none" w:pos="709"/>
      </w:tabs>
      <w:spacing w:after="0" w:line="240" w:lineRule="auto"/>
      <w:rPr>
        <w:rFonts w:ascii="Times New Roman" w:cs="Times New Roman" w:eastAsia="Times New Roman" w:hAnsi="Times New Roman"/>
        <w:b w:val="1"/>
        <w:bCs w:val="1"/>
        <w:color w:val="000000"/>
        <w:sz w:val="18"/>
        <w:szCs w:val="18"/>
      </w:rPr>
    </w:pPr>
    <w:r w:rsidDel="00000000" w:rsidR="00000000" w:rsidRPr="00000000">
      <w:rPr>
        <w:rFonts w:ascii="Times New Roman" w:cs="Times New Roman" w:eastAsia="Times New Roman" w:hAnsi="Times New Roman"/>
        <w:b w:val="1"/>
        <w:bCs w:val="1"/>
        <w:color w:val="000000"/>
        <w:rtl w:val="0"/>
      </w:rPr>
      <w:t xml:space="preserve">PAUDIA</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4681220</wp:posOffset>
          </wp:positionH>
          <wp:positionV relativeFrom="paragraph">
            <wp:posOffset>36195</wp:posOffset>
          </wp:positionV>
          <wp:extent cx="1180465" cy="801370"/>
          <wp:effectExtent b="0" l="0" r="0" t="0"/>
          <wp:wrapNone/>
          <wp:docPr id="1960475512" name="image2.png"/>
          <a:graphic>
            <a:graphicData uri="http://schemas.openxmlformats.org/drawingml/2006/picture">
              <pic:pic>
                <pic:nvPicPr>
                  <pic:cNvPr id="0" name="image2.png"/>
                  <pic:cNvPicPr preferRelativeResize="0"/>
                </pic:nvPicPr>
                <pic:blipFill>
                  <a:blip r:embed="rId1"/>
                  <a:srcRect b="0" l="0" r="0" t="8390"/>
                  <a:stretch>
                    <a:fillRect/>
                  </a:stretch>
                </pic:blipFill>
                <pic:spPr>
                  <a:xfrm>
                    <a:off x="0" y="0"/>
                    <a:ext cx="1180465" cy="801370"/>
                  </a:xfrm>
                  <a:prstGeom prst="rect"/>
                  <a:ln/>
                </pic:spPr>
              </pic:pic>
            </a:graphicData>
          </a:graphic>
        </wp:anchor>
      </w:drawing>
    </w:r>
  </w:p>
  <w:p w:rsidR="00000000" w:rsidDel="00000000" w:rsidP="00000000" w:rsidRDefault="00000000" w:rsidRPr="00000000" w14:paraId="0000009F">
    <w:pPr>
      <w:pBdr>
        <w:top w:space="0" w:sz="0" w:val="nil"/>
        <w:left w:space="0" w:sz="0" w:val="nil"/>
        <w:bottom w:space="0" w:sz="0" w:val="nil"/>
        <w:right w:space="0" w:sz="0" w:val="nil"/>
        <w:between w:space="0" w:sz="0" w:val="nil"/>
      </w:pBdr>
      <w:tabs>
        <w:tab w:val="left" w:leader="none" w:pos="709"/>
      </w:tabs>
      <w:spacing w:after="0" w:line="240" w:lineRule="auto"/>
      <w:rPr>
        <w:rFonts w:ascii="Times New Roman" w:cs="Times New Roman" w:eastAsia="Times New Roman" w:hAnsi="Times New Roman"/>
        <w:b w:val="1"/>
        <w:bCs w:val="1"/>
        <w:color w:val="000000"/>
        <w:sz w:val="18"/>
        <w:szCs w:val="18"/>
      </w:rPr>
    </w:pPr>
    <w:r w:rsidDel="00000000" w:rsidR="00000000" w:rsidRPr="00000000">
      <w:rPr>
        <w:rFonts w:ascii="Times New Roman" w:cs="Times New Roman" w:eastAsia="Times New Roman" w:hAnsi="Times New Roman"/>
        <w:b w:val="1"/>
        <w:bCs w:val="1"/>
        <w:color w:val="000000"/>
        <w:sz w:val="18"/>
        <w:szCs w:val="18"/>
        <w:rtl w:val="0"/>
      </w:rPr>
      <w:t xml:space="preserve">Jurnal Penelitian dalam Bidang Pendidikan Anak Usia Dini</w:t>
    </w:r>
  </w:p>
  <w:p w:rsidR="00000000" w:rsidDel="00000000" w:rsidP="00000000" w:rsidRDefault="00000000" w:rsidRPr="00000000" w14:paraId="000000A0">
    <w:pPr>
      <w:pBdr>
        <w:top w:space="0" w:sz="0" w:val="nil"/>
        <w:left w:space="0" w:sz="0" w:val="nil"/>
        <w:bottom w:space="0" w:sz="0" w:val="nil"/>
        <w:right w:space="0" w:sz="0" w:val="nil"/>
        <w:between w:space="0" w:sz="0" w:val="nil"/>
      </w:pBdr>
      <w:tabs>
        <w:tab w:val="left" w:leader="none" w:pos="709"/>
      </w:tabs>
      <w:spacing w:after="0" w:line="24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Volume xx, No. x, Month xxxx, pp. x-xx</w:t>
    </w:r>
  </w:p>
  <w:p w:rsidR="00000000" w:rsidDel="00000000" w:rsidP="00000000" w:rsidRDefault="00000000" w:rsidRPr="00000000" w14:paraId="000000A1">
    <w:pPr>
      <w:pBdr>
        <w:top w:space="0" w:sz="0" w:val="nil"/>
        <w:left w:space="0" w:sz="0" w:val="nil"/>
        <w:bottom w:space="0" w:sz="0" w:val="nil"/>
        <w:right w:space="0" w:sz="0" w:val="nil"/>
        <w:between w:space="0" w:sz="0" w:val="nil"/>
      </w:pBdr>
      <w:tabs>
        <w:tab w:val="left" w:leader="none" w:pos="709"/>
      </w:tabs>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000000"/>
        <w:sz w:val="18"/>
        <w:szCs w:val="18"/>
        <w:rtl w:val="0"/>
      </w:rPr>
      <w:t xml:space="preserve">ISSN : 2089-1431 (print) </w:t>
    </w:r>
    <w:r w:rsidDel="00000000" w:rsidR="00000000" w:rsidRPr="00000000">
      <w:rPr>
        <w:rFonts w:ascii="Times New Roman" w:cs="Times New Roman" w:eastAsia="Times New Roman" w:hAnsi="Times New Roman"/>
        <w:sz w:val="18"/>
        <w:szCs w:val="18"/>
        <w:rtl w:val="0"/>
      </w:rPr>
      <w:t xml:space="preserve">ISSN : 2598-4047 (online)</w:t>
    </w:r>
  </w:p>
  <w:p w:rsidR="00000000" w:rsidDel="00000000" w:rsidP="00000000" w:rsidRDefault="00000000" w:rsidRPr="00000000" w14:paraId="000000A2">
    <w:pPr>
      <w:pBdr>
        <w:top w:space="0" w:sz="0" w:val="nil"/>
        <w:left w:space="0" w:sz="0" w:val="nil"/>
        <w:bottom w:space="0" w:sz="0" w:val="nil"/>
        <w:right w:space="0" w:sz="0" w:val="nil"/>
        <w:between w:space="0" w:sz="0" w:val="nil"/>
      </w:pBdr>
      <w:tabs>
        <w:tab w:val="left" w:leader="none" w:pos="709"/>
      </w:tabs>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DOI: 10.26877/paudia.xxx.xxxx</w:t>
    </w:r>
  </w:p>
  <w:p w:rsidR="00000000" w:rsidDel="00000000" w:rsidP="00000000" w:rsidRDefault="00000000" w:rsidRPr="00000000" w14:paraId="000000A3">
    <w:pPr>
      <w:pBdr>
        <w:top w:space="0" w:sz="0" w:val="nil"/>
        <w:left w:space="0" w:sz="0" w:val="nil"/>
        <w:bottom w:space="0" w:sz="0" w:val="nil"/>
        <w:right w:space="0" w:sz="0" w:val="nil"/>
        <w:between w:space="0" w:sz="0" w:val="nil"/>
      </w:pBdr>
      <w:tabs>
        <w:tab w:val="left" w:leader="none" w:pos="709"/>
      </w:tabs>
      <w:spacing w:after="0" w:line="240" w:lineRule="auto"/>
      <w:rPr>
        <w:rFonts w:ascii="Times New Roman" w:cs="Times New Roman" w:eastAsia="Times New Roman" w:hAnsi="Times New Roman"/>
        <w:sz w:val="18"/>
        <w:szCs w:val="18"/>
      </w:rPr>
    </w:pPr>
    <w:hyperlink r:id="rId2">
      <w:r w:rsidDel="00000000" w:rsidR="00000000" w:rsidRPr="00000000">
        <w:rPr>
          <w:rFonts w:ascii="Times New Roman" w:cs="Times New Roman" w:eastAsia="Times New Roman" w:hAnsi="Times New Roman"/>
          <w:color w:val="0000ff"/>
          <w:sz w:val="18"/>
          <w:szCs w:val="18"/>
          <w:u w:val="single"/>
          <w:rtl w:val="0"/>
        </w:rPr>
        <w:t xml:space="preserve">https://journal2.upgris.ac.id/index.php/paudia/index</w:t>
      </w:r>
    </w:hyperlink>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A4">
    <w:pPr>
      <w:pBdr>
        <w:top w:space="0" w:sz="0" w:val="nil"/>
        <w:left w:space="0" w:sz="0" w:val="nil"/>
        <w:bottom w:space="0" w:sz="0" w:val="nil"/>
        <w:right w:space="0" w:sz="0" w:val="nil"/>
        <w:between w:space="0" w:sz="0" w:val="nil"/>
      </w:pBdr>
      <w:tabs>
        <w:tab w:val="left" w:leader="none" w:pos="709"/>
      </w:tabs>
      <w:spacing w:after="0" w:line="240" w:lineRule="auto"/>
      <w:rPr>
        <w:rFonts w:ascii="Times New Roman" w:cs="Times New Roman" w:eastAsia="Times New Roman" w:hAnsi="Times New Roman"/>
        <w:color w:val="000000"/>
        <w:sz w:val="18"/>
        <w:szCs w:val="18"/>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-17779</wp:posOffset>
              </wp:positionH>
              <wp:positionV relativeFrom="paragraph">
                <wp:posOffset>113030</wp:posOffset>
              </wp:positionV>
              <wp:extent cx="0" cy="12700"/>
              <wp:effectExtent b="0" l="0" r="0" t="0"/>
              <wp:wrapNone/>
              <wp:docPr id="1960475509" name=""/>
              <a:graphic>
                <a:graphicData uri="http://schemas.microsoft.com/office/word/2010/wordprocessingShape">
                  <wps:wsp>
                    <wps:cNvCnPr/>
                    <wps:spPr>
                      <a:xfrm>
                        <a:off x="2442780" y="3780000"/>
                        <a:ext cx="5806440"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-17779</wp:posOffset>
              </wp:positionH>
              <wp:positionV relativeFrom="paragraph">
                <wp:posOffset>113030</wp:posOffset>
              </wp:positionV>
              <wp:extent cx="0" cy="12700"/>
              <wp:effectExtent b="0" l="0" r="0" t="0"/>
              <wp:wrapNone/>
              <wp:docPr id="1960475509" name="image4.png"/>
              <a:graphic>
                <a:graphicData uri="http://schemas.openxmlformats.org/drawingml/2006/picture">
                  <pic:pic>
                    <pic:nvPicPr>
                      <pic:cNvPr id="0" name="image4.png"/>
                      <pic:cNvPicPr preferRelativeResize="0"/>
                    </pic:nvPicPr>
                    <pic:blipFill>
                      <a:blip r:embed="rId3"/>
                      <a:srcRect/>
                      <a:stretch>
                        <a:fillRect/>
                      </a:stretch>
                    </pic:blipFill>
                    <pic:spPr>
                      <a:xfrm>
                        <a:off x="0" y="0"/>
                        <a:ext cx="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-18414</wp:posOffset>
              </wp:positionH>
              <wp:positionV relativeFrom="paragraph">
                <wp:posOffset>48895</wp:posOffset>
              </wp:positionV>
              <wp:extent cx="0" cy="38100"/>
              <wp:effectExtent b="0" l="0" r="0" t="0"/>
              <wp:wrapNone/>
              <wp:docPr id="1960475510" name=""/>
              <a:graphic>
                <a:graphicData uri="http://schemas.microsoft.com/office/word/2010/wordprocessingShape">
                  <wps:wsp>
                    <wps:cNvCnPr/>
                    <wps:spPr>
                      <a:xfrm>
                        <a:off x="2442780" y="3780000"/>
                        <a:ext cx="5806440" cy="0"/>
                      </a:xfrm>
                      <a:prstGeom prst="straightConnector1">
                        <a:avLst/>
                      </a:prstGeom>
                      <a:noFill/>
                      <a:ln cap="flat" cmpd="sng" w="38100">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-18414</wp:posOffset>
              </wp:positionH>
              <wp:positionV relativeFrom="paragraph">
                <wp:posOffset>48895</wp:posOffset>
              </wp:positionV>
              <wp:extent cx="0" cy="38100"/>
              <wp:effectExtent b="0" l="0" r="0" t="0"/>
              <wp:wrapNone/>
              <wp:docPr id="1960475510" name="image5.png"/>
              <a:graphic>
                <a:graphicData uri="http://schemas.openxmlformats.org/drawingml/2006/picture">
                  <pic:pic>
                    <pic:nvPicPr>
                      <pic:cNvPr id="0" name="image5.png"/>
                      <pic:cNvPicPr preferRelativeResize="0"/>
                    </pic:nvPicPr>
                    <pic:blipFill>
                      <a:blip r:embed="rId3"/>
                      <a:srcRect/>
                      <a:stretch>
                        <a:fillRect/>
                      </a:stretch>
                    </pic:blipFill>
                    <pic:spPr>
                      <a:xfrm>
                        <a:off x="0" y="0"/>
                        <a:ext cx="0" cy="38100"/>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id"/>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360" w:lineRule="auto"/>
    </w:pPr>
    <w:rPr>
      <w:rFonts w:ascii="Times New Roman" w:cs="Times New Roman" w:eastAsia="Times New Roman" w:hAnsi="Times New Roman"/>
      <w:b w:val="1"/>
      <w:bCs w:val="1"/>
    </w:rPr>
  </w:style>
  <w:style w:type="paragraph" w:styleId="Heading2">
    <w:name w:val="heading 2"/>
    <w:basedOn w:val="Normal"/>
    <w:next w:val="Normal"/>
    <w:pPr>
      <w:keepNext w:val="1"/>
      <w:widowControl w:val="0"/>
      <w:spacing w:after="0" w:line="360" w:lineRule="auto"/>
    </w:pPr>
    <w:rPr>
      <w:rFonts w:ascii="Times New Roman" w:cs="Times New Roman" w:eastAsia="Times New Roman" w:hAnsi="Times New Roman"/>
      <w:b w:val="1"/>
      <w:bCs w:val="1"/>
    </w:rPr>
  </w:style>
  <w:style w:type="paragraph" w:styleId="Heading3">
    <w:name w:val="heading 3"/>
    <w:basedOn w:val="Normal"/>
    <w:next w:val="Normal"/>
    <w:pPr>
      <w:keepNext w:val="1"/>
      <w:keepLines w:val="1"/>
      <w:spacing w:after="0" w:before="200" w:line="240" w:lineRule="auto"/>
    </w:pPr>
    <w:rPr>
      <w:rFonts w:ascii="Times New Roman" w:cs="Times New Roman" w:eastAsia="Times New Roman" w:hAnsi="Times New Roman"/>
      <w:b w:val="1"/>
      <w:bCs w:val="1"/>
      <w:i w:val="1"/>
      <w:iCs w:val="1"/>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unhideWhenUsed w:val="1"/>
    <w:rsid w:val="00CA7788"/>
    <w:rPr>
      <w:color w:val="0000ff" w:themeColor="hyperlink"/>
      <w:u w:val="single"/>
    </w:rPr>
  </w:style>
  <w:style w:type="paragraph" w:styleId="BalloonText">
    <w:name w:val="Balloon Text"/>
    <w:basedOn w:val="Normal"/>
    <w:link w:val="BalloonTextChar"/>
    <w:uiPriority w:val="99"/>
    <w:semiHidden w:val="1"/>
    <w:unhideWhenUsed w:val="1"/>
    <w:rsid w:val="00A27E65"/>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A27E65"/>
    <w:rPr>
      <w:rFonts w:ascii="Tahoma" w:cs="Tahoma" w:hAnsi="Tahoma"/>
      <w:sz w:val="16"/>
      <w:szCs w:val="16"/>
    </w:rPr>
  </w:style>
  <w:style w:type="paragraph" w:styleId="ListParagraph">
    <w:name w:val="List Paragraph"/>
    <w:basedOn w:val="Normal"/>
    <w:link w:val="ListParagraphChar"/>
    <w:uiPriority w:val="34"/>
    <w:qFormat w:val="1"/>
    <w:rsid w:val="005F14ED"/>
    <w:pPr>
      <w:ind w:left="720"/>
      <w:contextualSpacing w:val="1"/>
    </w:pPr>
    <w:rPr>
      <w:rFonts w:cs="Times New Roman"/>
    </w:rPr>
  </w:style>
  <w:style w:type="paragraph" w:styleId="CommentText">
    <w:name w:val="annotation text"/>
    <w:basedOn w:val="Normal"/>
    <w:link w:val="CommentTextChar"/>
    <w:uiPriority w:val="99"/>
    <w:unhideWhenUsed w:val="1"/>
    <w:rsid w:val="005F14ED"/>
    <w:pPr>
      <w:spacing w:line="240" w:lineRule="auto"/>
    </w:pPr>
    <w:rPr>
      <w:sz w:val="20"/>
      <w:szCs w:val="20"/>
    </w:rPr>
  </w:style>
  <w:style w:type="character" w:styleId="CommentTextChar" w:customStyle="1">
    <w:name w:val="Comment Text Char"/>
    <w:basedOn w:val="DefaultParagraphFont"/>
    <w:link w:val="CommentText"/>
    <w:uiPriority w:val="99"/>
    <w:rsid w:val="005F14ED"/>
    <w:rPr>
      <w:sz w:val="20"/>
      <w:szCs w:val="20"/>
      <w:lang w:val="id-ID"/>
    </w:rPr>
  </w:style>
  <w:style w:type="character" w:styleId="ListParagraphChar" w:customStyle="1">
    <w:name w:val="List Paragraph Char"/>
    <w:basedOn w:val="DefaultParagraphFont"/>
    <w:link w:val="ListParagraph"/>
    <w:uiPriority w:val="34"/>
    <w:locked w:val="1"/>
    <w:rsid w:val="005F14ED"/>
    <w:rPr>
      <w:rFonts w:ascii="Calibri" w:cs="Times New Roman" w:eastAsia="Calibri" w:hAnsi="Calibri"/>
    </w:rPr>
  </w:style>
  <w:style w:type="table" w:styleId="LightShading1" w:customStyle="1">
    <w:name w:val="Light Shading1"/>
    <w:basedOn w:val="TableNormal"/>
    <w:uiPriority w:val="60"/>
    <w:rsid w:val="005F14ED"/>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Grid1" w:customStyle="1">
    <w:name w:val="Light Grid1"/>
    <w:basedOn w:val="TableNormal"/>
    <w:uiPriority w:val="62"/>
    <w:rsid w:val="000A72B8"/>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TableGrid">
    <w:name w:val="Table Grid"/>
    <w:basedOn w:val="TableNormal"/>
    <w:uiPriority w:val="59"/>
    <w:rsid w:val="00766043"/>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Default" w:customStyle="1">
    <w:name w:val="Default"/>
    <w:rsid w:val="00766043"/>
    <w:pPr>
      <w:autoSpaceDE w:val="0"/>
      <w:autoSpaceDN w:val="0"/>
      <w:adjustRightInd w:val="0"/>
      <w:spacing w:after="0" w:line="240" w:lineRule="auto"/>
    </w:pPr>
    <w:rPr>
      <w:rFonts w:ascii="Cambria" w:cs="Cambria" w:hAnsi="Cambria"/>
      <w:color w:val="000000"/>
      <w:sz w:val="24"/>
      <w:szCs w:val="24"/>
    </w:rPr>
  </w:style>
  <w:style w:type="paragraph" w:styleId="Header">
    <w:name w:val="header"/>
    <w:basedOn w:val="Normal"/>
    <w:link w:val="HeaderChar"/>
    <w:uiPriority w:val="99"/>
    <w:unhideWhenUsed w:val="1"/>
    <w:rsid w:val="00B53143"/>
    <w:pPr>
      <w:tabs>
        <w:tab w:val="center" w:pos="4680"/>
        <w:tab w:val="right" w:pos="9360"/>
      </w:tabs>
      <w:spacing w:after="0" w:line="240" w:lineRule="auto"/>
    </w:pPr>
  </w:style>
  <w:style w:type="character" w:styleId="HeaderChar" w:customStyle="1">
    <w:name w:val="Header Char"/>
    <w:basedOn w:val="DefaultParagraphFont"/>
    <w:link w:val="Header"/>
    <w:uiPriority w:val="99"/>
    <w:rsid w:val="00B53143"/>
  </w:style>
  <w:style w:type="paragraph" w:styleId="Footer">
    <w:name w:val="footer"/>
    <w:basedOn w:val="Normal"/>
    <w:link w:val="FooterChar"/>
    <w:uiPriority w:val="99"/>
    <w:unhideWhenUsed w:val="1"/>
    <w:rsid w:val="00B53143"/>
    <w:pPr>
      <w:tabs>
        <w:tab w:val="center" w:pos="4680"/>
        <w:tab w:val="right" w:pos="9360"/>
      </w:tabs>
      <w:spacing w:after="0" w:line="240" w:lineRule="auto"/>
    </w:pPr>
  </w:style>
  <w:style w:type="character" w:styleId="FooterChar" w:customStyle="1">
    <w:name w:val="Footer Char"/>
    <w:basedOn w:val="DefaultParagraphFont"/>
    <w:link w:val="Footer"/>
    <w:uiPriority w:val="99"/>
    <w:rsid w:val="00B53143"/>
  </w:style>
  <w:style w:type="character" w:styleId="Strong">
    <w:name w:val="Strong"/>
    <w:basedOn w:val="DefaultParagraphFont"/>
    <w:uiPriority w:val="22"/>
    <w:qFormat w:val="1"/>
    <w:rsid w:val="00B53143"/>
    <w:rPr>
      <w:b w:val="1"/>
      <w:bCs w:val="1"/>
    </w:rPr>
  </w:style>
  <w:style w:type="paragraph" w:styleId="Body" w:customStyle="1">
    <w:name w:val="Body"/>
    <w:basedOn w:val="Normal"/>
    <w:rsid w:val="00EB4D55"/>
    <w:pPr>
      <w:widowControl w:val="0"/>
      <w:autoSpaceDE w:val="0"/>
      <w:autoSpaceDN w:val="0"/>
      <w:adjustRightInd w:val="0"/>
      <w:spacing w:after="0" w:line="360" w:lineRule="auto"/>
      <w:ind w:firstLine="340"/>
      <w:jc w:val="both"/>
      <w:textAlignment w:val="baseline"/>
    </w:pPr>
    <w:rPr>
      <w:rFonts w:ascii="Times New Roman" w:cs="Times New Roman" w:eastAsia="BatangChe" w:hAnsi="Times New Roman"/>
      <w:sz w:val="24"/>
      <w:szCs w:val="20"/>
      <w:lang w:eastAsia="ko-KR"/>
    </w:rPr>
  </w:style>
  <w:style w:type="character" w:styleId="Heading2Char" w:customStyle="1">
    <w:name w:val="Heading 2 Char"/>
    <w:basedOn w:val="DefaultParagraphFont"/>
    <w:link w:val="Heading2"/>
    <w:uiPriority w:val="9"/>
    <w:rsid w:val="00D03F57"/>
    <w:rPr>
      <w:rFonts w:ascii="Times New Roman" w:cs="Times New Roman" w:eastAsia="BatangChe" w:hAnsi="Times New Roman"/>
      <w:b w:val="1"/>
      <w:lang w:eastAsia="ko-KR"/>
    </w:rPr>
  </w:style>
  <w:style w:type="paragraph" w:styleId="Bullet" w:customStyle="1">
    <w:name w:val="Bullet"/>
    <w:basedOn w:val="Body"/>
    <w:rsid w:val="00EB4D55"/>
    <w:pPr>
      <w:ind w:left="576" w:hanging="288"/>
    </w:pPr>
  </w:style>
  <w:style w:type="paragraph" w:styleId="SubBullet" w:customStyle="1">
    <w:name w:val="SubBullet"/>
    <w:basedOn w:val="Body"/>
    <w:rsid w:val="00EB4D55"/>
    <w:pPr>
      <w:ind w:left="1145" w:hanging="283"/>
    </w:pPr>
  </w:style>
  <w:style w:type="paragraph" w:styleId="Enumerated" w:customStyle="1">
    <w:name w:val="Enumerated"/>
    <w:basedOn w:val="Bullet"/>
    <w:rsid w:val="00EB4D55"/>
  </w:style>
  <w:style w:type="paragraph" w:styleId="FigureTitle" w:customStyle="1">
    <w:name w:val="FigureTitle"/>
    <w:basedOn w:val="Body"/>
    <w:rsid w:val="00EB4D55"/>
    <w:pPr>
      <w:spacing w:after="120"/>
      <w:jc w:val="center"/>
    </w:pPr>
    <w:rPr>
      <w:i w:val="1"/>
    </w:rPr>
  </w:style>
  <w:style w:type="paragraph" w:styleId="Equation" w:customStyle="1">
    <w:name w:val="Equation"/>
    <w:basedOn w:val="Normal"/>
    <w:rsid w:val="00EB4D55"/>
    <w:pPr>
      <w:widowControl w:val="0"/>
      <w:tabs>
        <w:tab w:val="left" w:pos="0"/>
        <w:tab w:val="center" w:pos="2268"/>
        <w:tab w:val="right" w:pos="4706"/>
      </w:tabs>
      <w:autoSpaceDE w:val="0"/>
      <w:autoSpaceDN w:val="0"/>
      <w:adjustRightInd w:val="0"/>
      <w:spacing w:after="120" w:before="120" w:line="360" w:lineRule="auto"/>
      <w:jc w:val="both"/>
      <w:textAlignment w:val="baseline"/>
    </w:pPr>
    <w:rPr>
      <w:rFonts w:ascii="Times New Roman" w:cs="Times New Roman" w:eastAsia="BatangChe" w:hAnsi="Times New Roman"/>
      <w:szCs w:val="20"/>
      <w:lang w:eastAsia="ko-KR"/>
    </w:rPr>
  </w:style>
  <w:style w:type="character" w:styleId="Heading1Char" w:customStyle="1">
    <w:name w:val="Heading 1 Char"/>
    <w:basedOn w:val="DefaultParagraphFont"/>
    <w:link w:val="Heading1"/>
    <w:uiPriority w:val="9"/>
    <w:rsid w:val="00D03F57"/>
    <w:rPr>
      <w:rFonts w:ascii="Times New Roman" w:hAnsi="Times New Roman" w:cstheme="majorBidi" w:eastAsiaTheme="majorEastAsia"/>
      <w:b w:val="1"/>
      <w:szCs w:val="32"/>
    </w:rPr>
  </w:style>
  <w:style w:type="paragraph" w:styleId="Tabletitle" w:customStyle="1">
    <w:name w:val="Tabletitle"/>
    <w:basedOn w:val="Body"/>
    <w:rsid w:val="007E0220"/>
    <w:pPr>
      <w:spacing w:after="120" w:before="240"/>
      <w:jc w:val="center"/>
    </w:pPr>
    <w:rPr>
      <w:i w:val="1"/>
    </w:rPr>
  </w:style>
  <w:style w:type="character" w:styleId="Heading3Char" w:customStyle="1">
    <w:name w:val="Heading 3 Char"/>
    <w:basedOn w:val="DefaultParagraphFont"/>
    <w:link w:val="Heading3"/>
    <w:uiPriority w:val="9"/>
    <w:rsid w:val="00512EF1"/>
    <w:rPr>
      <w:rFonts w:ascii="Times New Roman" w:hAnsi="Times New Roman" w:cstheme="majorBidi" w:eastAsiaTheme="majorEastAsia"/>
      <w:b w:val="1"/>
      <w:bCs w:val="1"/>
      <w:i w:val="1"/>
    </w:rPr>
  </w:style>
  <w:style w:type="table" w:styleId="PlainTable2">
    <w:name w:val="Plain Table 2"/>
    <w:basedOn w:val="TableNormal"/>
    <w:uiPriority w:val="42"/>
    <w:rsid w:val="005D2D7E"/>
    <w:pPr>
      <w:spacing w:after="0" w:line="240" w:lineRule="auto"/>
    </w:pPr>
    <w:tblPr>
      <w:tblStyleRowBandSize w:val="1"/>
      <w:tblStyleColBandSize w:val="1"/>
      <w:tblBorders>
        <w:top w:color="7f7f7f" w:space="0" w:sz="4" w:themeColor="text1" w:themeTint="000080" w:val="single"/>
        <w:bottom w:color="7f7f7f" w:space="0" w:sz="4" w:themeColor="text1" w:themeTint="000080" w:val="single"/>
      </w:tblBorders>
    </w:tblPr>
    <w:tblStylePr w:type="firstRow">
      <w:rPr>
        <w:b w:val="1"/>
        <w:bCs w:val="1"/>
      </w:rPr>
      <w:tblPr/>
      <w:tcPr>
        <w:tcBorders>
          <w:bottom w:color="7f7f7f" w:space="0" w:sz="4" w:themeColor="text1" w:themeTint="000080" w:val="single"/>
        </w:tcBorders>
      </w:tcPr>
    </w:tblStylePr>
    <w:tblStylePr w:type="lastRow">
      <w:rPr>
        <w:b w:val="1"/>
        <w:bCs w:val="1"/>
      </w:rPr>
      <w:tblPr/>
      <w:tcPr>
        <w:tcBorders>
          <w:top w:color="7f7f7f" w:space="0" w:sz="4" w:themeColor="text1" w:themeTint="000080" w:val="single"/>
        </w:tcBorders>
      </w:tcPr>
    </w:tblStylePr>
    <w:tblStylePr w:type="firstCol">
      <w:rPr>
        <w:b w:val="1"/>
        <w:bCs w:val="1"/>
      </w:rPr>
    </w:tblStylePr>
    <w:tblStylePr w:type="lastCol">
      <w:rPr>
        <w:b w:val="1"/>
        <w:bCs w:val="1"/>
      </w:rPr>
    </w:tblStylePr>
    <w:tblStylePr w:type="band1Vert">
      <w:tblPr/>
      <w:tcPr>
        <w:tcBorders>
          <w:left w:color="7f7f7f" w:space="0" w:sz="4" w:themeColor="text1" w:themeTint="000080" w:val="single"/>
          <w:right w:color="7f7f7f" w:space="0" w:sz="4" w:themeColor="text1" w:themeTint="000080" w:val="single"/>
        </w:tcBorders>
      </w:tcPr>
    </w:tblStylePr>
    <w:tblStylePr w:type="band2Vert">
      <w:tblPr/>
      <w:tcPr>
        <w:tcBorders>
          <w:left w:color="7f7f7f" w:space="0" w:sz="4" w:themeColor="text1" w:themeTint="000080" w:val="single"/>
          <w:right w:color="7f7f7f" w:space="0" w:sz="4" w:themeColor="text1" w:themeTint="000080" w:val="single"/>
        </w:tcBorders>
      </w:tcPr>
    </w:tblStylePr>
    <w:tblStylePr w:type="band1Horz">
      <w:tblPr/>
      <w:tcPr>
        <w:tcBorders>
          <w:top w:color="7f7f7f" w:space="0" w:sz="4" w:themeColor="text1" w:themeTint="000080" w:val="single"/>
          <w:bottom w:color="7f7f7f" w:space="0" w:sz="4" w:themeColor="text1" w:themeTint="000080" w:val="single"/>
        </w:tcBorders>
      </w:tcPr>
    </w:tblStylePr>
  </w:style>
  <w:style w:type="table" w:styleId="a" w:customStyle="1">
    <w:basedOn w:val="TableNormal"/>
    <w:pPr>
      <w:spacing w:after="0" w:line="240" w:lineRule="auto"/>
    </w:pPr>
    <w:rPr>
      <w:color w:val="000000"/>
    </w:rPr>
    <w:tblPr>
      <w:tblStyleRowBandSize w:val="1"/>
      <w:tblStyleColBandSize w:val="1"/>
    </w:tblPr>
    <w:tblStylePr w:type="firstRow">
      <w:rPr>
        <w:b w:val="1"/>
      </w:rPr>
      <w:tblPr/>
      <w:tcPr>
        <w:tcBorders>
          <w:bottom w:color="7f7f7f" w:space="0" w:sz="4" w:val="single"/>
        </w:tcBorders>
      </w:tcPr>
    </w:tblStylePr>
    <w:tblStylePr w:type="lastRow">
      <w:rPr>
        <w:b w:val="1"/>
      </w:rPr>
      <w:tblPr/>
      <w:tcPr>
        <w:tcBorders>
          <w:top w:color="7f7f7f" w:space="0" w:sz="4" w:val="single"/>
        </w:tcBorders>
      </w:tcPr>
    </w:tblStylePr>
    <w:tblStylePr w:type="firstCol">
      <w:rPr>
        <w:b w:val="1"/>
      </w:rPr>
    </w:tblStylePr>
    <w:tblStylePr w:type="lastCol">
      <w:rPr>
        <w:b w:val="1"/>
      </w:rPr>
    </w:tblStylePr>
    <w:tblStylePr w:type="band1Vert">
      <w:tblPr/>
      <w:tcPr>
        <w:tcBorders>
          <w:left w:color="7f7f7f" w:space="0" w:sz="4" w:val="single"/>
          <w:right w:color="7f7f7f" w:space="0" w:sz="4" w:val="single"/>
        </w:tcBorders>
      </w:tcPr>
    </w:tblStylePr>
    <w:tblStylePr w:type="band2Vert">
      <w:tblPr/>
      <w:tcPr>
        <w:tcBorders>
          <w:left w:color="7f7f7f" w:space="0" w:sz="4" w:val="single"/>
          <w:right w:color="7f7f7f" w:space="0" w:sz="4" w:val="single"/>
        </w:tcBorders>
      </w:tcPr>
    </w:tblStylePr>
    <w:tblStylePr w:type="band1Horz">
      <w:tblPr/>
      <w:tcPr>
        <w:tcBorders>
          <w:top w:color="7f7f7f" w:space="0" w:sz="4" w:val="single"/>
          <w:bottom w:color="7f7f7f" w:space="0" w:sz="4" w:val="single"/>
        </w:tcBorders>
      </w:tcPr>
    </w:tblStylePr>
  </w:style>
  <w:style w:type="paragraph" w:styleId="NormalWeb">
    <w:name w:val="Normal (Web)"/>
    <w:basedOn w:val="Normal"/>
    <w:uiPriority w:val="99"/>
    <w:semiHidden w:val="1"/>
    <w:unhideWhenUsed w:val="1"/>
    <w:rsid w:val="00ED3186"/>
    <w:pPr>
      <w:spacing w:after="100" w:afterAutospacing="1" w:before="100" w:beforeAutospacing="1" w:line="240" w:lineRule="auto"/>
    </w:pPr>
    <w:rPr>
      <w:rFonts w:ascii="Times New Roman" w:cs="Times New Roman" w:eastAsia="Times New Roman" w:hAnsi="Times New Roman"/>
      <w:sz w:val="24"/>
      <w:szCs w:val="24"/>
      <w:lang w:val="en-ID"/>
    </w:rPr>
  </w:style>
  <w:style w:type="character" w:styleId="UnresolvedMention">
    <w:name w:val="Unresolved Mention"/>
    <w:basedOn w:val="DefaultParagraphFont"/>
    <w:uiPriority w:val="99"/>
    <w:semiHidden w:val="1"/>
    <w:unhideWhenUsed w:val="1"/>
    <w:rsid w:val="00102861"/>
    <w:rPr>
      <w:color w:val="605e5c"/>
      <w:shd w:color="auto" w:fill="e1dfdd" w:val="clear"/>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7f7f7f" w:space="0" w:sz="4" w:val="single"/>
          <w:bottom w:color="7f7f7f" w:space="0" w:sz="4" w:val="single"/>
        </w:tcBorders>
      </w:tcPr>
    </w:tblStylePr>
    <w:tblStylePr w:type="band1Vert">
      <w:tcPr>
        <w:tcBorders>
          <w:left w:color="7f7f7f" w:space="0" w:sz="4" w:val="single"/>
          <w:right w:color="7f7f7f" w:space="0" w:sz="4" w:val="single"/>
        </w:tcBorders>
      </w:tcPr>
    </w:tblStylePr>
    <w:tblStylePr w:type="band2Vert">
      <w:tcPr>
        <w:tcBorders>
          <w:left w:color="7f7f7f" w:space="0" w:sz="4" w:val="single"/>
          <w:right w:color="7f7f7f" w:space="0" w:sz="4" w:val="single"/>
        </w:tcBorders>
      </w:tcPr>
    </w:tblStylePr>
    <w:tblStylePr w:type="firstCol">
      <w:rPr>
        <w:b w:val="1"/>
        <w:bCs w:val="1"/>
      </w:rPr>
    </w:tblStylePr>
    <w:tblStylePr w:type="firstRow">
      <w:rPr>
        <w:b w:val="1"/>
        <w:bCs w:val="1"/>
      </w:rPr>
      <w:tcPr>
        <w:tcBorders>
          <w:bottom w:color="7f7f7f" w:space="0" w:sz="4" w:val="single"/>
        </w:tcBorders>
      </w:tcPr>
    </w:tblStylePr>
    <w:tblStylePr w:type="lastCol">
      <w:rPr>
        <w:b w:val="1"/>
        <w:bCs w:val="1"/>
      </w:rPr>
    </w:tblStylePr>
    <w:tblStylePr w:type="lastRow">
      <w:rPr>
        <w:b w:val="1"/>
        <w:bCs w:val="1"/>
      </w:rPr>
      <w:tcPr>
        <w:tcBorders>
          <w:top w:color="7f7f7f" w:space="0" w:sz="4" w:val="single"/>
        </w:tcBorders>
      </w:tcPr>
    </w:tblStyle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i.org/10.31004/obsesi.v1i2.24" TargetMode="External"/><Relationship Id="rId10" Type="http://schemas.openxmlformats.org/officeDocument/2006/relationships/chart" Target="charts/chart1.xml"/><Relationship Id="rId13" Type="http://schemas.openxmlformats.org/officeDocument/2006/relationships/image" Target="media/image3.png"/><Relationship Id="rId12" Type="http://schemas.openxmlformats.org/officeDocument/2006/relationships/hyperlink" Target="https://doi.org/10.1089/cpb.2004.7.57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header" Target="header3.xml"/><Relationship Id="rId14" Type="http://schemas.openxmlformats.org/officeDocument/2006/relationships/header" Target="header2.xml"/><Relationship Id="rId17" Type="http://schemas.openxmlformats.org/officeDocument/2006/relationships/footer" Target="footer2.xml"/><Relationship Id="rId16" Type="http://schemas.openxmlformats.org/officeDocument/2006/relationships/header" Target="header1.xml"/><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customXml" Target="../customXML/item1.xml"/><Relationship Id="rId18" Type="http://schemas.openxmlformats.org/officeDocument/2006/relationships/footer" Target="footer3.xml"/><Relationship Id="rId7" Type="http://schemas.openxmlformats.org/officeDocument/2006/relationships/hyperlink" Target="mailto:your@email.address" TargetMode="External"/><Relationship Id="rId8" Type="http://schemas.openxmlformats.org/officeDocument/2006/relationships/hyperlink" Target="https://creativecommons.org/licenses/by-nc-sa/4.0/" TargetMode="Externa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hyperlink" Target="https://journal2.upgris.ac.id/index.php/paudia/index" TargetMode="External"/><Relationship Id="rId3" Type="http://schemas.openxmlformats.org/officeDocument/2006/relationships/image" Target="media/image4.png"/></Relationships>
</file>

<file path=word/charts/_rels/chart1.xml.rels><?xml version='1.0' encoding='UTF-8' standalone='yes'?>
<Relationships xmlns="http://schemas.openxmlformats.org/package/2006/relationships"><Relationship Id="rId1" Type="http://schemas.openxmlformats.org/officeDocument/2006/relationships/oleObject" Target="file:///C:\2015%20puji\UNSRI\2015%20statbio-with%20pak%20ucup\STATBIO%202016\puji-korelasi%20dan%20regresi.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strRef>
              <c:f>'korelasi dan regresi'!$F$5</c:f>
              <c:strCache>
                <c:ptCount val="1"/>
                <c:pt idx="0">
                  <c:v>Y</c:v>
                </c:pt>
              </c:strCache>
            </c:strRef>
          </c:tx>
          <c:spPr>
            <a:ln w="28575">
              <a:noFill/>
            </a:ln>
          </c:spPr>
          <c:trendline>
            <c:trendlineType val="linear"/>
            <c:dispRSqr val="1"/>
            <c:dispEq val="1"/>
            <c:trendlineLbl>
              <c:layout>
                <c:manualLayout>
                  <c:x val="0.38061025188080605"/>
                  <c:y val="-0.16009646641735062"/>
                </c:manualLayout>
              </c:layout>
              <c:numFmt formatCode="General" sourceLinked="0"/>
            </c:trendlineLbl>
          </c:trendline>
          <c:trendline>
            <c:trendlineType val="linear"/>
            <c:dispRSqr val="0"/>
            <c:dispEq val="0"/>
          </c:trendline>
          <c:trendline>
            <c:trendlineType val="linear"/>
            <c:dispRSqr val="0"/>
            <c:dispEq val="0"/>
          </c:trendline>
          <c:xVal>
            <c:numRef>
              <c:f>'korelasi dan regresi'!$E$6:$E$114</c:f>
              <c:numCache>
                <c:formatCode>General</c:formatCode>
                <c:ptCount val="109"/>
                <c:pt idx="0">
                  <c:v>74.75</c:v>
                </c:pt>
                <c:pt idx="1">
                  <c:v>72.599999999999994</c:v>
                </c:pt>
                <c:pt idx="2">
                  <c:v>81.8</c:v>
                </c:pt>
                <c:pt idx="3">
                  <c:v>83.95</c:v>
                </c:pt>
                <c:pt idx="4">
                  <c:v>74.650000000000006</c:v>
                </c:pt>
                <c:pt idx="5">
                  <c:v>71.849999999999994</c:v>
                </c:pt>
                <c:pt idx="6">
                  <c:v>80.900000000000006</c:v>
                </c:pt>
                <c:pt idx="7">
                  <c:v>83.4</c:v>
                </c:pt>
                <c:pt idx="8">
                  <c:v>63.5</c:v>
                </c:pt>
                <c:pt idx="9">
                  <c:v>73.2</c:v>
                </c:pt>
                <c:pt idx="10">
                  <c:v>71.900000000000006</c:v>
                </c:pt>
                <c:pt idx="11">
                  <c:v>75</c:v>
                </c:pt>
                <c:pt idx="12">
                  <c:v>73.099999999999994</c:v>
                </c:pt>
                <c:pt idx="13">
                  <c:v>79</c:v>
                </c:pt>
                <c:pt idx="14">
                  <c:v>77</c:v>
                </c:pt>
                <c:pt idx="15">
                  <c:v>68.849999999999994</c:v>
                </c:pt>
                <c:pt idx="16">
                  <c:v>75.95</c:v>
                </c:pt>
                <c:pt idx="17">
                  <c:v>74.150000000000006</c:v>
                </c:pt>
                <c:pt idx="18">
                  <c:v>73.8</c:v>
                </c:pt>
                <c:pt idx="19">
                  <c:v>75.900000000000006</c:v>
                </c:pt>
                <c:pt idx="20">
                  <c:v>76.849999999999994</c:v>
                </c:pt>
                <c:pt idx="21">
                  <c:v>80.900000000000006</c:v>
                </c:pt>
                <c:pt idx="22">
                  <c:v>79.900000000000006</c:v>
                </c:pt>
                <c:pt idx="23">
                  <c:v>89.2</c:v>
                </c:pt>
                <c:pt idx="24">
                  <c:v>82</c:v>
                </c:pt>
                <c:pt idx="25">
                  <c:v>92</c:v>
                </c:pt>
                <c:pt idx="26">
                  <c:v>86.6</c:v>
                </c:pt>
                <c:pt idx="27">
                  <c:v>80.5</c:v>
                </c:pt>
                <c:pt idx="28">
                  <c:v>86</c:v>
                </c:pt>
                <c:pt idx="29">
                  <c:v>82.5</c:v>
                </c:pt>
                <c:pt idx="30">
                  <c:v>83.5</c:v>
                </c:pt>
                <c:pt idx="31">
                  <c:v>88.1</c:v>
                </c:pt>
                <c:pt idx="32">
                  <c:v>90.8</c:v>
                </c:pt>
                <c:pt idx="33">
                  <c:v>89.4</c:v>
                </c:pt>
                <c:pt idx="34">
                  <c:v>102</c:v>
                </c:pt>
                <c:pt idx="35">
                  <c:v>94.5</c:v>
                </c:pt>
                <c:pt idx="36">
                  <c:v>91</c:v>
                </c:pt>
                <c:pt idx="37">
                  <c:v>103</c:v>
                </c:pt>
                <c:pt idx="38">
                  <c:v>80</c:v>
                </c:pt>
                <c:pt idx="39">
                  <c:v>79</c:v>
                </c:pt>
                <c:pt idx="40">
                  <c:v>83.5</c:v>
                </c:pt>
                <c:pt idx="41">
                  <c:v>76</c:v>
                </c:pt>
                <c:pt idx="42">
                  <c:v>80.5</c:v>
                </c:pt>
                <c:pt idx="43">
                  <c:v>86.5</c:v>
                </c:pt>
                <c:pt idx="44">
                  <c:v>83</c:v>
                </c:pt>
                <c:pt idx="45">
                  <c:v>107.1</c:v>
                </c:pt>
                <c:pt idx="46">
                  <c:v>94.3</c:v>
                </c:pt>
                <c:pt idx="47">
                  <c:v>94.5</c:v>
                </c:pt>
                <c:pt idx="48">
                  <c:v>79.7</c:v>
                </c:pt>
                <c:pt idx="49">
                  <c:v>79.3</c:v>
                </c:pt>
                <c:pt idx="50">
                  <c:v>89.8</c:v>
                </c:pt>
                <c:pt idx="51">
                  <c:v>83.8</c:v>
                </c:pt>
                <c:pt idx="52">
                  <c:v>85.2</c:v>
                </c:pt>
                <c:pt idx="53">
                  <c:v>75.5</c:v>
                </c:pt>
                <c:pt idx="54">
                  <c:v>78.400000000000006</c:v>
                </c:pt>
                <c:pt idx="55">
                  <c:v>78.599999999999994</c:v>
                </c:pt>
                <c:pt idx="56">
                  <c:v>87.8</c:v>
                </c:pt>
                <c:pt idx="57">
                  <c:v>86.3</c:v>
                </c:pt>
                <c:pt idx="58">
                  <c:v>85.5</c:v>
                </c:pt>
                <c:pt idx="59">
                  <c:v>83.7</c:v>
                </c:pt>
                <c:pt idx="60">
                  <c:v>77.599999999999994</c:v>
                </c:pt>
                <c:pt idx="61">
                  <c:v>84.9</c:v>
                </c:pt>
                <c:pt idx="62">
                  <c:v>79.8</c:v>
                </c:pt>
                <c:pt idx="63">
                  <c:v>108.3</c:v>
                </c:pt>
                <c:pt idx="64">
                  <c:v>119.6</c:v>
                </c:pt>
                <c:pt idx="65">
                  <c:v>119.9</c:v>
                </c:pt>
                <c:pt idx="66">
                  <c:v>96.5</c:v>
                </c:pt>
                <c:pt idx="67">
                  <c:v>105.5</c:v>
                </c:pt>
                <c:pt idx="68">
                  <c:v>105</c:v>
                </c:pt>
                <c:pt idx="69">
                  <c:v>107</c:v>
                </c:pt>
                <c:pt idx="70">
                  <c:v>107</c:v>
                </c:pt>
                <c:pt idx="71">
                  <c:v>101</c:v>
                </c:pt>
                <c:pt idx="72">
                  <c:v>97</c:v>
                </c:pt>
                <c:pt idx="73">
                  <c:v>100</c:v>
                </c:pt>
                <c:pt idx="74">
                  <c:v>108</c:v>
                </c:pt>
                <c:pt idx="75">
                  <c:v>100</c:v>
                </c:pt>
                <c:pt idx="76">
                  <c:v>103</c:v>
                </c:pt>
                <c:pt idx="77">
                  <c:v>104</c:v>
                </c:pt>
                <c:pt idx="78">
                  <c:v>106</c:v>
                </c:pt>
                <c:pt idx="79">
                  <c:v>109</c:v>
                </c:pt>
                <c:pt idx="80">
                  <c:v>103.5</c:v>
                </c:pt>
                <c:pt idx="81">
                  <c:v>110</c:v>
                </c:pt>
                <c:pt idx="82">
                  <c:v>110</c:v>
                </c:pt>
                <c:pt idx="83">
                  <c:v>112</c:v>
                </c:pt>
                <c:pt idx="84">
                  <c:v>108.5</c:v>
                </c:pt>
                <c:pt idx="85">
                  <c:v>104</c:v>
                </c:pt>
                <c:pt idx="86">
                  <c:v>111</c:v>
                </c:pt>
                <c:pt idx="87">
                  <c:v>108.5</c:v>
                </c:pt>
                <c:pt idx="88">
                  <c:v>121</c:v>
                </c:pt>
                <c:pt idx="89">
                  <c:v>109</c:v>
                </c:pt>
                <c:pt idx="90">
                  <c:v>97.5</c:v>
                </c:pt>
                <c:pt idx="91">
                  <c:v>105.5</c:v>
                </c:pt>
                <c:pt idx="92">
                  <c:v>98</c:v>
                </c:pt>
                <c:pt idx="93">
                  <c:v>94.5</c:v>
                </c:pt>
                <c:pt idx="94">
                  <c:v>97</c:v>
                </c:pt>
                <c:pt idx="95">
                  <c:v>105</c:v>
                </c:pt>
                <c:pt idx="96">
                  <c:v>106</c:v>
                </c:pt>
                <c:pt idx="97">
                  <c:v>99</c:v>
                </c:pt>
                <c:pt idx="98">
                  <c:v>91</c:v>
                </c:pt>
                <c:pt idx="99">
                  <c:v>102.5</c:v>
                </c:pt>
                <c:pt idx="100">
                  <c:v>106</c:v>
                </c:pt>
                <c:pt idx="101">
                  <c:v>109.1</c:v>
                </c:pt>
                <c:pt idx="102">
                  <c:v>115</c:v>
                </c:pt>
                <c:pt idx="103">
                  <c:v>101</c:v>
                </c:pt>
                <c:pt idx="104">
                  <c:v>100.1</c:v>
                </c:pt>
                <c:pt idx="105">
                  <c:v>93.3</c:v>
                </c:pt>
                <c:pt idx="106">
                  <c:v>101.8</c:v>
                </c:pt>
                <c:pt idx="107">
                  <c:v>107.9</c:v>
                </c:pt>
                <c:pt idx="108">
                  <c:v>108.5</c:v>
                </c:pt>
              </c:numCache>
            </c:numRef>
          </c:xVal>
          <c:yVal>
            <c:numRef>
              <c:f>'korelasi dan regresi'!$F$6:$F$114</c:f>
              <c:numCache>
                <c:formatCode>General</c:formatCode>
                <c:ptCount val="109"/>
                <c:pt idx="0">
                  <c:v>25.72</c:v>
                </c:pt>
                <c:pt idx="1">
                  <c:v>25.89</c:v>
                </c:pt>
                <c:pt idx="2">
                  <c:v>42.6</c:v>
                </c:pt>
                <c:pt idx="3">
                  <c:v>42.8</c:v>
                </c:pt>
                <c:pt idx="4">
                  <c:v>29.84</c:v>
                </c:pt>
                <c:pt idx="5">
                  <c:v>21.68</c:v>
                </c:pt>
                <c:pt idx="6">
                  <c:v>29.08</c:v>
                </c:pt>
                <c:pt idx="7">
                  <c:v>32.979999999999997</c:v>
                </c:pt>
                <c:pt idx="8">
                  <c:v>11.44</c:v>
                </c:pt>
                <c:pt idx="9">
                  <c:v>32.220000000000013</c:v>
                </c:pt>
                <c:pt idx="10">
                  <c:v>28.32</c:v>
                </c:pt>
                <c:pt idx="11">
                  <c:v>43.86</c:v>
                </c:pt>
                <c:pt idx="12">
                  <c:v>38.21</c:v>
                </c:pt>
                <c:pt idx="13">
                  <c:v>42.48</c:v>
                </c:pt>
                <c:pt idx="14">
                  <c:v>30.95999999999999</c:v>
                </c:pt>
                <c:pt idx="15">
                  <c:v>55.78</c:v>
                </c:pt>
                <c:pt idx="16">
                  <c:v>43.78</c:v>
                </c:pt>
                <c:pt idx="17">
                  <c:v>33.409999999999997</c:v>
                </c:pt>
                <c:pt idx="18">
                  <c:v>43.35</c:v>
                </c:pt>
                <c:pt idx="19">
                  <c:v>29.31000000000002</c:v>
                </c:pt>
                <c:pt idx="20">
                  <c:v>36.6</c:v>
                </c:pt>
                <c:pt idx="21">
                  <c:v>40.25</c:v>
                </c:pt>
                <c:pt idx="22">
                  <c:v>35.43</c:v>
                </c:pt>
                <c:pt idx="23">
                  <c:v>60.09</c:v>
                </c:pt>
                <c:pt idx="24">
                  <c:v>45.84</c:v>
                </c:pt>
                <c:pt idx="25">
                  <c:v>70.400000000000006</c:v>
                </c:pt>
                <c:pt idx="26">
                  <c:v>83.45</c:v>
                </c:pt>
                <c:pt idx="27">
                  <c:v>84.3</c:v>
                </c:pt>
                <c:pt idx="28">
                  <c:v>78.89</c:v>
                </c:pt>
                <c:pt idx="29">
                  <c:v>64.75</c:v>
                </c:pt>
                <c:pt idx="30">
                  <c:v>72.56</c:v>
                </c:pt>
                <c:pt idx="31">
                  <c:v>89.31</c:v>
                </c:pt>
                <c:pt idx="32">
                  <c:v>78.940000000000026</c:v>
                </c:pt>
                <c:pt idx="33">
                  <c:v>83.55</c:v>
                </c:pt>
                <c:pt idx="34">
                  <c:v>127</c:v>
                </c:pt>
                <c:pt idx="35">
                  <c:v>121</c:v>
                </c:pt>
                <c:pt idx="36">
                  <c:v>107</c:v>
                </c:pt>
                <c:pt idx="37">
                  <c:v>129</c:v>
                </c:pt>
                <c:pt idx="38">
                  <c:v>74.02</c:v>
                </c:pt>
                <c:pt idx="39">
                  <c:v>55.48</c:v>
                </c:pt>
                <c:pt idx="40">
                  <c:v>73.13</c:v>
                </c:pt>
                <c:pt idx="41">
                  <c:v>50.5</c:v>
                </c:pt>
                <c:pt idx="42">
                  <c:v>50.88</c:v>
                </c:pt>
                <c:pt idx="43">
                  <c:v>140</c:v>
                </c:pt>
                <c:pt idx="44">
                  <c:v>96.54</c:v>
                </c:pt>
                <c:pt idx="45">
                  <c:v>118</c:v>
                </c:pt>
                <c:pt idx="46">
                  <c:v>107</c:v>
                </c:pt>
                <c:pt idx="47">
                  <c:v>123</c:v>
                </c:pt>
                <c:pt idx="48">
                  <c:v>65.92</c:v>
                </c:pt>
                <c:pt idx="49">
                  <c:v>81.290000000000006</c:v>
                </c:pt>
                <c:pt idx="50">
                  <c:v>111</c:v>
                </c:pt>
                <c:pt idx="51">
                  <c:v>90.73</c:v>
                </c:pt>
                <c:pt idx="52">
                  <c:v>133</c:v>
                </c:pt>
                <c:pt idx="53">
                  <c:v>41.9</c:v>
                </c:pt>
                <c:pt idx="54">
                  <c:v>41.71</c:v>
                </c:pt>
                <c:pt idx="55">
                  <c:v>58.160000000000011</c:v>
                </c:pt>
                <c:pt idx="56">
                  <c:v>88.85</c:v>
                </c:pt>
                <c:pt idx="57">
                  <c:v>155</c:v>
                </c:pt>
                <c:pt idx="58">
                  <c:v>70.77</c:v>
                </c:pt>
                <c:pt idx="59">
                  <c:v>75.08</c:v>
                </c:pt>
                <c:pt idx="60">
                  <c:v>57.05</c:v>
                </c:pt>
                <c:pt idx="61">
                  <c:v>99.73</c:v>
                </c:pt>
                <c:pt idx="62">
                  <c:v>27.95999999999999</c:v>
                </c:pt>
                <c:pt idx="63">
                  <c:v>123</c:v>
                </c:pt>
                <c:pt idx="64">
                  <c:v>90.410000000000025</c:v>
                </c:pt>
                <c:pt idx="65">
                  <c:v>106</c:v>
                </c:pt>
                <c:pt idx="66">
                  <c:v>144</c:v>
                </c:pt>
                <c:pt idx="67">
                  <c:v>121</c:v>
                </c:pt>
                <c:pt idx="68">
                  <c:v>97.13</c:v>
                </c:pt>
                <c:pt idx="69">
                  <c:v>166</c:v>
                </c:pt>
                <c:pt idx="70">
                  <c:v>87.990000000000023</c:v>
                </c:pt>
                <c:pt idx="71">
                  <c:v>154</c:v>
                </c:pt>
                <c:pt idx="72">
                  <c:v>100</c:v>
                </c:pt>
                <c:pt idx="73">
                  <c:v>123</c:v>
                </c:pt>
                <c:pt idx="74">
                  <c:v>217</c:v>
                </c:pt>
                <c:pt idx="75">
                  <c:v>140</c:v>
                </c:pt>
                <c:pt idx="76">
                  <c:v>109</c:v>
                </c:pt>
                <c:pt idx="77">
                  <c:v>127</c:v>
                </c:pt>
                <c:pt idx="78">
                  <c:v>112</c:v>
                </c:pt>
                <c:pt idx="79">
                  <c:v>192</c:v>
                </c:pt>
                <c:pt idx="80">
                  <c:v>132</c:v>
                </c:pt>
                <c:pt idx="81">
                  <c:v>126</c:v>
                </c:pt>
                <c:pt idx="82">
                  <c:v>153</c:v>
                </c:pt>
                <c:pt idx="83">
                  <c:v>158</c:v>
                </c:pt>
                <c:pt idx="84">
                  <c:v>183</c:v>
                </c:pt>
                <c:pt idx="85">
                  <c:v>184</c:v>
                </c:pt>
                <c:pt idx="86">
                  <c:v>121</c:v>
                </c:pt>
                <c:pt idx="87">
                  <c:v>159</c:v>
                </c:pt>
                <c:pt idx="88">
                  <c:v>245</c:v>
                </c:pt>
                <c:pt idx="89">
                  <c:v>137</c:v>
                </c:pt>
                <c:pt idx="90">
                  <c:v>165</c:v>
                </c:pt>
                <c:pt idx="91">
                  <c:v>152</c:v>
                </c:pt>
                <c:pt idx="92">
                  <c:v>181</c:v>
                </c:pt>
                <c:pt idx="93">
                  <c:v>80.95</c:v>
                </c:pt>
                <c:pt idx="94">
                  <c:v>137</c:v>
                </c:pt>
                <c:pt idx="95">
                  <c:v>125</c:v>
                </c:pt>
                <c:pt idx="96">
                  <c:v>241</c:v>
                </c:pt>
                <c:pt idx="97">
                  <c:v>134</c:v>
                </c:pt>
                <c:pt idx="98">
                  <c:v>150</c:v>
                </c:pt>
                <c:pt idx="99">
                  <c:v>198</c:v>
                </c:pt>
                <c:pt idx="100">
                  <c:v>151</c:v>
                </c:pt>
                <c:pt idx="101">
                  <c:v>229</c:v>
                </c:pt>
                <c:pt idx="102">
                  <c:v>253</c:v>
                </c:pt>
                <c:pt idx="103">
                  <c:v>188</c:v>
                </c:pt>
                <c:pt idx="104">
                  <c:v>124</c:v>
                </c:pt>
                <c:pt idx="105">
                  <c:v>62.2</c:v>
                </c:pt>
                <c:pt idx="106">
                  <c:v>133</c:v>
                </c:pt>
                <c:pt idx="107">
                  <c:v>208</c:v>
                </c:pt>
                <c:pt idx="108">
                  <c:v>208</c:v>
                </c:pt>
              </c:numCache>
            </c:numRef>
          </c:yVal>
          <c:smooth val="0"/>
          <c:extLst>
            <c:ext xmlns:c16="http://schemas.microsoft.com/office/drawing/2014/chart" uri="{C3380CC4-5D6E-409C-BE32-E72D297353CC}">
              <c16:uniqueId val="{00000003-6516-46FE-BFEA-209A5684F7A9}"/>
            </c:ext>
          </c:extLst>
        </c:ser>
        <c:dLbls>
          <c:showLegendKey val="0"/>
          <c:showVal val="0"/>
          <c:showCatName val="0"/>
          <c:showSerName val="0"/>
          <c:showPercent val="0"/>
          <c:showBubbleSize val="0"/>
        </c:dLbls>
        <c:axId val="592062840"/>
        <c:axId val="592058528"/>
      </c:scatterChart>
      <c:valAx>
        <c:axId val="592062840"/>
        <c:scaling>
          <c:orientation val="minMax"/>
          <c:min val="50"/>
        </c:scaling>
        <c:delete val="0"/>
        <c:axPos val="b"/>
        <c:numFmt formatCode="General" sourceLinked="1"/>
        <c:majorTickMark val="out"/>
        <c:minorTickMark val="none"/>
        <c:tickLblPos val="nextTo"/>
        <c:crossAx val="592058528"/>
        <c:crosses val="autoZero"/>
        <c:crossBetween val="midCat"/>
        <c:majorUnit val="20"/>
      </c:valAx>
      <c:valAx>
        <c:axId val="592058528"/>
        <c:scaling>
          <c:orientation val="minMax"/>
        </c:scaling>
        <c:delete val="0"/>
        <c:axPos val="l"/>
        <c:majorGridlines/>
        <c:numFmt formatCode="General" sourceLinked="1"/>
        <c:majorTickMark val="out"/>
        <c:minorTickMark val="none"/>
        <c:tickLblPos val="nextTo"/>
        <c:crossAx val="592062840"/>
        <c:crosses val="autoZero"/>
        <c:crossBetween val="midCat"/>
      </c:valAx>
    </c:plotArea>
    <c:legend>
      <c:legendPos val="r"/>
      <c:overlay val="0"/>
    </c:legend>
    <c:plotVisOnly val="1"/>
    <c:dispBlanksAs val="gap"/>
    <c:showDLblsOverMax val="0"/>
  </c:chart>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j2pjQV39TqmV0RRnQ82NSpL+vw==">CgMxLjAyDWguZG1ybTBtcDl4ZGEyDmgudWxjMTBoaHh2cmw4Mg5oLnkzMmh4cG8ycThpMjIOaC52bjV3NXV6NWRtZmIyDmguNHFlYTZlMXhuMTNmMghoLnR5amN3dDIJaC4zZHk2dmttOAByITFWV0llYUVqV3EzQlBpQk9PME9CZ1BHTXZVR3V0Q1NHWg==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2026-01-28T01:26:00Z</dcterms:created>
  <dc:creator>okti</dc:creator>
</cp:coreProperties>
</file>