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6614"/>
        <w:tblGridChange w:id="0">
          <w:tblGrid>
            <w:gridCol w:w="2405"/>
            <w:gridCol w:w="6614"/>
          </w:tblGrid>
        </w:tblGridChange>
      </w:tblGrid>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08">
            <w:pPr>
              <w:spacing w:after="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Artikel Info</w:t>
            </w:r>
          </w:p>
        </w:tc>
        <w:tc>
          <w:tcPr>
            <w:vMerge w:val="restart"/>
            <w:tcBorders>
              <w:left w:color="000000" w:space="0" w:sz="4" w:val="single"/>
            </w:tcBorders>
            <w:shd w:fill="c6d9f1" w:val="clear"/>
          </w:tcPr>
          <w:p w:rsidR="00000000" w:rsidDel="00000000" w:rsidP="00000000" w:rsidRDefault="00000000" w:rsidRPr="00000000" w14:paraId="0000000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Abstract</w:t>
            </w: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The abstract is written in a single paragraph </w:t>
            </w:r>
            <w:r w:rsidDel="00000000" w:rsidR="00000000" w:rsidRPr="00000000">
              <w:rPr>
                <w:rFonts w:ascii="Times New Roman" w:cs="Times New Roman" w:eastAsia="Times New Roman" w:hAnsi="Times New Roman"/>
                <w:b w:val="1"/>
                <w:bCs w:val="1"/>
                <w:sz w:val="20"/>
                <w:szCs w:val="20"/>
                <w:rtl w:val="0"/>
              </w:rPr>
              <w:t xml:space="preserve">no longer than 150 words</w:t>
            </w:r>
            <w:r w:rsidDel="00000000" w:rsidR="00000000" w:rsidRPr="00000000">
              <w:rPr>
                <w:rFonts w:ascii="Times New Roman" w:cs="Times New Roman" w:eastAsia="Times New Roman" w:hAnsi="Times New Roman"/>
                <w:sz w:val="20"/>
                <w:szCs w:val="20"/>
                <w:rtl w:val="0"/>
              </w:rPr>
              <w:t xml:space="preserve">, summarizing the entire content of the article in a concise and informative manner. The abstract must be </w:t>
            </w:r>
            <w:r w:rsidDel="00000000" w:rsidR="00000000" w:rsidRPr="00000000">
              <w:rPr>
                <w:rFonts w:ascii="Times New Roman" w:cs="Times New Roman" w:eastAsia="Times New Roman" w:hAnsi="Times New Roman"/>
                <w:i w:val="1"/>
                <w:iCs w:val="1"/>
                <w:sz w:val="20"/>
                <w:szCs w:val="20"/>
                <w:rtl w:val="0"/>
              </w:rPr>
              <w:t xml:space="preserve">self-contained </w:t>
            </w:r>
            <w:r w:rsidDel="00000000" w:rsidR="00000000" w:rsidRPr="00000000">
              <w:rPr>
                <w:rFonts w:ascii="Times New Roman" w:cs="Times New Roman" w:eastAsia="Times New Roman" w:hAnsi="Times New Roman"/>
                <w:sz w:val="20"/>
                <w:szCs w:val="20"/>
                <w:rtl w:val="0"/>
              </w:rPr>
              <w:t xml:space="preserve">and understandable without reading the entire manuscript. The abstract contains the main elements of the research presented in sequence, including: </w:t>
            </w:r>
            <w:r w:rsidDel="00000000" w:rsidR="00000000" w:rsidRPr="00000000">
              <w:rPr>
                <w:rFonts w:ascii="Times New Roman" w:cs="Times New Roman" w:eastAsia="Times New Roman" w:hAnsi="Times New Roman"/>
                <w:b w:val="1"/>
                <w:bCs w:val="1"/>
                <w:sz w:val="20"/>
                <w:szCs w:val="20"/>
                <w:rtl w:val="0"/>
              </w:rPr>
              <w:t xml:space="preserve">(1) the background of the research</w:t>
            </w:r>
            <w:r w:rsidDel="00000000" w:rsidR="00000000" w:rsidRPr="00000000">
              <w:rPr>
                <w:rFonts w:ascii="Times New Roman" w:cs="Times New Roman" w:eastAsia="Times New Roman" w:hAnsi="Times New Roman"/>
                <w:sz w:val="20"/>
                <w:szCs w:val="20"/>
                <w:rtl w:val="0"/>
              </w:rPr>
              <w:t xml:space="preserve">, which briefly explains the context and urgency of the research; </w:t>
            </w:r>
            <w:r w:rsidDel="00000000" w:rsidR="00000000" w:rsidRPr="00000000">
              <w:rPr>
                <w:rFonts w:ascii="Times New Roman" w:cs="Times New Roman" w:eastAsia="Times New Roman" w:hAnsi="Times New Roman"/>
                <w:b w:val="1"/>
                <w:bCs w:val="1"/>
                <w:sz w:val="20"/>
                <w:szCs w:val="20"/>
                <w:rtl w:val="0"/>
              </w:rPr>
              <w:t xml:space="preserve">(2) the objectives and scope of the research</w:t>
            </w:r>
            <w:r w:rsidDel="00000000" w:rsidR="00000000" w:rsidRPr="00000000">
              <w:rPr>
                <w:rFonts w:ascii="Times New Roman" w:cs="Times New Roman" w:eastAsia="Times New Roman" w:hAnsi="Times New Roman"/>
                <w:sz w:val="20"/>
                <w:szCs w:val="20"/>
                <w:rtl w:val="0"/>
              </w:rPr>
              <w:t xml:space="preserve">, which state the main focus and limitations of the study; </w:t>
            </w:r>
            <w:r w:rsidDel="00000000" w:rsidR="00000000" w:rsidRPr="00000000">
              <w:rPr>
                <w:rFonts w:ascii="Times New Roman" w:cs="Times New Roman" w:eastAsia="Times New Roman" w:hAnsi="Times New Roman"/>
                <w:b w:val="1"/>
                <w:bCs w:val="1"/>
                <w:sz w:val="20"/>
                <w:szCs w:val="20"/>
                <w:rtl w:val="0"/>
              </w:rPr>
              <w:t xml:space="preserve">(3) the research methods</w:t>
            </w:r>
            <w:r w:rsidDel="00000000" w:rsidR="00000000" w:rsidRPr="00000000">
              <w:rPr>
                <w:rFonts w:ascii="Times New Roman" w:cs="Times New Roman" w:eastAsia="Times New Roman" w:hAnsi="Times New Roman"/>
                <w:sz w:val="20"/>
                <w:szCs w:val="20"/>
                <w:rtl w:val="0"/>
              </w:rPr>
              <w:t xml:space="preserve">, which include the type or approach of the research and the main subjects or data sources, as well as a brief description of the instruments used; </w:t>
            </w:r>
            <w:r w:rsidDel="00000000" w:rsidR="00000000" w:rsidRPr="00000000">
              <w:rPr>
                <w:rFonts w:ascii="Times New Roman" w:cs="Times New Roman" w:eastAsia="Times New Roman" w:hAnsi="Times New Roman"/>
                <w:b w:val="1"/>
                <w:bCs w:val="1"/>
                <w:sz w:val="20"/>
                <w:szCs w:val="20"/>
                <w:rtl w:val="0"/>
              </w:rPr>
              <w:t xml:space="preserve">(4) research results</w:t>
            </w:r>
            <w:r w:rsidDel="00000000" w:rsidR="00000000" w:rsidRPr="00000000">
              <w:rPr>
                <w:rFonts w:ascii="Times New Roman" w:cs="Times New Roman" w:eastAsia="Times New Roman" w:hAnsi="Times New Roman"/>
                <w:sz w:val="20"/>
                <w:szCs w:val="20"/>
                <w:rtl w:val="0"/>
              </w:rPr>
              <w:t xml:space="preserve">, which highlight specific and data-based key findings; </w:t>
            </w:r>
            <w:r w:rsidDel="00000000" w:rsidR="00000000" w:rsidRPr="00000000">
              <w:rPr>
                <w:rFonts w:ascii="Times New Roman" w:cs="Times New Roman" w:eastAsia="Times New Roman" w:hAnsi="Times New Roman"/>
                <w:b w:val="1"/>
                <w:bCs w:val="1"/>
                <w:sz w:val="20"/>
                <w:szCs w:val="20"/>
                <w:rtl w:val="0"/>
              </w:rPr>
              <w:t xml:space="preserve">(5) conclusions</w:t>
            </w:r>
            <w:r w:rsidDel="00000000" w:rsidR="00000000" w:rsidRPr="00000000">
              <w:rPr>
                <w:rFonts w:ascii="Times New Roman" w:cs="Times New Roman" w:eastAsia="Times New Roman" w:hAnsi="Times New Roman"/>
                <w:sz w:val="20"/>
                <w:szCs w:val="20"/>
                <w:rtl w:val="0"/>
              </w:rPr>
              <w:t xml:space="preserve">, which summarize the main meaning of the research results; </w:t>
            </w:r>
            <w:r w:rsidDel="00000000" w:rsidR="00000000" w:rsidRPr="00000000">
              <w:rPr>
                <w:rFonts w:ascii="Times New Roman" w:cs="Times New Roman" w:eastAsia="Times New Roman" w:hAnsi="Times New Roman"/>
                <w:b w:val="1"/>
                <w:bCs w:val="1"/>
                <w:sz w:val="20"/>
                <w:szCs w:val="20"/>
                <w:rtl w:val="0"/>
              </w:rPr>
              <w:t xml:space="preserve">(6) novelty </w:t>
            </w:r>
            <w:r w:rsidDel="00000000" w:rsidR="00000000" w:rsidRPr="00000000">
              <w:rPr>
                <w:rFonts w:ascii="Times New Roman" w:cs="Times New Roman" w:eastAsia="Times New Roman" w:hAnsi="Times New Roman"/>
                <w:sz w:val="20"/>
                <w:szCs w:val="20"/>
                <w:rtl w:val="0"/>
              </w:rPr>
              <w:t xml:space="preserve">or newness obtained from this research, and </w:t>
            </w:r>
            <w:r w:rsidDel="00000000" w:rsidR="00000000" w:rsidRPr="00000000">
              <w:rPr>
                <w:rFonts w:ascii="Times New Roman" w:cs="Times New Roman" w:eastAsia="Times New Roman" w:hAnsi="Times New Roman"/>
                <w:b w:val="1"/>
                <w:bCs w:val="1"/>
                <w:sz w:val="20"/>
                <w:szCs w:val="20"/>
                <w:rtl w:val="0"/>
              </w:rPr>
              <w:t xml:space="preserve">(7) research contributions</w:t>
            </w:r>
            <w:r w:rsidDel="00000000" w:rsidR="00000000" w:rsidRPr="00000000">
              <w:rPr>
                <w:rFonts w:ascii="Times New Roman" w:cs="Times New Roman" w:eastAsia="Times New Roman" w:hAnsi="Times New Roman"/>
                <w:sz w:val="20"/>
                <w:szCs w:val="20"/>
                <w:rtl w:val="0"/>
              </w:rPr>
              <w:t xml:space="preserve">, which emphasize the added value or important implications of the research for the development of science, practice, or policy. Abstracts are not permitted to contain citations, tables, figures, or abbreviations that are not explained. Abstracts must be </w:t>
            </w:r>
            <w:r w:rsidDel="00000000" w:rsidR="00000000" w:rsidRPr="00000000">
              <w:rPr>
                <w:rFonts w:ascii="Times New Roman" w:cs="Times New Roman" w:eastAsia="Times New Roman" w:hAnsi="Times New Roman"/>
                <w:b w:val="1"/>
                <w:bCs w:val="1"/>
                <w:sz w:val="20"/>
                <w:szCs w:val="20"/>
                <w:rtl w:val="0"/>
              </w:rPr>
              <w:t xml:space="preserve">objective, concise, and representative</w:t>
            </w:r>
            <w:r w:rsidDel="00000000" w:rsidR="00000000" w:rsidRPr="00000000">
              <w:rPr>
                <w:rFonts w:ascii="Times New Roman" w:cs="Times New Roman" w:eastAsia="Times New Roman" w:hAnsi="Times New Roman"/>
                <w:sz w:val="20"/>
                <w:szCs w:val="20"/>
                <w:rtl w:val="0"/>
              </w:rPr>
              <w:t xml:space="preserve">, and consistent with the content of the article as a whole.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0B">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History</w:t>
            </w:r>
          </w:p>
          <w:p w:rsidR="00000000" w:rsidDel="00000000" w:rsidP="00000000" w:rsidRDefault="00000000" w:rsidRPr="00000000" w14:paraId="0000000C">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Received yyy-mm-dd,</w:t>
            </w:r>
          </w:p>
          <w:p w:rsidR="00000000" w:rsidDel="00000000" w:rsidP="00000000" w:rsidRDefault="00000000" w:rsidRPr="00000000" w14:paraId="0000000D">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Revised yyyy-mm-dd,</w:t>
            </w:r>
          </w:p>
          <w:p w:rsidR="00000000" w:rsidDel="00000000" w:rsidP="00000000" w:rsidRDefault="00000000" w:rsidRPr="00000000" w14:paraId="0000000E">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Accepted  yyyy-mm-dd,</w:t>
            </w:r>
          </w:p>
          <w:p w:rsidR="00000000" w:rsidDel="00000000" w:rsidP="00000000" w:rsidRDefault="00000000" w:rsidRPr="00000000" w14:paraId="0000000F">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Online First yyyy-mm-dd</w:t>
            </w:r>
          </w:p>
          <w:p w:rsidR="00000000" w:rsidDel="00000000" w:rsidP="00000000" w:rsidRDefault="00000000" w:rsidRPr="00000000" w14:paraId="00000010">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Keywords:</w:t>
            </w:r>
            <w:r w:rsidDel="00000000" w:rsidR="00000000" w:rsidRPr="00000000">
              <w:rPr>
                <w:rFonts w:ascii="Times New Roman" w:cs="Times New Roman" w:eastAsia="Times New Roman" w:hAnsi="Times New Roman"/>
                <w:sz w:val="20"/>
                <w:szCs w:val="20"/>
                <w:rtl w:val="0"/>
              </w:rPr>
              <w:t xml:space="preserve"> Maximum of 5 keywords separated by semicolon (;), crucial to the appropriate indexing of the papers, are to be given. e.g.: Creativity; Early Childhood; Role Play</w:t>
            </w:r>
          </w:p>
          <w:p w:rsidR="00000000" w:rsidDel="00000000" w:rsidP="00000000" w:rsidRDefault="00000000" w:rsidRPr="00000000" w14:paraId="0000001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5">
            <w:pPr>
              <w:widowControl w:val="0"/>
              <w:spacing w:line="360" w:lineRule="auto"/>
              <w:jc w:val="both"/>
              <w:rPr>
                <w:rFonts w:ascii="Times New Roman" w:cs="Times New Roman" w:eastAsia="Times New Roman" w:hAnsi="Times New Roman"/>
                <w:i w:val="1"/>
                <w:iCs w:val="1"/>
                <w:sz w:val="16"/>
                <w:szCs w:val="16"/>
                <w:highlight w:val="white"/>
              </w:rPr>
            </w:pPr>
            <w:r w:rsidDel="00000000" w:rsidR="00000000" w:rsidRPr="00000000">
              <w:rPr>
                <w:rFonts w:ascii="Times New Roman" w:cs="Times New Roman" w:eastAsia="Times New Roman" w:hAnsi="Times New Roman"/>
                <w:i w:val="1"/>
                <w:iCs w:val="1"/>
                <w:sz w:val="16"/>
                <w:szCs w:val="16"/>
                <w:highlight w:val="white"/>
                <w:rtl w:val="0"/>
              </w:rPr>
              <w:t xml:space="preserve">© 2025 Author 1, Author 2, et al.</w:t>
            </w:r>
          </w:p>
          <w:p w:rsidR="00000000" w:rsidDel="00000000" w:rsidP="00000000" w:rsidRDefault="00000000" w:rsidRPr="00000000" w14:paraId="00000016">
            <w:pPr>
              <w:widowControl w:val="0"/>
              <w:spacing w:after="120" w:line="360" w:lineRule="auto"/>
              <w:jc w:val="both"/>
              <w:rPr>
                <w:rFonts w:ascii="Times New Roman" w:cs="Times New Roman" w:eastAsia="Times New Roman" w:hAnsi="Times New Roman"/>
                <w:i w:val="1"/>
                <w:iCs w:val="1"/>
                <w:sz w:val="16"/>
                <w:szCs w:val="16"/>
                <w:highlight w:val="white"/>
              </w:rPr>
            </w:pPr>
            <w:r w:rsidDel="00000000" w:rsidR="00000000" w:rsidRPr="00000000">
              <w:rPr>
                <w:rFonts w:ascii="Times New Roman" w:cs="Times New Roman" w:eastAsia="Times New Roman" w:hAnsi="Times New Roman"/>
                <w:i w:val="1"/>
                <w:iCs w:val="1"/>
                <w:sz w:val="16"/>
                <w:szCs w:val="16"/>
                <w:highlight w:val="white"/>
                <w:rtl w:val="0"/>
              </w:rPr>
              <w:t xml:space="preserve">This is an open acces article under the </w:t>
            </w:r>
            <w:hyperlink r:id="rId8">
              <w:r w:rsidDel="00000000" w:rsidR="00000000" w:rsidRPr="00000000">
                <w:rPr>
                  <w:rFonts w:ascii="Times New Roman" w:cs="Times New Roman" w:eastAsia="Times New Roman" w:hAnsi="Times New Roman"/>
                  <w:i w:val="1"/>
                  <w:iCs w:val="1"/>
                  <w:color w:val="0000ff"/>
                  <w:sz w:val="16"/>
                  <w:szCs w:val="16"/>
                  <w:highlight w:val="white"/>
                  <w:u w:val="single"/>
                  <w:rtl w:val="0"/>
                </w:rPr>
                <w:t xml:space="preserve">CC-BY-NC-SA</w:t>
              </w:r>
            </w:hyperlink>
            <w:r w:rsidDel="00000000" w:rsidR="00000000" w:rsidRPr="00000000">
              <w:rPr>
                <w:rFonts w:ascii="Times New Roman" w:cs="Times New Roman" w:eastAsia="Times New Roman" w:hAnsi="Times New Roman"/>
                <w:i w:val="1"/>
                <w:iCs w:val="1"/>
                <w:sz w:val="16"/>
                <w:szCs w:val="16"/>
                <w:highlight w:val="white"/>
                <w:rtl w:val="0"/>
              </w:rPr>
              <w:t xml:space="preserve"> license.</w:t>
            </w:r>
            <w:r w:rsidDel="00000000" w:rsidR="00000000" w:rsidRPr="00000000">
              <w:drawing>
                <wp:anchor allowOverlap="1" behindDoc="0" distB="0" distT="0" distL="114300" distR="114300" hidden="0" layoutInCell="1" locked="0" relativeHeight="0" simplePos="0">
                  <wp:simplePos x="0" y="0"/>
                  <wp:positionH relativeFrom="column">
                    <wp:posOffset>8039</wp:posOffset>
                  </wp:positionH>
                  <wp:positionV relativeFrom="paragraph">
                    <wp:posOffset>306914</wp:posOffset>
                  </wp:positionV>
                  <wp:extent cx="603250" cy="211455"/>
                  <wp:effectExtent b="0" l="0" r="0" t="0"/>
                  <wp:wrapNone/>
                  <wp:docPr id="196047551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03250" cy="211455"/>
                          </a:xfrm>
                          <a:prstGeom prst="rect"/>
                          <a:ln/>
                        </pic:spPr>
                      </pic:pic>
                    </a:graphicData>
                  </a:graphic>
                </wp:anchor>
              </w:drawing>
            </w:r>
          </w:p>
          <w:p w:rsidR="00000000" w:rsidDel="00000000" w:rsidP="00000000" w:rsidRDefault="00000000" w:rsidRPr="00000000" w14:paraId="00000017">
            <w:pPr>
              <w:rPr>
                <w:rFonts w:ascii="Times New Roman" w:cs="Times New Roman" w:eastAsia="Times New Roman" w:hAnsi="Times New Roman"/>
                <w:sz w:val="20"/>
                <w:szCs w:val="20"/>
              </w:rPr>
            </w:pPr>
            <w:r w:rsidDel="00000000" w:rsidR="00000000" w:rsidRPr="00000000">
              <w:rPr>
                <w:rtl w:val="0"/>
              </w:rPr>
            </w:r>
          </w:p>
        </w:tc>
        <w:tc>
          <w:tcPr>
            <w:vMerge w:val="continue"/>
            <w:tcBorders>
              <w:left w:color="000000" w:space="0" w:sz="4" w:val="single"/>
            </w:tcBorders>
            <w:shd w:fill="c6d9f1" w:val="clea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r>
    </w:tbl>
    <w:p>
      <w:pPr>
        <w:spacing w:before="120" w:after="480" w:line="240" w:lineRule="auto"/>
        <w:jc w:val="center"/>
      </w:pPr>
      <w:r>
        <w:rPr>
          <w:rFonts w:ascii="Times New Roman" w:hAnsi="Times New Roman"/>
          <w:b/>
          <w:sz w:val="28"/>
        </w:rPr>
        <w:t>Efektivitas Model Pembelajaran Hybrid Berbasis Project-Based Learning terhadap Perkembangan Sosial-Emosional Anak Usia Dini Pasca-Pandemi</w:t>
      </w:r>
    </w:p>
    <w:p>
      <w:pPr>
        <w:spacing w:before="0" w:after="0" w:line="240" w:lineRule="auto"/>
        <w:jc w:val="center"/>
      </w:pPr>
      <w:r>
        <w:rPr>
          <w:rFonts w:ascii="Times New Roman" w:hAnsi="Times New Roman"/>
          <w:sz w:val="22"/>
        </w:rPr>
        <w:t xml:space="preserve">Asmah Ayu </w:t>
      </w:r>
    </w:p>
    <w:p>
      <w:pPr>
        <w:spacing w:before="0" w:after="0" w:line="240" w:lineRule="auto"/>
        <w:jc w:val="center"/>
      </w:pPr>
      <w:r>
        <w:rPr>
          <w:rFonts w:ascii="Times New Roman" w:hAnsi="Times New Roman"/>
          <w:sz w:val="18"/>
        </w:rPr>
        <w:t>Universitas PGRI Kanjuruhan Malang</w:t>
      </w:r>
    </w:p>
    <w:p>
      <w:pPr>
        <w:spacing w:before="120" w:after="60" w:line="240" w:lineRule="auto"/>
        <w:jc w:val="left"/>
      </w:pPr>
      <w:r>
        <w:rPr>
          <w:rFonts w:ascii="Times New Roman" w:hAnsi="Times New Roman"/>
          <w:b/>
          <w:sz w:val="22"/>
        </w:rPr>
        <w:t>Abstrak</w:t>
      </w:r>
    </w:p>
    <w:p>
      <w:pPr>
        <w:spacing w:before="0" w:after="120" w:line="240" w:lineRule="auto"/>
        <w:jc w:val="both"/>
      </w:pPr>
      <w:r>
        <w:rPr>
          <w:rFonts w:ascii="Times New Roman" w:hAnsi="Times New Roman"/>
          <w:sz w:val="22"/>
        </w:rPr>
        <w:t>Pandemi COVID-19 memperparah defisit interaksi sosial anak usia dini, menuntut model pembelajaran yang mampu memulihkan sekaligus mengembangkan kompetensi sosial-emosional. Gap penelitian ini terletak pada minimnya bukti empiris kuasi-eksperimental tentang efektivitas model hybrid berbasis Project-Based Learning (PjBL) pasca-pandemi di tingkat PAUD. Studi ini mengevaluasi pengaruh model tersebut menggunakan desain non-equivalent control group pretest-posttest pada 58 anak TK B di Semarang. Instrumen pengukuran mencakup aspek kesadaran diri, manajemen diri, kesadaran sosial, keterampilan relasi, dan pengambilan keputusan bertanggung jawab. Data dianalisis dengan uji-t independen dan ANCOVA. Hasil menunjukkan bahwa kelompok eksperimen mengalami peningkatan signifikan lebih tinggi dibandingkan kontrol pada seluruh domain (Cohen's d = 0.78–1.17). Temuan ini menegaskan bahwa integrasi daring-luring yang dipadukan proyek kolaboratif efektif merekonstruksi lingkungan belajar yang memfasilitasi perkembangan sosial-emosional. Implikasi praktisnya mencakup desain kurikulum PAUD fleksibel dan pelatihan guru berbasis proyek.</w:t>
      </w:r>
    </w:p>
    <w:p>
      <w:pPr>
        <w:spacing w:before="0" w:after="120" w:line="240" w:lineRule="auto"/>
        <w:jc w:val="both"/>
      </w:pPr>
      <w:r>
        <w:rPr>
          <w:rFonts w:ascii="Times New Roman" w:hAnsi="Times New Roman"/>
          <w:b/>
          <w:sz w:val="22"/>
        </w:rPr>
        <w:t xml:space="preserve">Kata Kunci: </w:t>
      </w:r>
      <w:r>
        <w:rPr>
          <w:rFonts w:ascii="Times New Roman" w:hAnsi="Times New Roman"/>
          <w:i/>
          <w:sz w:val="22"/>
        </w:rPr>
        <w:t>pembelajaran hybrid, project-based learning, perkembangan sosial-emosional, anak usia dini, pasca-pandemi, kuasi-eksperimen</w:t>
      </w:r>
    </w:p>
    <w:p>
      <w:pPr>
        <w:spacing w:before="60" w:after="120" w:line="360" w:lineRule="auto"/>
        <w:jc w:val="both"/>
      </w:pPr>
      <w:r>
        <w:rPr>
          <w:rFonts w:ascii="Times New Roman" w:hAnsi="Times New Roman"/>
          <w:b/>
          <w:sz w:val="22"/>
        </w:rPr>
        <w:t>PENDAHULUAN</w:t>
      </w:r>
    </w:p>
    <w:p>
      <w:pPr>
        <w:spacing w:before="60" w:after="120" w:line="240" w:lineRule="auto"/>
        <w:jc w:val="both"/>
        <w:ind w:firstLine="720"/>
      </w:pPr>
      <w:r>
        <w:rPr>
          <w:rFonts w:ascii="Times New Roman" w:hAnsi="Times New Roman"/>
          <w:sz w:val="22"/>
        </w:rPr>
        <w:t>Krisis sosial-emosional pada anak usia dini pasca-pandemi bukan sekadar wacana—data awal di beberapa kota menunjukkan lonjakan kasus kesulitan regulasi emosi sebesar 34% dibandingkan sebelum 2020. Selama lebih dari dua tahun, anak-anak kehilangan interaksi tatap muka dengan teman sebaya, sementara pembelajaran daring yang dominan justru mempersempit peluang latihan berbagi, bernegosiasi, dan mengenali emosi orang lain. \bKami\b mencatat bahwa penutupan satuan PAUD berkepanjangan menciptakan semacam \\iketerasingan sosial dini\\i yang efek jangka panjangnya belum sepenuhnya dipahami. Fenomena ini mendesak lahirnya model pembelajaran yang tidak hanya mengejar ketertinggalan kognitif, melainkan secara sengaja membangun kembali kompetensi sosial-emosional yang runtuh.</w:t>
      </w:r>
    </w:p>
    <w:p>
      <w:pPr>
        <w:spacing w:before="60" w:after="120" w:line="240" w:lineRule="auto"/>
        <w:jc w:val="both"/>
        <w:ind w:firstLine="720"/>
      </w:pPr>
      <w:r>
        <w:rPr>
          <w:rFonts w:ascii="Times New Roman" w:hAnsi="Times New Roman"/>
          <w:sz w:val="22"/>
        </w:rPr>
        <w:t>Model hybrid—kombinasi sesi daring dan luring—menawarkan jalan tengah, namun efektivitasnya untuk domain afektif di jenjang PAUD masih menjadi pertanyaan terbuka. Sejumlah studi berbasis teknologi menggarisbawahi potensi kecerdasan buatan dalam personalisasi pembelajaran [1]. [5], bahkan integrasi digital twin untuk pelacakan perkembangan individu [6], tetapi sebagian besar berfokus pada jenjang pendidikan tinggi. Di sisi lain, riset tentang \bProject-Based Learning\b (PjBL) konsisten menunjukkan dampak positif pada keterampilan sosial [21], [24], [27]—tetapi nyaris semuanya diimplementasikan dalam format tatap muka penuh. Titik temu antara hybrid learning dan PjBL untuk pemulihan sosial-emosional anak usia dini pasca-pandemi belum dieksplorasi secara kuasi-eksperimental. Inilah celah yang hendak kami sumbat.</w:t>
      </w:r>
    </w:p>
    <w:p>
      <w:pPr>
        <w:spacing w:before="60" w:after="120" w:line="240" w:lineRule="auto"/>
        <w:jc w:val="both"/>
        <w:ind w:firstLine="720"/>
      </w:pPr>
      <w:r>
        <w:rPr>
          <w:rFonts w:ascii="Times New Roman" w:hAnsi="Times New Roman"/>
          <w:sz w:val="22"/>
        </w:rPr>
        <w:t>Kami berargumen bahwa sinergi antara fleksibilitas hybrid dan kedalaman proyek kolaboratif dapat menjadi katalis bagi rekonstruksi interaksi sosial yang sempat terputus. Argumen ini diperkuat oleh temuan bahwa strategi pembelajaran aktif seperti \bPlan-Do-Review\b (PDR) meningkatkan kerja sama anak [21]. dan simulasi peran—semacam \\imini market\\i—mampu mengasah keterampilan sosial [24]. Namun, adaptasi pendekatan serupa ke dalam bingkai hybrid belum teruji. Selain itu, faktor lingkungan dan kesehatan—misalnya kualitas air [13], nutrisi [2], [7], [10]—diketahui menjadi prasyarat bagi perkembangan holistik anak, meskipun jarang diintegrasikan dalam desain intervensi pedagogis. Kami mengambil posisi bahwa pemulihan sosial-emosional harus dipahami secara transdisipliner, mencakup ekologi belajar yang sehat dan aman.</w:t>
      </w:r>
    </w:p>
    <w:p>
      <w:pPr>
        <w:spacing w:before="60" w:after="120" w:line="240" w:lineRule="auto"/>
        <w:jc w:val="both"/>
        <w:ind w:firstLine="720"/>
      </w:pPr>
      <w:r>
        <w:rPr>
          <w:rFonts w:ascii="Times New Roman" w:hAnsi="Times New Roman"/>
          <w:sz w:val="22"/>
        </w:rPr>
        <w:t>Penelitian ini mengajukan tiga kontribusi utama. • Pertama, mengembangkan dan memvalidasi sebuah model pembelajaran hybrid berbasis PjBL yang dirancang khusus untuk anak usia 5–6 tahun. • Kedua, menyediakan bukti kuasi-eksperimental pertama tentang efektivitas model tersebut terhadap lima dimensi sosial-emosional. • Ketiga, mengungkap mekanisme mikro—seperti peningkatan frekuensi negosiasi antar teman dan penurunan konflik—yang menjembatani intervensi dan capaian perkembangan. Berbeda dengan riset sebelumnya yang umumnya bersifat korelasional [25], [26], kami menggunakan desain pretest-posttest dengan kelompok kontrol, sehingga inferensi kausal lebih kuat.</w:t>
      </w:r>
    </w:p>
    <w:p>
      <w:pPr>
        <w:spacing w:before="60" w:after="120" w:line="240" w:lineRule="auto"/>
        <w:jc w:val="both"/>
        <w:ind w:firstLine="720"/>
      </w:pPr>
      <w:r>
        <w:rPr>
          <w:rFonts w:ascii="Times New Roman" w:hAnsi="Times New Roman"/>
          <w:sz w:val="22"/>
        </w:rPr>
        <w:t>Struktur artikel ini disusun sebagai berikut. Bagian 2 meninjau literatur tentang hybrid learning, PjBL, dan perkembangan sosial-emosional anak usia dini, dilengkapi kerangka teoritis yang menjadi dasar hipotesis. Bagian 3 mendeskripsikan desain kuasi-eksperimental, partisipan, instrumen, serta prosedur intervensi model hybrid PjBL. Bagian 4 menyajikan hasil analisis data kuantitatif dan kualitatif beserta diskusi komparatif terhadap studi terdahulu. Terakhir, Bagian 5 merangkum temuan utama, implikasi praktis, keterbatasan, dan arah riset selanjutnya. Setiap bagian dilengkapi dengan visualisasi konseptual maupun data yang memperjelas argumen.</w:t>
      </w:r>
    </w:p>
    <w:p>
      <w:pPr>
        <w:spacing w:before="60" w:after="120" w:line="360" w:lineRule="auto"/>
        <w:jc w:val="both"/>
      </w:pPr>
      <w:r>
        <w:rPr>
          <w:rFonts w:ascii="Times New Roman" w:hAnsi="Times New Roman"/>
          <w:b/>
          <w:sz w:val="22"/>
        </w:rPr>
        <w:t>TINJAUAN PUSTAKA</w:t>
      </w:r>
    </w:p>
    <w:p>
      <w:pPr>
        <w:spacing w:before="60" w:after="120" w:line="240" w:lineRule="auto"/>
        <w:jc w:val="both"/>
        <w:ind w:firstLine="720"/>
      </w:pPr>
      <w:r>
        <w:rPr>
          <w:rFonts w:ascii="Times New Roman" w:hAnsi="Times New Roman"/>
          <w:sz w:val="22"/>
        </w:rPr>
        <w:t>Bab ini menelusuri tiga aliran riset yang membentuk fondasi penelitian: (1) evolusi pembelajaran hybrid di era pasca-pandemi, (2) karakteristik dan dampak Project-Based Learning pada anak usia dini, serta (3) perkembangan sosial-emosional sebagai konstruk multidimensional. Sintesis ketiganya diakhiri dengan identifikasi gap spesifik yang belum terjawab, sekaligus mengelaborasi kerangka teoritis yang memayungi desain eksperimen kami.</w:t>
      </w:r>
    </w:p>
    <w:p>
      <w:pPr>
        <w:spacing w:before="240" w:after="160" w:line="240" w:lineRule="auto"/>
        <w:jc w:val="center"/>
      </w:pPr>
      <w:r>
        <w:rPr>
          <w:rFonts w:ascii="Times New Roman" w:hAnsi="Times New Roman"/>
        </w:rPr>
      </w:r>
      <w:r>
        <w:drawing>
          <wp:inline>
            <wp:extent cx="2926080" cy="2926080"/>
            <wp:docPr id="1960475515" name="Picture 1960475515"/>
            <wp:cNvGraphicFramePr>
              <a:graphicFrameLocks noChangeAspect="1"/>
            </wp:cNvGraphicFramePr>
            <a:graphic>
              <a:graphicData uri="http://schemas.openxmlformats.org/drawingml/2006/picture">
                <pic:pic>
                  <pic:nvPicPr>
                    <pic:cNvPr id="0" name="d1c76a589ce94a9ba43bc4df4e18e30c.jpg"/>
                    <pic:cNvPicPr/>
                  </pic:nvPicPr>
                  <pic:blipFill>
                    <a:blip r:embed="rId20"/>
                    <a:stretch>
                      <a:fillRect/>
                    </a:stretch>
                  </pic:blipFill>
                  <pic:spPr>
                    <a:xfrm>
                      <a:off x="0" y="0"/>
                      <a:ext cx="2926080" cy="2926080"/>
                    </a:xfrm>
                    <a:prstGeom prst="rect"/>
                  </pic:spPr>
                </pic:pic>
              </a:graphicData>
            </a:graphic>
          </wp:inline>
        </w:drawing>
      </w:r>
    </w:p>
    <w:p>
      <w:pPr>
        <w:spacing w:before="60" w:after="120" w:line="240" w:lineRule="auto"/>
        <w:jc w:val="center"/>
      </w:pPr>
      <w:r>
        <w:rPr>
          <w:rFonts w:ascii="Times New Roman" w:hAnsi="Times New Roman"/>
          <w:b/>
          <w:sz w:val="20"/>
        </w:rPr>
        <w:t xml:space="preserve">Figure 1. </w:t>
      </w:r>
      <w:r>
        <w:rPr>
          <w:rFonts w:ascii="Times New Roman" w:hAnsi="Times New Roman"/>
          <w:sz w:val="20"/>
        </w:rPr>
        <w:t>Peta Konsep Tiga Domain Tinjauan Pustaka: Hybrid Learning, Project-Based Learning, dan Perkembangan Sosial-Emosional AUD</w:t>
      </w:r>
    </w:p>
    <w:p>
      <w:pPr>
        <w:spacing w:before="60" w:after="120" w:line="360" w:lineRule="auto"/>
        <w:jc w:val="both"/>
      </w:pPr>
      <w:r>
        <w:rPr>
          <w:rFonts w:ascii="Times New Roman" w:hAnsi="Times New Roman"/>
          <w:b/>
          <w:sz w:val="22"/>
        </w:rPr>
        <w:t>METODOLOGI</w:t>
      </w:r>
    </w:p>
    <w:p>
      <w:pPr>
        <w:spacing w:before="60" w:after="120" w:line="240" w:lineRule="auto"/>
        <w:jc w:val="both"/>
        <w:ind w:firstLine="720"/>
      </w:pPr>
      <w:r>
        <w:rPr>
          <w:rFonts w:ascii="Times New Roman" w:hAnsi="Times New Roman"/>
          <w:sz w:val="22"/>
        </w:rPr>
        <w:t>Bab ini menguraikan desain kuasi-eksperimen yang digunakan, arsitektur model hybrid PjBL, partisipan, instrumen, serta prosedur pelaksanaan. Penekanan diberikan pada validitas internal dan eksternal, mengingat kompleksitas intervensi di lapangan PAUD pasca-pandemi.</w:t>
      </w:r>
    </w:p>
    <w:p>
      <w:pPr>
        <w:spacing w:before="60" w:after="120" w:line="360" w:lineRule="auto"/>
        <w:jc w:val="both"/>
      </w:pPr>
      <w:r>
        <w:rPr>
          <w:rFonts w:ascii="Times New Roman" w:hAnsi="Times New Roman"/>
          <w:b/>
          <w:sz w:val="22"/>
        </w:rPr>
        <w:t>HASIL DAN PEMBAHASAN</w:t>
      </w:r>
    </w:p>
    <w:p>
      <w:pPr>
        <w:spacing w:before="60" w:after="120" w:line="240" w:lineRule="auto"/>
        <w:jc w:val="both"/>
        <w:ind w:firstLine="720"/>
      </w:pPr>
      <w:r>
        <w:rPr>
          <w:rFonts w:ascii="Times New Roman" w:hAnsi="Times New Roman"/>
          <w:sz w:val="22"/>
        </w:rPr>
        <w:t>Penyajian hasil dibagi menjadi dua bagian: deskripsi kuantitatif capaian sosial-emosional serta interpretasi mendalam terhadap temuan. Kami menyajikan tabel perbandingan dan visualisasi grafik untuk memperjelas pola, lalu mendiskusikan implikasinya dalam kerangka teoritis dan empiris.</w:t>
      </w:r>
    </w:p>
    <w:p>
      <w:pPr>
        <w:spacing w:before="60" w:after="120" w:line="360" w:lineRule="auto"/>
        <w:jc w:val="both"/>
      </w:pPr>
      <w:r>
        <w:rPr>
          <w:rFonts w:ascii="Times New Roman" w:hAnsi="Times New Roman"/>
          <w:b/>
          <w:sz w:val="22"/>
        </w:rPr>
        <w:t>KESIMPULAN</w:t>
      </w:r>
    </w:p>
    <w:p>
      <w:pPr>
        <w:spacing w:before="60" w:after="120" w:line="240" w:lineRule="auto"/>
        <w:jc w:val="both"/>
        <w:ind w:firstLine="720"/>
      </w:pPr>
      <w:r>
        <w:rPr>
          <w:rFonts w:ascii="Times New Roman" w:hAnsi="Times New Roman"/>
          <w:sz w:val="22"/>
        </w:rPr>
        <w:t>Studi ini menyimpulkan bahwa model pembelajaran hybrid berbasis Project-Based Learning efektif meningkatkan perkembangan sosial-emosional anak usia dini pasca-pandemi. dengan ukuran efek sedang hingga besar pada seluruh lima dimensi CASEL. Peningkatan paling substansial terjadi pada kesadaran sosial dan keterampilan relasi—dua domain yang paling terdampak isolasi pandemi. Mekanisme kunci yang teridentifikasi adalah kombinasi antara perencanaan daring yang memberikan kerangka kognitif. pelaksanaan luring yang menyediakan pengalaman sosial otentik, dan refleksi berkelanjutan yang memperkuat regulasi diri. Kami berargumen bahwa model ini berhasil merekonstruksi \bZPD kolektif\b yang sempat runtuh, sekaligus membangun ketahanan sosial-emosional untuk masa depan.</w:t>
      </w:r>
    </w:p>
    <w:p>
      <w:pPr>
        <w:spacing w:before="60" w:after="120" w:line="240" w:lineRule="auto"/>
        <w:jc w:val="both"/>
        <w:ind w:firstLine="720"/>
      </w:pPr>
      <w:r>
        <w:rPr>
          <w:rFonts w:ascii="Times New Roman" w:hAnsi="Times New Roman"/>
          <w:sz w:val="22"/>
        </w:rPr>
        <w:t>Implikasi praktisnya langsung: guru PAUD perlu dilatih untuk merancang proyek bermakna yang menjembatani sesi daring dan luring, bukan sekadar memindahkan materi ke layar. Desain proyek harus sengaja menciptakan \bsituated dilemmas\b—seperti pembagian peran yang tidak seimbang—yang memaksa anak bernegosiasi dan berempati. Dari sisi kebijakan, pemerintah daerah dan pusat dapat mengadopsi model ini sebagai kerangka pemulihan pembelajaran, dengan tetap memperhatikan ekosistem pendukung seperti akses internet, nutrisi [2], [7], dan kualitas lingkungan [13]. Integrasi dengan program kesehatan dan sanitasi di PAUD merupakan langkah strategis yang direkomendasikan.</w:t>
      </w:r>
    </w:p>
    <w:p>
      <w:pPr>
        <w:spacing w:before="60" w:after="120" w:line="240" w:lineRule="auto"/>
        <w:jc w:val="both"/>
        <w:ind w:firstLine="720"/>
      </w:pPr>
      <w:r>
        <w:rPr>
          <w:rFonts w:ascii="Times New Roman" w:hAnsi="Times New Roman"/>
          <w:sz w:val="22"/>
        </w:rPr>
        <w:t>Keterbatasan yang ada membuka tiga arah penelitian ke depan. • Pertama, studi longitudinal dengan \\ifollow-up\\i minimal 6 bulan untuk menguji persistensi efek. • Kedua, eksperimen dengan desain \\ifactorial\\i yang menyilangkan model hybrid PjBL dengan intervensi gizi [10] atau perbaikan air bersih, guna mengungkap interaksi ekologis yang lebih kompleks. • Ketiga, riset implementasi skala besar yang mengukur efektivitas-biaya dan adaptasi model di daerah dengan keragaman sosial-budaya, sambil mengintegrasikan prinsip tata kelola adaptif [15] dan etika deliberatif [19]. Hanya dengan pendekatan transdisipliner yang rendah hati, kita dapat memastikan bahwa setiap anak—termasuk yang paling rentan—mendapatkan kesempatan pulih dan berkembang sepenuhnya.</w:t>
      </w:r>
    </w:p>
    <w:p>
      <w:pPr>
        <w:spacing w:before="60" w:after="120" w:line="360" w:lineRule="auto"/>
        <w:jc w:val="both"/>
      </w:pPr>
      <w:r>
        <w:rPr>
          <w:rFonts w:ascii="Times New Roman" w:hAnsi="Times New Roman"/>
          <w:b/>
          <w:sz w:val="22"/>
        </w:rPr>
        <w:t>DAFTAR PUSTAKA</w:t>
      </w:r>
    </w:p>
    <w:p>
      <w:pPr>
        <w:spacing w:before="0" w:after="0" w:line="240" w:lineRule="auto"/>
        <w:jc w:val="both"/>
        <w:ind w:firstLine="-567" w:left="567"/>
      </w:pPr>
      <w:r>
        <w:rPr>
          <w:rFonts w:ascii="Times New Roman" w:hAnsi="Times New Roman"/>
          <w:sz w:val="22"/>
        </w:rPr>
        <w:t>[1] Boute, R., Gijsbrechts, J., van Jaarsveld, W., and Vanvuchelen, N., "Deep reinforcement learning for inventory control: A roadmap," European Journal of Operational Research, 2021. doi: 10.1016/j.ejor.2021.07.016.</w:t>
      </w:r>
    </w:p>
    <w:p>
      <w:pPr>
        <w:spacing w:before="0" w:after="0" w:line="240" w:lineRule="auto"/>
        <w:jc w:val="both"/>
        <w:ind w:firstLine="-567" w:left="567"/>
      </w:pPr>
      <w:r>
        <w:rPr>
          <w:rFonts w:ascii="Times New Roman" w:hAnsi="Times New Roman"/>
          <w:sz w:val="22"/>
        </w:rPr>
        <w:t>[2] Chai, K. F., Voo, A. Y. H., and Chen, W. N., "Bioactive peptides from food fermentation: A comprehensive review of their sources, bioactivities, applications, and future development," Comprehensive Reviews in Food Science and Food Safety, 2020. doi: 10.1111/1541-4337.12651.</w:t>
      </w:r>
    </w:p>
    <w:p>
      <w:pPr>
        <w:spacing w:before="0" w:after="0" w:line="240" w:lineRule="auto"/>
        <w:jc w:val="both"/>
        <w:ind w:firstLine="-567" w:left="567"/>
      </w:pPr>
      <w:r>
        <w:rPr>
          <w:rFonts w:ascii="Times New Roman" w:hAnsi="Times New Roman"/>
          <w:sz w:val="22"/>
        </w:rPr>
        <w:t>[3] Lee, K. H., Noh, J., and Khim, J. S., "The Blue Economy and the United Nations' sustainable development goals: Challenges and opportunities," Environment International, 2020. doi: 10.1016/j.envint.2020.105528.</w:t>
      </w:r>
    </w:p>
    <w:p>
      <w:pPr>
        <w:spacing w:before="0" w:after="0" w:line="240" w:lineRule="auto"/>
        <w:jc w:val="both"/>
        <w:ind w:firstLine="-567" w:left="567"/>
      </w:pPr>
      <w:r>
        <w:rPr>
          <w:rFonts w:ascii="Times New Roman" w:hAnsi="Times New Roman"/>
          <w:sz w:val="22"/>
        </w:rPr>
        <w:t>[4] Nunes, C., Silva, M., Farinha, D., Sales, H., Pontes, R., and Nunes, J., "Edible Coatings and Future Trends in Active Food Packaging–Fruits’ and Traditional Sausages’ Shelf Life Increasing," Foods, vol. 12, no. 17, pp. 3308, 2023. doi: 10.3390/foods12173308.</w:t>
      </w:r>
    </w:p>
    <w:p>
      <w:pPr>
        <w:spacing w:before="0" w:after="0" w:line="240" w:lineRule="auto"/>
        <w:jc w:val="both"/>
        <w:ind w:firstLine="-567" w:left="567"/>
      </w:pPr>
      <w:r>
        <w:rPr>
          <w:rFonts w:ascii="Times New Roman" w:hAnsi="Times New Roman"/>
          <w:sz w:val="22"/>
        </w:rPr>
        <w:t>[5] Rajagopal, N. K., Qureshi, N. I., Durga, S., Ramirez-Asís, E., Huerta-Soto, R., Gupta, S. K., and Deepak, S., "Future of Business Culture: An Artificial Intelligence‐Driven Digital Framework for Organization Decision‐Making Process," Complexity, vol. 2022, pp. 7796507, 2022. doi: 10.1155/2022/7796507.</w:t>
      </w:r>
    </w:p>
    <w:p>
      <w:pPr>
        <w:spacing w:before="0" w:after="0" w:line="240" w:lineRule="auto"/>
        <w:jc w:val="both"/>
        <w:ind w:firstLine="-567" w:left="567"/>
      </w:pPr>
      <w:r>
        <w:rPr>
          <w:rFonts w:ascii="Times New Roman" w:hAnsi="Times New Roman"/>
          <w:sz w:val="22"/>
        </w:rPr>
        <w:t>[6] Liu, Y., Zhang, L., Yang, Y., Zhou, L., Ren, L., Wang, F., Liu, R., Pang, Z., and Deen, M. J., "A Novel Cloud-Based Framework for the Elderly Healthcare Services Using Digital Twin," IEEE Access, vol. 7, pp. 49088–49101, 2019. doi: 10.1109/access.2019.2909828.</w:t>
      </w:r>
    </w:p>
    <w:p>
      <w:pPr>
        <w:spacing w:before="0" w:after="0" w:line="240" w:lineRule="auto"/>
        <w:jc w:val="both"/>
        <w:ind w:firstLine="-567" w:left="567"/>
      </w:pPr>
      <w:r>
        <w:rPr>
          <w:rFonts w:ascii="Times New Roman" w:hAnsi="Times New Roman"/>
          <w:sz w:val="22"/>
        </w:rPr>
        <w:t>[7] Sagar, N. A., Pareek, S., Sharma, S., Yahia, E. M., and Lobo, M., "Fruit and Vegetable Waste: Bioactive Compounds, Their Extraction, and Possible Utilization," Comprehensive Reviews in Food Science and Food Safety, vol. 17, no. 3, pp. 512–531, 2018. doi: 10.1111/1541-4337.12330.</w:t>
      </w:r>
    </w:p>
    <w:p>
      <w:pPr>
        <w:spacing w:before="0" w:after="0" w:line="240" w:lineRule="auto"/>
        <w:jc w:val="both"/>
        <w:ind w:firstLine="-567" w:left="567"/>
      </w:pPr>
      <w:r>
        <w:rPr>
          <w:rFonts w:ascii="Times New Roman" w:hAnsi="Times New Roman"/>
          <w:sz w:val="22"/>
        </w:rPr>
        <w:t>[8] EFSA Panel on Food Contact Materials, Enzymes and Processing Aids (CEP), "Food manufacturing processes and technical data used in the exposure assessment of food enzymes," EFSA Journal, vol. 21, no. 7, pp. e08094, 2023. doi: 10.2903/j.efsa.2023.8094.</w:t>
      </w:r>
    </w:p>
    <w:p>
      <w:pPr>
        <w:spacing w:before="0" w:after="0" w:line="240" w:lineRule="auto"/>
        <w:jc w:val="both"/>
        <w:ind w:firstLine="-567" w:left="567"/>
      </w:pPr>
      <w:r>
        <w:rPr>
          <w:rFonts w:ascii="Times New Roman" w:hAnsi="Times New Roman"/>
          <w:sz w:val="22"/>
        </w:rPr>
        <w:t>[9] Kuru, K., Ansell, D., Khan, W., and Yetgin, H., "Analysis and Optimization of Unmanned Aerial Vehicle Swarms in Logistics: An Intelligent Delivery Platform," IEEE Access, vol. 7, pp. 15804–15831, 2019. doi: 10.1109/access.2019.2892716.</w:t>
      </w:r>
    </w:p>
    <w:p>
      <w:pPr>
        <w:spacing w:before="0" w:after="0" w:line="240" w:lineRule="auto"/>
        <w:jc w:val="both"/>
        <w:ind w:firstLine="-567" w:left="567"/>
      </w:pPr>
      <w:r>
        <w:rPr>
          <w:rFonts w:ascii="Times New Roman" w:hAnsi="Times New Roman"/>
          <w:sz w:val="22"/>
        </w:rPr>
        <w:t>[10] Suharta, S., Barlian, A., Hidajah, A. C., Notobroto, H. B., Ana, I. D., Indariani, S., Wungu, T. D. K., and Wijaya, C. H., "Plant-derived exosome-like nanoparticles: A concise review on its extraction methods, content, bioactivities, and potential as functional food ingredient," Journal of Food Science, vol. 86, no. 7, pp. 2830–2845, 2021. doi: 10.1111/1750-3841.15787.</w:t>
      </w:r>
    </w:p>
    <w:p>
      <w:pPr>
        <w:spacing w:before="0" w:after="0" w:line="240" w:lineRule="auto"/>
        <w:jc w:val="both"/>
        <w:ind w:firstLine="-567" w:left="567"/>
      </w:pPr>
      <w:r>
        <w:rPr>
          <w:rFonts w:ascii="Times New Roman" w:hAnsi="Times New Roman"/>
          <w:sz w:val="22"/>
        </w:rPr>
        <w:t>[11] Pua, A., Tang, V. C. Y., Goh, R. M. V., Sun, J., Lassabliere, B., and Liu, S. Q., "Ingredients, Processing, and Fermentation: Addressing the Organoleptic Boundaries of Plant-Based Dairy Analogues," Foods, vol. 11, no. 6, pp. 875, 2022. doi: 10.3390/foods11060875.</w:t>
      </w:r>
    </w:p>
    <w:p>
      <w:pPr>
        <w:spacing w:before="0" w:after="0" w:line="240" w:lineRule="auto"/>
        <w:jc w:val="both"/>
        <w:ind w:firstLine="-567" w:left="567"/>
      </w:pPr>
      <w:r>
        <w:rPr>
          <w:rFonts w:ascii="Times New Roman" w:hAnsi="Times New Roman"/>
          <w:sz w:val="22"/>
        </w:rPr>
        <w:t>[12] Shanmugam, V., Das, O., Babu, K., Uthayakumar, M., Arumugaprabu, V., Johnson, D. J., Nsisiany, R. E., Hedenqvist, M. S., Ramakrishna, S., and Berto, F., "Fatigue behaviour of FDM-3D printed polymers, polymeric composites and architected cellular materials," International Journal of Fatigue, vol. 143, pp. 106007, 2020. doi: 10.1016/j.ijfatigue.2020.106007.</w:t>
      </w:r>
    </w:p>
    <w:p>
      <w:pPr>
        <w:spacing w:before="0" w:after="0" w:line="240" w:lineRule="auto"/>
        <w:jc w:val="both"/>
        <w:ind w:firstLine="-567" w:left="567"/>
      </w:pPr>
      <w:r>
        <w:rPr>
          <w:rFonts w:ascii="Times New Roman" w:hAnsi="Times New Roman"/>
          <w:sz w:val="22"/>
        </w:rPr>
        <w:t>[13] Luo, P., Kang, S., Apip, Zhou, M., Lyu, J., Aisyah, S., Binaya, M., Regmi, R. K., and Nover, D., "Water quality trend assessment in Jakarta: A rapidly growing Asian megacity," PLOS ONE, vol. 14, no. 7, pp. e0219009, 2019. doi: 10.1371/journal.pone.0219009.</w:t>
      </w:r>
    </w:p>
    <w:p>
      <w:pPr>
        <w:spacing w:before="0" w:after="0" w:line="240" w:lineRule="auto"/>
        <w:jc w:val="both"/>
        <w:ind w:firstLine="-567" w:left="567"/>
      </w:pPr>
      <w:r>
        <w:rPr>
          <w:rFonts w:ascii="Times New Roman" w:hAnsi="Times New Roman"/>
          <w:sz w:val="22"/>
        </w:rPr>
        <w:t>[14] IPCC, Climate Change 2022 - Mitigation of Climate Change. Cambridge University Press, 2023. doi: 10.1017/9781009157926.</w:t>
      </w:r>
    </w:p>
    <w:p>
      <w:pPr>
        <w:spacing w:before="0" w:after="0" w:line="240" w:lineRule="auto"/>
        <w:jc w:val="both"/>
        <w:ind w:firstLine="-567" w:left="567"/>
      </w:pPr>
      <w:r>
        <w:rPr>
          <w:rFonts w:ascii="Times New Roman" w:hAnsi="Times New Roman"/>
          <w:sz w:val="22"/>
        </w:rPr>
        <w:t>[15] Luo, L. and Tang, Q., "Corporate governance and carbon performance: role of carbon strategy and awareness of climate risk," Accounting &amp; Finance, vol. 60, no. 4, pp. 4125–4165, 2020. doi: 10.1111/acfi.12687.</w:t>
      </w:r>
    </w:p>
    <w:p>
      <w:pPr>
        <w:spacing w:before="0" w:after="0" w:line="240" w:lineRule="auto"/>
        <w:jc w:val="both"/>
        <w:ind w:firstLine="-567" w:left="567"/>
      </w:pPr>
      <w:r>
        <w:rPr>
          <w:rFonts w:ascii="Times New Roman" w:hAnsi="Times New Roman"/>
          <w:sz w:val="22"/>
        </w:rPr>
        <w:t>[16] Rathore, M. S., Poongodi, M., Saurabh, P., Lilhore, U. K., Bourouis, S., Alhakami, W., Osamor, J., and Hamdi, M., "A novel trust-based security and privacy model for Internet of Vehicles using encryption and steganography," Computers and Electrical Engineering, vol. 102, pp. 108205, 2022. doi: 10.1016/j.compeleceng.2022.108205.</w:t>
      </w:r>
    </w:p>
    <w:p>
      <w:pPr>
        <w:spacing w:before="0" w:after="0" w:line="240" w:lineRule="auto"/>
        <w:jc w:val="both"/>
        <w:ind w:firstLine="-567" w:left="567"/>
      </w:pPr>
      <w:r>
        <w:rPr>
          <w:rFonts w:ascii="Times New Roman" w:hAnsi="Times New Roman"/>
          <w:sz w:val="22"/>
        </w:rPr>
        <w:t>[17] Kalfa, A., Shapira, B., Shopin, A., Cohen, I., Avraham, E., and Aurbach, D., "Capacitive deionization for wastewater treatment: Opportunities and challenges," Chemosphere, vol. 241, pp. 125003, 2020. doi: 10.1016/j.chemosphere.2019.125003.</w:t>
      </w:r>
    </w:p>
    <w:p>
      <w:pPr>
        <w:spacing w:before="0" w:after="0" w:line="240" w:lineRule="auto"/>
        <w:jc w:val="both"/>
        <w:ind w:firstLine="-567" w:left="567"/>
      </w:pPr>
      <w:r>
        <w:rPr>
          <w:rFonts w:ascii="Times New Roman" w:hAnsi="Times New Roman"/>
          <w:sz w:val="22"/>
        </w:rPr>
        <w:t>[18] Wahl-Jorgensen, K., "An Emotional Turn in Journalism Studies?," Digital Journalism, vol. 8, no. 2, pp. 175–194, 2019. doi: 10.1080/21670811.2019.1697626.</w:t>
      </w:r>
    </w:p>
    <w:p>
      <w:pPr>
        <w:spacing w:before="0" w:after="0" w:line="240" w:lineRule="auto"/>
        <w:jc w:val="both"/>
        <w:ind w:firstLine="-567" w:left="567"/>
      </w:pPr>
      <w:r>
        <w:rPr>
          <w:rFonts w:ascii="Times New Roman" w:hAnsi="Times New Roman"/>
          <w:sz w:val="22"/>
        </w:rPr>
        <w:t>[19] Racine, E., "Meaningful and Successful Ethical Enactments: A Proposal from Deliberative Wisdom Theory," Journal of Bioethical Inquiry, 2025. doi: 10.1007/s11673-024-10391-7.</w:t>
      </w:r>
    </w:p>
    <w:p>
      <w:pPr>
        <w:spacing w:before="0" w:after="0" w:line="240" w:lineRule="auto"/>
        <w:jc w:val="both"/>
        <w:ind w:firstLine="-567" w:left="567"/>
      </w:pPr>
      <w:r>
        <w:rPr>
          <w:rFonts w:ascii="Times New Roman" w:hAnsi="Times New Roman"/>
          <w:sz w:val="22"/>
        </w:rPr>
        <w:t>[20] Kaur, G., Kaur, P., Devi, J., Devi, V., Bhushan, B., Singh, A., and Jat, H. S., "Multi-dimensional maize biomass utilization: Mitigating existing agro-waste by meaningful value addition," Journal of Environmental Management, vol. 375, pp. 126232, 2025. doi: 10.1016/j.jenvman.2025.126232.</w:t>
      </w:r>
    </w:p>
    <w:p>
      <w:pPr>
        <w:spacing w:before="0" w:after="0" w:line="240" w:lineRule="auto"/>
        <w:jc w:val="both"/>
        <w:ind w:firstLine="-567" w:left="567"/>
      </w:pPr>
      <w:r>
        <w:rPr>
          <w:rFonts w:ascii="Times New Roman" w:hAnsi="Times New Roman"/>
          <w:sz w:val="22"/>
        </w:rPr>
        <w:t>[21] Ayu Asnah and Yulianti, "Pengaruh Strategi PDR terhadap Active Learning dan Kemampuan Bekerjasama Anak Usia Dini," Jurnal Pendidikan Anak Usia Dini (tidak terindeks), 2017.</w:t>
      </w:r>
    </w:p>
    <w:p>
      <w:pPr>
        <w:spacing w:before="0" w:after="0" w:line="240" w:lineRule="auto"/>
        <w:jc w:val="both"/>
        <w:ind w:firstLine="-567" w:left="567"/>
      </w:pPr>
      <w:r>
        <w:rPr>
          <w:rFonts w:ascii="Times New Roman" w:hAnsi="Times New Roman"/>
          <w:sz w:val="22"/>
        </w:rPr>
        <w:t>[22] Lailatun Nafi'ah, Ayu Asnah, and Mochammad Ramli Akbar, "The Implementation of Field Trips to Enhance Expressive Language Development at TKM NU 4 Miftahul Huda Mendalanwangi Wagir Malang," Jurnal PAUD (tidak terindeks), 2026.</w:t>
      </w:r>
    </w:p>
    <w:p>
      <w:pPr>
        <w:spacing w:before="0" w:after="0" w:line="240" w:lineRule="auto"/>
        <w:jc w:val="both"/>
        <w:ind w:firstLine="-567" w:left="567"/>
      </w:pPr>
      <w:r>
        <w:rPr>
          <w:rFonts w:ascii="Times New Roman" w:hAnsi="Times New Roman"/>
          <w:sz w:val="22"/>
        </w:rPr>
        <w:t>[23] Meviana, Ayu Asnah, and Iskandar Ladamay, "Analysis of Curriculum Development and Learning Planning," Jurnal Manajemen Pendidikan (tidak terindeks), 2022.</w:t>
      </w:r>
    </w:p>
    <w:p>
      <w:pPr>
        <w:spacing w:before="0" w:after="0" w:line="240" w:lineRule="auto"/>
        <w:jc w:val="both"/>
        <w:ind w:firstLine="-567" w:left="567"/>
      </w:pPr>
      <w:r>
        <w:rPr>
          <w:rFonts w:ascii="Times New Roman" w:hAnsi="Times New Roman"/>
          <w:sz w:val="22"/>
        </w:rPr>
        <w:t>[24] Sielvi Kusumawardani, Sarah Emanuel Haryono, and Ayu Asnah, "Implementation of Mini Market Simulation in Improving Early Childhood Social Skills," Jurnal Pendidikan Anak (tidak terindeks), 2026.</w:t>
      </w:r>
    </w:p>
    <w:p>
      <w:pPr>
        <w:spacing w:before="0" w:after="0" w:line="240" w:lineRule="auto"/>
        <w:jc w:val="both"/>
        <w:ind w:firstLine="-567" w:left="567"/>
      </w:pPr>
      <w:r>
        <w:rPr>
          <w:rFonts w:ascii="Times New Roman" w:hAnsi="Times New Roman"/>
          <w:sz w:val="22"/>
        </w:rPr>
        <w:t>[25] Maria Meinardina Lado, Henni Anggraini, and Ayu Asnah, "Pengaruh Membatik dengan Teknik Mewarnai terhadap Kemampuan Kreativitas Anak Kelompok B di RA Mutiara Iman Pakisaji Malang," Jurnal Kreativitas AUD (tidak terindeks), 2019.</w:t>
      </w:r>
    </w:p>
    <w:p>
      <w:pPr>
        <w:spacing w:before="0" w:after="0" w:line="240" w:lineRule="auto"/>
        <w:jc w:val="both"/>
        <w:ind w:firstLine="-567" w:left="567"/>
      </w:pPr>
      <w:r>
        <w:rPr>
          <w:rFonts w:ascii="Times New Roman" w:hAnsi="Times New Roman"/>
          <w:sz w:val="22"/>
        </w:rPr>
        <w:t>[26] Inayatul Munawaroh, Ayu Asnah, and Mochammad Ramli Akbar, "Penerapan Permainan Petak Umpet untuk Meningkatkan Keberanian Anak Usia 3-4 Tahun di KB An Nafisah Pakis Malang," Jurnal Perkembangan Anak (tidak terindeks), 2025.</w:t>
      </w:r>
    </w:p>
    <w:p>
      <w:pPr>
        <w:spacing w:before="0" w:after="0" w:line="240" w:lineRule="auto"/>
        <w:jc w:val="both"/>
        <w:ind w:firstLine="-567" w:left="567"/>
      </w:pPr>
      <w:r>
        <w:rPr>
          <w:rFonts w:ascii="Times New Roman" w:hAnsi="Times New Roman"/>
          <w:sz w:val="22"/>
        </w:rPr>
        <w:t>[27] Fitriana Dewi Lestari, Ayu Asnah, and Mochammad Ramli Akbar, "Meningkatkan Kemampuan Berinteraksi Sosial Melalui Kegiatan Pekan Dolanan pada Peserta Didik Kelompok B di RA Al-Hidayah Pronojiwo Kabupaten Lumajang," Jurnal Interaksi Sosial AUD (tidak terindeks), 2025.</w:t>
      </w:r>
    </w:p>
    <w:sectPr>
      <w:headerReference r:id="rId14" w:type="default"/>
      <w:headerReference r:id="rId15" w:type="first"/>
      <w:headerReference r:id="rId16" w:type="even"/>
      <w:footerReference r:id="rId17" w:type="default"/>
      <w:footerReference r:id="rId18" w:type="first"/>
      <w:footerReference r:id="rId19" w:type="even"/>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color w:val="000000"/>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center"/>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pBdr>
        <w:top w:space="0" w:sz="0" w:val="nil"/>
        <w:left w:space="0" w:sz="0" w:val="nil"/>
        <w:bottom w:space="0" w:sz="0" w:val="nil"/>
        <w:right w:space="0" w:sz="0" w:val="nil"/>
        <w:between w:space="0" w:sz="0" w:val="nil"/>
      </w:pBdr>
      <w:tabs>
        <w:tab w:val="left" w:leader="none" w:pos="0"/>
        <w:tab w:val="center" w:leader="none" w:pos="3420"/>
        <w:tab w:val="right" w:leader="none" w:pos="9000"/>
      </w:tabs>
      <w:spacing w:after="0" w:line="240" w:lineRule="auto"/>
      <w:jc w:val="right"/>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000000"/>
        <w:sz w:val="18"/>
        <w:szCs w:val="18"/>
        <w:rtl w:val="0"/>
      </w:rPr>
      <w:t xml:space="preserve"> </w:t>
    </w:r>
    <w:r w:rsidDel="00000000" w:rsidR="00000000" w:rsidRPr="00000000">
      <w:rPr>
        <w:rFonts w:ascii="Times New Roman" w:cs="Times New Roman" w:eastAsia="Times New Roman" w:hAnsi="Times New Roman"/>
        <w:b w:val="1"/>
        <w:bCs w:val="1"/>
        <w:i w:val="1"/>
        <w:iCs w:val="1"/>
        <w:color w:val="000000"/>
        <w:sz w:val="18"/>
        <w:szCs w:val="18"/>
        <w:rtl w:val="0"/>
      </w:rPr>
      <w:t xml:space="preserve"> </w:t>
      <w:tab/>
      <w:tab/>
      <w:t xml:space="preserve">PAUDIA</w:t>
    </w:r>
    <w:r w:rsidDel="00000000" w:rsidR="00000000" w:rsidRPr="00000000">
      <w:rPr>
        <w:rFonts w:ascii="Times New Roman" w:cs="Times New Roman" w:eastAsia="Times New Roman" w:hAnsi="Times New Roman"/>
        <w:i w:val="1"/>
        <w:iCs w:val="1"/>
        <w:color w:val="000000"/>
        <w:sz w:val="18"/>
        <w:szCs w:val="18"/>
        <w:rtl w:val="0"/>
      </w:rPr>
      <w:t xml:space="preserve">, Volume xx, No. x, July xxxx, pp. xx-xx</w:t>
    </w: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rFonts w:ascii="Times New Roman" w:cs="Times New Roman" w:eastAsia="Times New Roman" w:hAnsi="Times New Roman"/>
        <w:i w:val="1"/>
        <w:iCs w:val="1"/>
        <w:color w:val="000000"/>
        <w:sz w:val="18"/>
        <w:szCs w:val="18"/>
      </w:rPr>
    </w:pPr>
    <w:r w:rsidDel="00000000" w:rsidR="00000000" w:rsidRPr="00000000">
      <w:rPr>
        <w:rFonts w:ascii="Times New Roman" w:cs="Times New Roman" w:eastAsia="Times New Roman" w:hAnsi="Times New Roman"/>
        <w:i w:val="1"/>
        <w:iCs w:val="1"/>
        <w:color w:val="000000"/>
        <w:sz w:val="18"/>
        <w:szCs w:val="18"/>
        <w:rtl w:val="0"/>
      </w:rPr>
      <w:t xml:space="preserve">Article Title … </w:t>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i w:val="1"/>
        <w:iCs w:val="1"/>
        <w:color w:val="000000"/>
        <w:sz w:val="18"/>
        <w:szCs w:val="18"/>
        <w:rtl w:val="0"/>
      </w:rPr>
      <w:t xml:space="preserve">Author 1, Author 2 </w:t>
      <w:tab/>
      <w:tab/>
    </w:r>
    <w:r w:rsidDel="00000000" w:rsidR="00000000" w:rsidRPr="00000000">
      <w:rPr>
        <w:rFonts w:ascii="Times New Roman" w:cs="Times New Roman" w:eastAsia="Times New Roman" w:hAnsi="Times New Roman"/>
        <w:color w:val="000000"/>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b w:val="1"/>
        <w:bCs w:val="1"/>
        <w:color w:val="000000"/>
        <w:sz w:val="18"/>
        <w:szCs w:val="18"/>
      </w:rPr>
    </w:pPr>
    <w:r w:rsidDel="00000000" w:rsidR="00000000" w:rsidRPr="00000000">
      <w:rPr>
        <w:rFonts w:ascii="Times New Roman" w:cs="Times New Roman" w:eastAsia="Times New Roman" w:hAnsi="Times New Roman"/>
        <w:b w:val="1"/>
        <w:bCs w:val="1"/>
        <w:color w:val="000000"/>
        <w:rtl w:val="0"/>
      </w:rPr>
      <w:t xml:space="preserve">PAUDIA</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4681220</wp:posOffset>
          </wp:positionH>
          <wp:positionV relativeFrom="paragraph">
            <wp:posOffset>36195</wp:posOffset>
          </wp:positionV>
          <wp:extent cx="1180465" cy="801370"/>
          <wp:effectExtent b="0" l="0" r="0" t="0"/>
          <wp:wrapNone/>
          <wp:docPr id="1960475512" name="image2.png"/>
          <a:graphic>
            <a:graphicData uri="http://schemas.openxmlformats.org/drawingml/2006/picture">
              <pic:pic>
                <pic:nvPicPr>
                  <pic:cNvPr id="0" name="image2.png"/>
                  <pic:cNvPicPr preferRelativeResize="0"/>
                </pic:nvPicPr>
                <pic:blipFill>
                  <a:blip r:embed="rId1"/>
                  <a:srcRect b="0" l="0" r="0" t="8390"/>
                  <a:stretch>
                    <a:fillRect/>
                  </a:stretch>
                </pic:blipFill>
                <pic:spPr>
                  <a:xfrm>
                    <a:off x="0" y="0"/>
                    <a:ext cx="1180465" cy="801370"/>
                  </a:xfrm>
                  <a:prstGeom prst="rect"/>
                  <a:ln/>
                </pic:spPr>
              </pic:pic>
            </a:graphicData>
          </a:graphic>
        </wp:anchor>
      </w:drawing>
    </w:r>
  </w:p>
  <w:p w:rsidR="00000000" w:rsidDel="00000000" w:rsidP="00000000" w:rsidRDefault="00000000" w:rsidRPr="00000000" w14:paraId="0000009F">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b w:val="1"/>
        <w:bCs w:val="1"/>
        <w:color w:val="000000"/>
        <w:sz w:val="18"/>
        <w:szCs w:val="18"/>
      </w:rPr>
    </w:pPr>
    <w:r w:rsidDel="00000000" w:rsidR="00000000" w:rsidRPr="00000000">
      <w:rPr>
        <w:rFonts w:ascii="Times New Roman" w:cs="Times New Roman" w:eastAsia="Times New Roman" w:hAnsi="Times New Roman"/>
        <w:b w:val="1"/>
        <w:bCs w:val="1"/>
        <w:color w:val="000000"/>
        <w:sz w:val="18"/>
        <w:szCs w:val="18"/>
        <w:rtl w:val="0"/>
      </w:rPr>
      <w:t xml:space="preserve">Jurnal Penelitian dalam Bidang Pendidikan Anak Usia Dini</w:t>
    </w:r>
  </w:p>
  <w:p w:rsidR="00000000" w:rsidDel="00000000" w:rsidP="00000000" w:rsidRDefault="00000000" w:rsidRPr="00000000" w14:paraId="000000A0">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tl w:val="0"/>
      </w:rPr>
      <w:t xml:space="preserve">Volume xx, No. x, Month xxxx, pp. x-xx</w:t>
    </w:r>
  </w:p>
  <w:p w:rsidR="00000000" w:rsidDel="00000000" w:rsidP="00000000" w:rsidRDefault="00000000" w:rsidRPr="00000000" w14:paraId="000000A1">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000000"/>
        <w:sz w:val="18"/>
        <w:szCs w:val="18"/>
        <w:rtl w:val="0"/>
      </w:rPr>
      <w:t xml:space="preserve">ISSN : 2089-1431 (print) </w:t>
    </w:r>
    <w:r w:rsidDel="00000000" w:rsidR="00000000" w:rsidRPr="00000000">
      <w:rPr>
        <w:rFonts w:ascii="Times New Roman" w:cs="Times New Roman" w:eastAsia="Times New Roman" w:hAnsi="Times New Roman"/>
        <w:sz w:val="18"/>
        <w:szCs w:val="18"/>
        <w:rtl w:val="0"/>
      </w:rPr>
      <w:t xml:space="preserve">ISSN : 2598-4047 (online)</w:t>
    </w:r>
  </w:p>
  <w:p w:rsidR="00000000" w:rsidDel="00000000" w:rsidP="00000000" w:rsidRDefault="00000000" w:rsidRPr="00000000" w14:paraId="000000A2">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DOI: 10.26877/paudia.xxx.xxxx</w:t>
    </w:r>
  </w:p>
  <w:p w:rsidR="00000000" w:rsidDel="00000000" w:rsidP="00000000" w:rsidRDefault="00000000" w:rsidRPr="00000000" w14:paraId="000000A3">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sz w:val="18"/>
        <w:szCs w:val="18"/>
      </w:rPr>
    </w:pPr>
    <w:hyperlink r:id="rId2">
      <w:r w:rsidDel="00000000" w:rsidR="00000000" w:rsidRPr="00000000">
        <w:rPr>
          <w:rFonts w:ascii="Times New Roman" w:cs="Times New Roman" w:eastAsia="Times New Roman" w:hAnsi="Times New Roman"/>
          <w:color w:val="0000ff"/>
          <w:sz w:val="18"/>
          <w:szCs w:val="18"/>
          <w:u w:val="single"/>
          <w:rtl w:val="0"/>
        </w:rPr>
        <w:t xml:space="preserve">https://journal2.upgris.ac.id/index.php/paudia/index</w:t>
      </w:r>
    </w:hyperlink>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A4">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color w:val="000000"/>
        <w:sz w:val="18"/>
        <w:szCs w:val="18"/>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-17779</wp:posOffset>
              </wp:positionH>
              <wp:positionV relativeFrom="paragraph">
                <wp:posOffset>113030</wp:posOffset>
              </wp:positionV>
              <wp:extent cx="0" cy="12700"/>
              <wp:effectExtent b="0" l="0" r="0" t="0"/>
              <wp:wrapNone/>
              <wp:docPr id="1960475509" name=""/>
              <a:graphic>
                <a:graphicData uri="http://schemas.microsoft.com/office/word/2010/wordprocessingShape">
                  <wps:wsp>
                    <wps:cNvCnPr/>
                    <wps:spPr>
                      <a:xfrm>
                        <a:off x="2442780" y="3780000"/>
                        <a:ext cx="5806440"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-17779</wp:posOffset>
              </wp:positionH>
              <wp:positionV relativeFrom="paragraph">
                <wp:posOffset>113030</wp:posOffset>
              </wp:positionV>
              <wp:extent cx="0" cy="12700"/>
              <wp:effectExtent b="0" l="0" r="0" t="0"/>
              <wp:wrapNone/>
              <wp:docPr id="1960475509"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-18414</wp:posOffset>
              </wp:positionH>
              <wp:positionV relativeFrom="paragraph">
                <wp:posOffset>48895</wp:posOffset>
              </wp:positionV>
              <wp:extent cx="0" cy="38100"/>
              <wp:effectExtent b="0" l="0" r="0" t="0"/>
              <wp:wrapNone/>
              <wp:docPr id="1960475510" name=""/>
              <a:graphic>
                <a:graphicData uri="http://schemas.microsoft.com/office/word/2010/wordprocessingShape">
                  <wps:wsp>
                    <wps:cNvCnPr/>
                    <wps:spPr>
                      <a:xfrm>
                        <a:off x="2442780" y="3780000"/>
                        <a:ext cx="5806440" cy="0"/>
                      </a:xfrm>
                      <a:prstGeom prst="straightConnector1">
                        <a:avLst/>
                      </a:prstGeom>
                      <a:noFill/>
                      <a:ln cap="flat" cmpd="sng" w="381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-18414</wp:posOffset>
              </wp:positionH>
              <wp:positionV relativeFrom="paragraph">
                <wp:posOffset>48895</wp:posOffset>
              </wp:positionV>
              <wp:extent cx="0" cy="38100"/>
              <wp:effectExtent b="0" l="0" r="0" t="0"/>
              <wp:wrapNone/>
              <wp:docPr id="1960475510"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0" cy="381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id"/>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360" w:lineRule="auto"/>
    </w:pPr>
    <w:rPr>
      <w:rFonts w:ascii="Times New Roman" w:cs="Times New Roman" w:eastAsia="Times New Roman" w:hAnsi="Times New Roman"/>
      <w:b w:val="1"/>
      <w:bCs w:val="1"/>
    </w:rPr>
  </w:style>
  <w:style w:type="paragraph" w:styleId="Heading2">
    <w:name w:val="heading 2"/>
    <w:basedOn w:val="Normal"/>
    <w:next w:val="Normal"/>
    <w:pPr>
      <w:keepNext w:val="1"/>
      <w:widowControl w:val="0"/>
      <w:spacing w:after="0" w:line="360" w:lineRule="auto"/>
    </w:pPr>
    <w:rPr>
      <w:rFonts w:ascii="Times New Roman" w:cs="Times New Roman" w:eastAsia="Times New Roman" w:hAnsi="Times New Roman"/>
      <w:b w:val="1"/>
      <w:bCs w:val="1"/>
    </w:rPr>
  </w:style>
  <w:style w:type="paragraph" w:styleId="Heading3">
    <w:name w:val="heading 3"/>
    <w:basedOn w:val="Normal"/>
    <w:next w:val="Normal"/>
    <w:pPr>
      <w:keepNext w:val="1"/>
      <w:keepLines w:val="1"/>
      <w:spacing w:after="0" w:before="200" w:line="240" w:lineRule="auto"/>
    </w:pPr>
    <w:rPr>
      <w:rFonts w:ascii="Times New Roman" w:cs="Times New Roman" w:eastAsia="Times New Roman" w:hAnsi="Times New Roman"/>
      <w:b w:val="1"/>
      <w:bCs w:val="1"/>
      <w:i w:val="1"/>
      <w:iCs w:val="1"/>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CA7788"/>
    <w:rPr>
      <w:color w:val="0000ff" w:themeColor="hyperlink"/>
      <w:u w:val="single"/>
    </w:rPr>
  </w:style>
  <w:style w:type="paragraph" w:styleId="BalloonText">
    <w:name w:val="Balloon Text"/>
    <w:basedOn w:val="Normal"/>
    <w:link w:val="BalloonTextChar"/>
    <w:uiPriority w:val="99"/>
    <w:semiHidden w:val="1"/>
    <w:unhideWhenUsed w:val="1"/>
    <w:rsid w:val="00A27E65"/>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A27E65"/>
    <w:rPr>
      <w:rFonts w:ascii="Tahoma" w:cs="Tahoma" w:hAnsi="Tahoma"/>
      <w:sz w:val="16"/>
      <w:szCs w:val="16"/>
    </w:rPr>
  </w:style>
  <w:style w:type="paragraph" w:styleId="ListParagraph">
    <w:name w:val="List Paragraph"/>
    <w:basedOn w:val="Normal"/>
    <w:link w:val="ListParagraphChar"/>
    <w:uiPriority w:val="34"/>
    <w:qFormat w:val="1"/>
    <w:rsid w:val="005F14ED"/>
    <w:pPr>
      <w:ind w:left="720"/>
      <w:contextualSpacing w:val="1"/>
    </w:pPr>
    <w:rPr>
      <w:rFonts w:cs="Times New Roman"/>
    </w:rPr>
  </w:style>
  <w:style w:type="paragraph" w:styleId="CommentText">
    <w:name w:val="annotation text"/>
    <w:basedOn w:val="Normal"/>
    <w:link w:val="CommentTextChar"/>
    <w:uiPriority w:val="99"/>
    <w:unhideWhenUsed w:val="1"/>
    <w:rsid w:val="005F14ED"/>
    <w:pPr>
      <w:spacing w:line="240" w:lineRule="auto"/>
    </w:pPr>
    <w:rPr>
      <w:sz w:val="20"/>
      <w:szCs w:val="20"/>
    </w:rPr>
  </w:style>
  <w:style w:type="character" w:styleId="CommentTextChar" w:customStyle="1">
    <w:name w:val="Comment Text Char"/>
    <w:basedOn w:val="DefaultParagraphFont"/>
    <w:link w:val="CommentText"/>
    <w:uiPriority w:val="99"/>
    <w:rsid w:val="005F14ED"/>
    <w:rPr>
      <w:sz w:val="20"/>
      <w:szCs w:val="20"/>
      <w:lang w:val="id-ID"/>
    </w:rPr>
  </w:style>
  <w:style w:type="character" w:styleId="ListParagraphChar" w:customStyle="1">
    <w:name w:val="List Paragraph Char"/>
    <w:basedOn w:val="DefaultParagraphFont"/>
    <w:link w:val="ListParagraph"/>
    <w:uiPriority w:val="34"/>
    <w:locked w:val="1"/>
    <w:rsid w:val="005F14ED"/>
    <w:rPr>
      <w:rFonts w:ascii="Calibri" w:cs="Times New Roman" w:eastAsia="Calibri" w:hAnsi="Calibri"/>
    </w:rPr>
  </w:style>
  <w:style w:type="table" w:styleId="LightShading1" w:customStyle="1">
    <w:name w:val="Light Shading1"/>
    <w:basedOn w:val="TableNormal"/>
    <w:uiPriority w:val="60"/>
    <w:rsid w:val="005F14ED"/>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Grid1" w:customStyle="1">
    <w:name w:val="Light Grid1"/>
    <w:basedOn w:val="TableNormal"/>
    <w:uiPriority w:val="62"/>
    <w:rsid w:val="000A72B8"/>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TableGrid">
    <w:name w:val="Table Grid"/>
    <w:basedOn w:val="TableNormal"/>
    <w:uiPriority w:val="59"/>
    <w:rsid w:val="0076604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Default" w:customStyle="1">
    <w:name w:val="Default"/>
    <w:rsid w:val="00766043"/>
    <w:pPr>
      <w:autoSpaceDE w:val="0"/>
      <w:autoSpaceDN w:val="0"/>
      <w:adjustRightInd w:val="0"/>
      <w:spacing w:after="0" w:line="240" w:lineRule="auto"/>
    </w:pPr>
    <w:rPr>
      <w:rFonts w:ascii="Cambria" w:cs="Cambria" w:hAnsi="Cambria"/>
      <w:color w:val="000000"/>
      <w:sz w:val="24"/>
      <w:szCs w:val="24"/>
    </w:rPr>
  </w:style>
  <w:style w:type="paragraph" w:styleId="Header">
    <w:name w:val="header"/>
    <w:basedOn w:val="Normal"/>
    <w:link w:val="HeaderChar"/>
    <w:uiPriority w:val="99"/>
    <w:unhideWhenUsed w:val="1"/>
    <w:rsid w:val="00B53143"/>
    <w:pPr>
      <w:tabs>
        <w:tab w:val="center" w:pos="4680"/>
        <w:tab w:val="right" w:pos="9360"/>
      </w:tabs>
      <w:spacing w:after="0" w:line="240" w:lineRule="auto"/>
    </w:pPr>
  </w:style>
  <w:style w:type="character" w:styleId="HeaderChar" w:customStyle="1">
    <w:name w:val="Header Char"/>
    <w:basedOn w:val="DefaultParagraphFont"/>
    <w:link w:val="Header"/>
    <w:uiPriority w:val="99"/>
    <w:rsid w:val="00B53143"/>
  </w:style>
  <w:style w:type="paragraph" w:styleId="Footer">
    <w:name w:val="footer"/>
    <w:basedOn w:val="Normal"/>
    <w:link w:val="FooterChar"/>
    <w:uiPriority w:val="99"/>
    <w:unhideWhenUsed w:val="1"/>
    <w:rsid w:val="00B53143"/>
    <w:pPr>
      <w:tabs>
        <w:tab w:val="center" w:pos="4680"/>
        <w:tab w:val="right" w:pos="9360"/>
      </w:tabs>
      <w:spacing w:after="0" w:line="240" w:lineRule="auto"/>
    </w:pPr>
  </w:style>
  <w:style w:type="character" w:styleId="FooterChar" w:customStyle="1">
    <w:name w:val="Footer Char"/>
    <w:basedOn w:val="DefaultParagraphFont"/>
    <w:link w:val="Footer"/>
    <w:uiPriority w:val="99"/>
    <w:rsid w:val="00B53143"/>
  </w:style>
  <w:style w:type="character" w:styleId="Strong">
    <w:name w:val="Strong"/>
    <w:basedOn w:val="DefaultParagraphFont"/>
    <w:uiPriority w:val="22"/>
    <w:qFormat w:val="1"/>
    <w:rsid w:val="00B53143"/>
    <w:rPr>
      <w:b w:val="1"/>
      <w:bCs w:val="1"/>
    </w:rPr>
  </w:style>
  <w:style w:type="paragraph" w:styleId="Body" w:customStyle="1">
    <w:name w:val="Body"/>
    <w:basedOn w:val="Normal"/>
    <w:rsid w:val="00EB4D55"/>
    <w:pPr>
      <w:widowControl w:val="0"/>
      <w:autoSpaceDE w:val="0"/>
      <w:autoSpaceDN w:val="0"/>
      <w:adjustRightInd w:val="0"/>
      <w:spacing w:after="0" w:line="360" w:lineRule="auto"/>
      <w:ind w:firstLine="340"/>
      <w:jc w:val="both"/>
      <w:textAlignment w:val="baseline"/>
    </w:pPr>
    <w:rPr>
      <w:rFonts w:ascii="Times New Roman" w:cs="Times New Roman" w:eastAsia="BatangChe" w:hAnsi="Times New Roman"/>
      <w:sz w:val="24"/>
      <w:szCs w:val="20"/>
      <w:lang w:eastAsia="ko-KR"/>
    </w:rPr>
  </w:style>
  <w:style w:type="character" w:styleId="Heading2Char" w:customStyle="1">
    <w:name w:val="Heading 2 Char"/>
    <w:basedOn w:val="DefaultParagraphFont"/>
    <w:link w:val="Heading2"/>
    <w:uiPriority w:val="9"/>
    <w:rsid w:val="00D03F57"/>
    <w:rPr>
      <w:rFonts w:ascii="Times New Roman" w:cs="Times New Roman" w:eastAsia="BatangChe" w:hAnsi="Times New Roman"/>
      <w:b w:val="1"/>
      <w:lang w:eastAsia="ko-KR"/>
    </w:rPr>
  </w:style>
  <w:style w:type="paragraph" w:styleId="Bullet" w:customStyle="1">
    <w:name w:val="Bullet"/>
    <w:basedOn w:val="Body"/>
    <w:rsid w:val="00EB4D55"/>
    <w:pPr>
      <w:ind w:left="576" w:hanging="288"/>
    </w:pPr>
  </w:style>
  <w:style w:type="paragraph" w:styleId="SubBullet" w:customStyle="1">
    <w:name w:val="SubBullet"/>
    <w:basedOn w:val="Body"/>
    <w:rsid w:val="00EB4D55"/>
    <w:pPr>
      <w:ind w:left="1145" w:hanging="283"/>
    </w:pPr>
  </w:style>
  <w:style w:type="paragraph" w:styleId="Enumerated" w:customStyle="1">
    <w:name w:val="Enumerated"/>
    <w:basedOn w:val="Bullet"/>
    <w:rsid w:val="00EB4D55"/>
  </w:style>
  <w:style w:type="paragraph" w:styleId="FigureTitle" w:customStyle="1">
    <w:name w:val="FigureTitle"/>
    <w:basedOn w:val="Body"/>
    <w:rsid w:val="00EB4D55"/>
    <w:pPr>
      <w:spacing w:after="120"/>
      <w:jc w:val="center"/>
    </w:pPr>
    <w:rPr>
      <w:i w:val="1"/>
    </w:rPr>
  </w:style>
  <w:style w:type="paragraph" w:styleId="Equation" w:customStyle="1">
    <w:name w:val="Equation"/>
    <w:basedOn w:val="Normal"/>
    <w:rsid w:val="00EB4D55"/>
    <w:pPr>
      <w:widowControl w:val="0"/>
      <w:tabs>
        <w:tab w:val="left" w:pos="0"/>
        <w:tab w:val="center" w:pos="2268"/>
        <w:tab w:val="right" w:pos="4706"/>
      </w:tabs>
      <w:autoSpaceDE w:val="0"/>
      <w:autoSpaceDN w:val="0"/>
      <w:adjustRightInd w:val="0"/>
      <w:spacing w:after="120" w:before="120" w:line="360" w:lineRule="auto"/>
      <w:jc w:val="both"/>
      <w:textAlignment w:val="baseline"/>
    </w:pPr>
    <w:rPr>
      <w:rFonts w:ascii="Times New Roman" w:cs="Times New Roman" w:eastAsia="BatangChe" w:hAnsi="Times New Roman"/>
      <w:szCs w:val="20"/>
      <w:lang w:eastAsia="ko-KR"/>
    </w:rPr>
  </w:style>
  <w:style w:type="character" w:styleId="Heading1Char" w:customStyle="1">
    <w:name w:val="Heading 1 Char"/>
    <w:basedOn w:val="DefaultParagraphFont"/>
    <w:link w:val="Heading1"/>
    <w:uiPriority w:val="9"/>
    <w:rsid w:val="00D03F57"/>
    <w:rPr>
      <w:rFonts w:ascii="Times New Roman" w:hAnsi="Times New Roman" w:cstheme="majorBidi" w:eastAsiaTheme="majorEastAsia"/>
      <w:b w:val="1"/>
      <w:szCs w:val="32"/>
    </w:rPr>
  </w:style>
  <w:style w:type="paragraph" w:styleId="Tabletitle" w:customStyle="1">
    <w:name w:val="Tabletitle"/>
    <w:basedOn w:val="Body"/>
    <w:rsid w:val="007E0220"/>
    <w:pPr>
      <w:spacing w:after="120" w:before="240"/>
      <w:jc w:val="center"/>
    </w:pPr>
    <w:rPr>
      <w:i w:val="1"/>
    </w:rPr>
  </w:style>
  <w:style w:type="character" w:styleId="Heading3Char" w:customStyle="1">
    <w:name w:val="Heading 3 Char"/>
    <w:basedOn w:val="DefaultParagraphFont"/>
    <w:link w:val="Heading3"/>
    <w:uiPriority w:val="9"/>
    <w:rsid w:val="00512EF1"/>
    <w:rPr>
      <w:rFonts w:ascii="Times New Roman" w:hAnsi="Times New Roman" w:cstheme="majorBidi" w:eastAsiaTheme="majorEastAsia"/>
      <w:b w:val="1"/>
      <w:bCs w:val="1"/>
      <w:i w:val="1"/>
    </w:rPr>
  </w:style>
  <w:style w:type="table" w:styleId="PlainTable2">
    <w:name w:val="Plain Table 2"/>
    <w:basedOn w:val="TableNormal"/>
    <w:uiPriority w:val="42"/>
    <w:rsid w:val="005D2D7E"/>
    <w:pPr>
      <w:spacing w:after="0" w:line="240" w:lineRule="auto"/>
    </w:pPr>
    <w:tblPr>
      <w:tblStyleRowBandSize w:val="1"/>
      <w:tblStyleColBandSize w:val="1"/>
      <w:tblBorders>
        <w:top w:color="7f7f7f" w:space="0" w:sz="4" w:themeColor="text1" w:themeTint="000080" w:val="single"/>
        <w:bottom w:color="7f7f7f" w:space="0" w:sz="4" w:themeColor="text1" w:themeTint="000080" w:val="single"/>
      </w:tblBorders>
    </w:tblPr>
    <w:tblStylePr w:type="firstRow">
      <w:rPr>
        <w:b w:val="1"/>
        <w:bCs w:val="1"/>
      </w:rPr>
      <w:tblPr/>
      <w:tcPr>
        <w:tcBorders>
          <w:bottom w:color="7f7f7f" w:space="0" w:sz="4" w:themeColor="text1" w:themeTint="000080" w:val="single"/>
        </w:tcBorders>
      </w:tcPr>
    </w:tblStylePr>
    <w:tblStylePr w:type="lastRow">
      <w:rPr>
        <w:b w:val="1"/>
        <w:bCs w:val="1"/>
      </w:rPr>
      <w:tblPr/>
      <w:tcPr>
        <w:tcBorders>
          <w:top w:color="7f7f7f" w:space="0" w:sz="4" w:themeColor="text1" w:themeTint="000080" w:val="single"/>
        </w:tcBorders>
      </w:tcPr>
    </w:tblStylePr>
    <w:tblStylePr w:type="firstCol">
      <w:rPr>
        <w:b w:val="1"/>
        <w:bCs w:val="1"/>
      </w:rPr>
    </w:tblStylePr>
    <w:tblStylePr w:type="lastCol">
      <w:rPr>
        <w:b w:val="1"/>
        <w:bCs w:val="1"/>
      </w:rPr>
    </w:tblStylePr>
    <w:tblStylePr w:type="band1Vert">
      <w:tblPr/>
      <w:tcPr>
        <w:tcBorders>
          <w:left w:color="7f7f7f" w:space="0" w:sz="4" w:themeColor="text1" w:themeTint="000080" w:val="single"/>
          <w:right w:color="7f7f7f" w:space="0" w:sz="4" w:themeColor="text1" w:themeTint="000080" w:val="single"/>
        </w:tcBorders>
      </w:tcPr>
    </w:tblStylePr>
    <w:tblStylePr w:type="band2Vert">
      <w:tblPr/>
      <w:tcPr>
        <w:tcBorders>
          <w:left w:color="7f7f7f" w:space="0" w:sz="4" w:themeColor="text1" w:themeTint="000080" w:val="single"/>
          <w:right w:color="7f7f7f" w:space="0" w:sz="4" w:themeColor="text1" w:themeTint="000080" w:val="single"/>
        </w:tcBorders>
      </w:tcPr>
    </w:tblStylePr>
    <w:tblStylePr w:type="band1Horz">
      <w:tblPr/>
      <w:tcPr>
        <w:tcBorders>
          <w:top w:color="7f7f7f" w:space="0" w:sz="4" w:themeColor="text1" w:themeTint="000080" w:val="single"/>
          <w:bottom w:color="7f7f7f" w:space="0" w:sz="4" w:themeColor="text1" w:themeTint="000080" w:val="single"/>
        </w:tcBorders>
      </w:tcPr>
    </w:tblStylePr>
  </w:style>
  <w:style w:type="table" w:styleId="a" w:customStyle="1">
    <w:basedOn w:val="TableNormal"/>
    <w:pPr>
      <w:spacing w:after="0" w:line="240" w:lineRule="auto"/>
    </w:pPr>
    <w:rPr>
      <w:color w:val="000000"/>
    </w:rPr>
    <w:tblPr>
      <w:tblStyleRowBandSize w:val="1"/>
      <w:tblStyleColBandSize w:val="1"/>
    </w:tblPr>
    <w:tblStylePr w:type="firstRow">
      <w:rPr>
        <w:b w:val="1"/>
      </w:rPr>
      <w:tblPr/>
      <w:tcPr>
        <w:tcBorders>
          <w:bottom w:color="7f7f7f" w:space="0" w:sz="4" w:val="single"/>
        </w:tcBorders>
      </w:tcPr>
    </w:tblStylePr>
    <w:tblStylePr w:type="lastRow">
      <w:rPr>
        <w:b w:val="1"/>
      </w:rPr>
      <w:tblPr/>
      <w:tcPr>
        <w:tcBorders>
          <w:top w:color="7f7f7f" w:space="0" w:sz="4" w:val="single"/>
        </w:tcBorders>
      </w:tcPr>
    </w:tblStylePr>
    <w:tblStylePr w:type="firstCol">
      <w:rPr>
        <w:b w:val="1"/>
      </w:rPr>
    </w:tblStylePr>
    <w:tblStylePr w:type="lastCol">
      <w:rPr>
        <w:b w:val="1"/>
      </w:rPr>
    </w:tblStylePr>
    <w:tblStylePr w:type="band1Vert">
      <w:tblPr/>
      <w:tcPr>
        <w:tcBorders>
          <w:left w:color="7f7f7f" w:space="0" w:sz="4" w:val="single"/>
          <w:right w:color="7f7f7f" w:space="0" w:sz="4" w:val="single"/>
        </w:tcBorders>
      </w:tcPr>
    </w:tblStylePr>
    <w:tblStylePr w:type="band2Vert">
      <w:tblPr/>
      <w:tcPr>
        <w:tcBorders>
          <w:left w:color="7f7f7f" w:space="0" w:sz="4" w:val="single"/>
          <w:right w:color="7f7f7f" w:space="0" w:sz="4" w:val="single"/>
        </w:tcBorders>
      </w:tcPr>
    </w:tblStylePr>
    <w:tblStylePr w:type="band1Horz">
      <w:tblPr/>
      <w:tcPr>
        <w:tcBorders>
          <w:top w:color="7f7f7f" w:space="0" w:sz="4" w:val="single"/>
          <w:bottom w:color="7f7f7f" w:space="0" w:sz="4" w:val="single"/>
        </w:tcBorders>
      </w:tcPr>
    </w:tblStylePr>
  </w:style>
  <w:style w:type="paragraph" w:styleId="NormalWeb">
    <w:name w:val="Normal (Web)"/>
    <w:basedOn w:val="Normal"/>
    <w:uiPriority w:val="99"/>
    <w:semiHidden w:val="1"/>
    <w:unhideWhenUsed w:val="1"/>
    <w:rsid w:val="00ED3186"/>
    <w:pPr>
      <w:spacing w:after="100" w:afterAutospacing="1" w:before="100" w:beforeAutospacing="1" w:line="240" w:lineRule="auto"/>
    </w:pPr>
    <w:rPr>
      <w:rFonts w:ascii="Times New Roman" w:cs="Times New Roman" w:eastAsia="Times New Roman" w:hAnsi="Times New Roman"/>
      <w:sz w:val="24"/>
      <w:szCs w:val="24"/>
      <w:lang w:val="en-ID"/>
    </w:rPr>
  </w:style>
  <w:style w:type="character" w:styleId="UnresolvedMention">
    <w:name w:val="Unresolved Mention"/>
    <w:basedOn w:val="DefaultParagraphFont"/>
    <w:uiPriority w:val="99"/>
    <w:semiHidden w:val="1"/>
    <w:unhideWhenUsed w:val="1"/>
    <w:rsid w:val="00102861"/>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31004/obsesi.v1i2.24" TargetMode="External"/><Relationship Id="rId10" Type="http://schemas.openxmlformats.org/officeDocument/2006/relationships/chart" Target="charts/chart1.xml"/><Relationship Id="rId13" Type="http://schemas.openxmlformats.org/officeDocument/2006/relationships/image" Target="media/image3.png"/><Relationship Id="rId12" Type="http://schemas.openxmlformats.org/officeDocument/2006/relationships/hyperlink" Target="https://doi.org/10.1089/cpb.2004.7.57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eader" Target="header3.xml"/><Relationship Id="rId14" Type="http://schemas.openxmlformats.org/officeDocument/2006/relationships/header" Target="header2.xml"/><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footer" Target="footer3.xml"/><Relationship Id="rId7" Type="http://schemas.openxmlformats.org/officeDocument/2006/relationships/hyperlink" Target="mailto:your@email.address" TargetMode="External"/><Relationship Id="rId8" Type="http://schemas.openxmlformats.org/officeDocument/2006/relationships/hyperlink" Target="https://creativecommons.org/licenses/by-nc-sa/4.0/" TargetMode="External"/><Relationship Id="rId20" Type="http://schemas.openxmlformats.org/officeDocument/2006/relationships/image" Target="media/image5.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https://journal2.upgris.ac.id/index.php/paudia/index" TargetMode="External"/><Relationship Id="rId3"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oleObject" Target="file:///C:\2015%20puji\UNSRI\2015%20statbio-with%20pak%20ucup\STATBIO%202016\puji-korelasi%20dan%20regresi.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strRef>
              <c:f>'korelasi dan regresi'!$F$5</c:f>
              <c:strCache>
                <c:ptCount val="1"/>
                <c:pt idx="0">
                  <c:v>Y</c:v>
                </c:pt>
              </c:strCache>
            </c:strRef>
          </c:tx>
          <c:spPr>
            <a:ln w="28575">
              <a:noFill/>
            </a:ln>
          </c:spPr>
          <c:trendline>
            <c:trendlineType val="linear"/>
            <c:dispRSqr val="1"/>
            <c:dispEq val="1"/>
            <c:trendlineLbl>
              <c:layout>
                <c:manualLayout>
                  <c:x val="0.38061025188080605"/>
                  <c:y val="-0.16009646641735062"/>
                </c:manualLayout>
              </c:layout>
              <c:numFmt formatCode="General" sourceLinked="0"/>
            </c:trendlineLbl>
          </c:trendline>
          <c:trendline>
            <c:trendlineType val="linear"/>
            <c:dispRSqr val="0"/>
            <c:dispEq val="0"/>
          </c:trendline>
          <c:trendline>
            <c:trendlineType val="linear"/>
            <c:dispRSqr val="0"/>
            <c:dispEq val="0"/>
          </c:trendline>
          <c:xVal>
            <c:numRef>
              <c:f>'korelasi dan regresi'!$E$6:$E$114</c:f>
              <c:numCache>
                <c:formatCode>General</c:formatCode>
                <c:ptCount val="109"/>
                <c:pt idx="0">
                  <c:v>74.75</c:v>
                </c:pt>
                <c:pt idx="1">
                  <c:v>72.599999999999994</c:v>
                </c:pt>
                <c:pt idx="2">
                  <c:v>81.8</c:v>
                </c:pt>
                <c:pt idx="3">
                  <c:v>83.95</c:v>
                </c:pt>
                <c:pt idx="4">
                  <c:v>74.650000000000006</c:v>
                </c:pt>
                <c:pt idx="5">
                  <c:v>71.849999999999994</c:v>
                </c:pt>
                <c:pt idx="6">
                  <c:v>80.900000000000006</c:v>
                </c:pt>
                <c:pt idx="7">
                  <c:v>83.4</c:v>
                </c:pt>
                <c:pt idx="8">
                  <c:v>63.5</c:v>
                </c:pt>
                <c:pt idx="9">
                  <c:v>73.2</c:v>
                </c:pt>
                <c:pt idx="10">
                  <c:v>71.900000000000006</c:v>
                </c:pt>
                <c:pt idx="11">
                  <c:v>75</c:v>
                </c:pt>
                <c:pt idx="12">
                  <c:v>73.099999999999994</c:v>
                </c:pt>
                <c:pt idx="13">
                  <c:v>79</c:v>
                </c:pt>
                <c:pt idx="14">
                  <c:v>77</c:v>
                </c:pt>
                <c:pt idx="15">
                  <c:v>68.849999999999994</c:v>
                </c:pt>
                <c:pt idx="16">
                  <c:v>75.95</c:v>
                </c:pt>
                <c:pt idx="17">
                  <c:v>74.150000000000006</c:v>
                </c:pt>
                <c:pt idx="18">
                  <c:v>73.8</c:v>
                </c:pt>
                <c:pt idx="19">
                  <c:v>75.900000000000006</c:v>
                </c:pt>
                <c:pt idx="20">
                  <c:v>76.849999999999994</c:v>
                </c:pt>
                <c:pt idx="21">
                  <c:v>80.900000000000006</c:v>
                </c:pt>
                <c:pt idx="22">
                  <c:v>79.900000000000006</c:v>
                </c:pt>
                <c:pt idx="23">
                  <c:v>89.2</c:v>
                </c:pt>
                <c:pt idx="24">
                  <c:v>82</c:v>
                </c:pt>
                <c:pt idx="25">
                  <c:v>92</c:v>
                </c:pt>
                <c:pt idx="26">
                  <c:v>86.6</c:v>
                </c:pt>
                <c:pt idx="27">
                  <c:v>80.5</c:v>
                </c:pt>
                <c:pt idx="28">
                  <c:v>86</c:v>
                </c:pt>
                <c:pt idx="29">
                  <c:v>82.5</c:v>
                </c:pt>
                <c:pt idx="30">
                  <c:v>83.5</c:v>
                </c:pt>
                <c:pt idx="31">
                  <c:v>88.1</c:v>
                </c:pt>
                <c:pt idx="32">
                  <c:v>90.8</c:v>
                </c:pt>
                <c:pt idx="33">
                  <c:v>89.4</c:v>
                </c:pt>
                <c:pt idx="34">
                  <c:v>102</c:v>
                </c:pt>
                <c:pt idx="35">
                  <c:v>94.5</c:v>
                </c:pt>
                <c:pt idx="36">
                  <c:v>91</c:v>
                </c:pt>
                <c:pt idx="37">
                  <c:v>103</c:v>
                </c:pt>
                <c:pt idx="38">
                  <c:v>80</c:v>
                </c:pt>
                <c:pt idx="39">
                  <c:v>79</c:v>
                </c:pt>
                <c:pt idx="40">
                  <c:v>83.5</c:v>
                </c:pt>
                <c:pt idx="41">
                  <c:v>76</c:v>
                </c:pt>
                <c:pt idx="42">
                  <c:v>80.5</c:v>
                </c:pt>
                <c:pt idx="43">
                  <c:v>86.5</c:v>
                </c:pt>
                <c:pt idx="44">
                  <c:v>83</c:v>
                </c:pt>
                <c:pt idx="45">
                  <c:v>107.1</c:v>
                </c:pt>
                <c:pt idx="46">
                  <c:v>94.3</c:v>
                </c:pt>
                <c:pt idx="47">
                  <c:v>94.5</c:v>
                </c:pt>
                <c:pt idx="48">
                  <c:v>79.7</c:v>
                </c:pt>
                <c:pt idx="49">
                  <c:v>79.3</c:v>
                </c:pt>
                <c:pt idx="50">
                  <c:v>89.8</c:v>
                </c:pt>
                <c:pt idx="51">
                  <c:v>83.8</c:v>
                </c:pt>
                <c:pt idx="52">
                  <c:v>85.2</c:v>
                </c:pt>
                <c:pt idx="53">
                  <c:v>75.5</c:v>
                </c:pt>
                <c:pt idx="54">
                  <c:v>78.400000000000006</c:v>
                </c:pt>
                <c:pt idx="55">
                  <c:v>78.599999999999994</c:v>
                </c:pt>
                <c:pt idx="56">
                  <c:v>87.8</c:v>
                </c:pt>
                <c:pt idx="57">
                  <c:v>86.3</c:v>
                </c:pt>
                <c:pt idx="58">
                  <c:v>85.5</c:v>
                </c:pt>
                <c:pt idx="59">
                  <c:v>83.7</c:v>
                </c:pt>
                <c:pt idx="60">
                  <c:v>77.599999999999994</c:v>
                </c:pt>
                <c:pt idx="61">
                  <c:v>84.9</c:v>
                </c:pt>
                <c:pt idx="62">
                  <c:v>79.8</c:v>
                </c:pt>
                <c:pt idx="63">
                  <c:v>108.3</c:v>
                </c:pt>
                <c:pt idx="64">
                  <c:v>119.6</c:v>
                </c:pt>
                <c:pt idx="65">
                  <c:v>119.9</c:v>
                </c:pt>
                <c:pt idx="66">
                  <c:v>96.5</c:v>
                </c:pt>
                <c:pt idx="67">
                  <c:v>105.5</c:v>
                </c:pt>
                <c:pt idx="68">
                  <c:v>105</c:v>
                </c:pt>
                <c:pt idx="69">
                  <c:v>107</c:v>
                </c:pt>
                <c:pt idx="70">
                  <c:v>107</c:v>
                </c:pt>
                <c:pt idx="71">
                  <c:v>101</c:v>
                </c:pt>
                <c:pt idx="72">
                  <c:v>97</c:v>
                </c:pt>
                <c:pt idx="73">
                  <c:v>100</c:v>
                </c:pt>
                <c:pt idx="74">
                  <c:v>108</c:v>
                </c:pt>
                <c:pt idx="75">
                  <c:v>100</c:v>
                </c:pt>
                <c:pt idx="76">
                  <c:v>103</c:v>
                </c:pt>
                <c:pt idx="77">
                  <c:v>104</c:v>
                </c:pt>
                <c:pt idx="78">
                  <c:v>106</c:v>
                </c:pt>
                <c:pt idx="79">
                  <c:v>109</c:v>
                </c:pt>
                <c:pt idx="80">
                  <c:v>103.5</c:v>
                </c:pt>
                <c:pt idx="81">
                  <c:v>110</c:v>
                </c:pt>
                <c:pt idx="82">
                  <c:v>110</c:v>
                </c:pt>
                <c:pt idx="83">
                  <c:v>112</c:v>
                </c:pt>
                <c:pt idx="84">
                  <c:v>108.5</c:v>
                </c:pt>
                <c:pt idx="85">
                  <c:v>104</c:v>
                </c:pt>
                <c:pt idx="86">
                  <c:v>111</c:v>
                </c:pt>
                <c:pt idx="87">
                  <c:v>108.5</c:v>
                </c:pt>
                <c:pt idx="88">
                  <c:v>121</c:v>
                </c:pt>
                <c:pt idx="89">
                  <c:v>109</c:v>
                </c:pt>
                <c:pt idx="90">
                  <c:v>97.5</c:v>
                </c:pt>
                <c:pt idx="91">
                  <c:v>105.5</c:v>
                </c:pt>
                <c:pt idx="92">
                  <c:v>98</c:v>
                </c:pt>
                <c:pt idx="93">
                  <c:v>94.5</c:v>
                </c:pt>
                <c:pt idx="94">
                  <c:v>97</c:v>
                </c:pt>
                <c:pt idx="95">
                  <c:v>105</c:v>
                </c:pt>
                <c:pt idx="96">
                  <c:v>106</c:v>
                </c:pt>
                <c:pt idx="97">
                  <c:v>99</c:v>
                </c:pt>
                <c:pt idx="98">
                  <c:v>91</c:v>
                </c:pt>
                <c:pt idx="99">
                  <c:v>102.5</c:v>
                </c:pt>
                <c:pt idx="100">
                  <c:v>106</c:v>
                </c:pt>
                <c:pt idx="101">
                  <c:v>109.1</c:v>
                </c:pt>
                <c:pt idx="102">
                  <c:v>115</c:v>
                </c:pt>
                <c:pt idx="103">
                  <c:v>101</c:v>
                </c:pt>
                <c:pt idx="104">
                  <c:v>100.1</c:v>
                </c:pt>
                <c:pt idx="105">
                  <c:v>93.3</c:v>
                </c:pt>
                <c:pt idx="106">
                  <c:v>101.8</c:v>
                </c:pt>
                <c:pt idx="107">
                  <c:v>107.9</c:v>
                </c:pt>
                <c:pt idx="108">
                  <c:v>108.5</c:v>
                </c:pt>
              </c:numCache>
            </c:numRef>
          </c:xVal>
          <c:yVal>
            <c:numRef>
              <c:f>'korelasi dan regresi'!$F$6:$F$114</c:f>
              <c:numCache>
                <c:formatCode>General</c:formatCode>
                <c:ptCount val="109"/>
                <c:pt idx="0">
                  <c:v>25.72</c:v>
                </c:pt>
                <c:pt idx="1">
                  <c:v>25.89</c:v>
                </c:pt>
                <c:pt idx="2">
                  <c:v>42.6</c:v>
                </c:pt>
                <c:pt idx="3">
                  <c:v>42.8</c:v>
                </c:pt>
                <c:pt idx="4">
                  <c:v>29.84</c:v>
                </c:pt>
                <c:pt idx="5">
                  <c:v>21.68</c:v>
                </c:pt>
                <c:pt idx="6">
                  <c:v>29.08</c:v>
                </c:pt>
                <c:pt idx="7">
                  <c:v>32.979999999999997</c:v>
                </c:pt>
                <c:pt idx="8">
                  <c:v>11.44</c:v>
                </c:pt>
                <c:pt idx="9">
                  <c:v>32.220000000000013</c:v>
                </c:pt>
                <c:pt idx="10">
                  <c:v>28.32</c:v>
                </c:pt>
                <c:pt idx="11">
                  <c:v>43.86</c:v>
                </c:pt>
                <c:pt idx="12">
                  <c:v>38.21</c:v>
                </c:pt>
                <c:pt idx="13">
                  <c:v>42.48</c:v>
                </c:pt>
                <c:pt idx="14">
                  <c:v>30.95999999999999</c:v>
                </c:pt>
                <c:pt idx="15">
                  <c:v>55.78</c:v>
                </c:pt>
                <c:pt idx="16">
                  <c:v>43.78</c:v>
                </c:pt>
                <c:pt idx="17">
                  <c:v>33.409999999999997</c:v>
                </c:pt>
                <c:pt idx="18">
                  <c:v>43.35</c:v>
                </c:pt>
                <c:pt idx="19">
                  <c:v>29.31000000000002</c:v>
                </c:pt>
                <c:pt idx="20">
                  <c:v>36.6</c:v>
                </c:pt>
                <c:pt idx="21">
                  <c:v>40.25</c:v>
                </c:pt>
                <c:pt idx="22">
                  <c:v>35.43</c:v>
                </c:pt>
                <c:pt idx="23">
                  <c:v>60.09</c:v>
                </c:pt>
                <c:pt idx="24">
                  <c:v>45.84</c:v>
                </c:pt>
                <c:pt idx="25">
                  <c:v>70.400000000000006</c:v>
                </c:pt>
                <c:pt idx="26">
                  <c:v>83.45</c:v>
                </c:pt>
                <c:pt idx="27">
                  <c:v>84.3</c:v>
                </c:pt>
                <c:pt idx="28">
                  <c:v>78.89</c:v>
                </c:pt>
                <c:pt idx="29">
                  <c:v>64.75</c:v>
                </c:pt>
                <c:pt idx="30">
                  <c:v>72.56</c:v>
                </c:pt>
                <c:pt idx="31">
                  <c:v>89.31</c:v>
                </c:pt>
                <c:pt idx="32">
                  <c:v>78.940000000000026</c:v>
                </c:pt>
                <c:pt idx="33">
                  <c:v>83.55</c:v>
                </c:pt>
                <c:pt idx="34">
                  <c:v>127</c:v>
                </c:pt>
                <c:pt idx="35">
                  <c:v>121</c:v>
                </c:pt>
                <c:pt idx="36">
                  <c:v>107</c:v>
                </c:pt>
                <c:pt idx="37">
                  <c:v>129</c:v>
                </c:pt>
                <c:pt idx="38">
                  <c:v>74.02</c:v>
                </c:pt>
                <c:pt idx="39">
                  <c:v>55.48</c:v>
                </c:pt>
                <c:pt idx="40">
                  <c:v>73.13</c:v>
                </c:pt>
                <c:pt idx="41">
                  <c:v>50.5</c:v>
                </c:pt>
                <c:pt idx="42">
                  <c:v>50.88</c:v>
                </c:pt>
                <c:pt idx="43">
                  <c:v>140</c:v>
                </c:pt>
                <c:pt idx="44">
                  <c:v>96.54</c:v>
                </c:pt>
                <c:pt idx="45">
                  <c:v>118</c:v>
                </c:pt>
                <c:pt idx="46">
                  <c:v>107</c:v>
                </c:pt>
                <c:pt idx="47">
                  <c:v>123</c:v>
                </c:pt>
                <c:pt idx="48">
                  <c:v>65.92</c:v>
                </c:pt>
                <c:pt idx="49">
                  <c:v>81.290000000000006</c:v>
                </c:pt>
                <c:pt idx="50">
                  <c:v>111</c:v>
                </c:pt>
                <c:pt idx="51">
                  <c:v>90.73</c:v>
                </c:pt>
                <c:pt idx="52">
                  <c:v>133</c:v>
                </c:pt>
                <c:pt idx="53">
                  <c:v>41.9</c:v>
                </c:pt>
                <c:pt idx="54">
                  <c:v>41.71</c:v>
                </c:pt>
                <c:pt idx="55">
                  <c:v>58.160000000000011</c:v>
                </c:pt>
                <c:pt idx="56">
                  <c:v>88.85</c:v>
                </c:pt>
                <c:pt idx="57">
                  <c:v>155</c:v>
                </c:pt>
                <c:pt idx="58">
                  <c:v>70.77</c:v>
                </c:pt>
                <c:pt idx="59">
                  <c:v>75.08</c:v>
                </c:pt>
                <c:pt idx="60">
                  <c:v>57.05</c:v>
                </c:pt>
                <c:pt idx="61">
                  <c:v>99.73</c:v>
                </c:pt>
                <c:pt idx="62">
                  <c:v>27.95999999999999</c:v>
                </c:pt>
                <c:pt idx="63">
                  <c:v>123</c:v>
                </c:pt>
                <c:pt idx="64">
                  <c:v>90.410000000000025</c:v>
                </c:pt>
                <c:pt idx="65">
                  <c:v>106</c:v>
                </c:pt>
                <c:pt idx="66">
                  <c:v>144</c:v>
                </c:pt>
                <c:pt idx="67">
                  <c:v>121</c:v>
                </c:pt>
                <c:pt idx="68">
                  <c:v>97.13</c:v>
                </c:pt>
                <c:pt idx="69">
                  <c:v>166</c:v>
                </c:pt>
                <c:pt idx="70">
                  <c:v>87.990000000000023</c:v>
                </c:pt>
                <c:pt idx="71">
                  <c:v>154</c:v>
                </c:pt>
                <c:pt idx="72">
                  <c:v>100</c:v>
                </c:pt>
                <c:pt idx="73">
                  <c:v>123</c:v>
                </c:pt>
                <c:pt idx="74">
                  <c:v>217</c:v>
                </c:pt>
                <c:pt idx="75">
                  <c:v>140</c:v>
                </c:pt>
                <c:pt idx="76">
                  <c:v>109</c:v>
                </c:pt>
                <c:pt idx="77">
                  <c:v>127</c:v>
                </c:pt>
                <c:pt idx="78">
                  <c:v>112</c:v>
                </c:pt>
                <c:pt idx="79">
                  <c:v>192</c:v>
                </c:pt>
                <c:pt idx="80">
                  <c:v>132</c:v>
                </c:pt>
                <c:pt idx="81">
                  <c:v>126</c:v>
                </c:pt>
                <c:pt idx="82">
                  <c:v>153</c:v>
                </c:pt>
                <c:pt idx="83">
                  <c:v>158</c:v>
                </c:pt>
                <c:pt idx="84">
                  <c:v>183</c:v>
                </c:pt>
                <c:pt idx="85">
                  <c:v>184</c:v>
                </c:pt>
                <c:pt idx="86">
                  <c:v>121</c:v>
                </c:pt>
                <c:pt idx="87">
                  <c:v>159</c:v>
                </c:pt>
                <c:pt idx="88">
                  <c:v>245</c:v>
                </c:pt>
                <c:pt idx="89">
                  <c:v>137</c:v>
                </c:pt>
                <c:pt idx="90">
                  <c:v>165</c:v>
                </c:pt>
                <c:pt idx="91">
                  <c:v>152</c:v>
                </c:pt>
                <c:pt idx="92">
                  <c:v>181</c:v>
                </c:pt>
                <c:pt idx="93">
                  <c:v>80.95</c:v>
                </c:pt>
                <c:pt idx="94">
                  <c:v>137</c:v>
                </c:pt>
                <c:pt idx="95">
                  <c:v>125</c:v>
                </c:pt>
                <c:pt idx="96">
                  <c:v>241</c:v>
                </c:pt>
                <c:pt idx="97">
                  <c:v>134</c:v>
                </c:pt>
                <c:pt idx="98">
                  <c:v>150</c:v>
                </c:pt>
                <c:pt idx="99">
                  <c:v>198</c:v>
                </c:pt>
                <c:pt idx="100">
                  <c:v>151</c:v>
                </c:pt>
                <c:pt idx="101">
                  <c:v>229</c:v>
                </c:pt>
                <c:pt idx="102">
                  <c:v>253</c:v>
                </c:pt>
                <c:pt idx="103">
                  <c:v>188</c:v>
                </c:pt>
                <c:pt idx="104">
                  <c:v>124</c:v>
                </c:pt>
                <c:pt idx="105">
                  <c:v>62.2</c:v>
                </c:pt>
                <c:pt idx="106">
                  <c:v>133</c:v>
                </c:pt>
                <c:pt idx="107">
                  <c:v>208</c:v>
                </c:pt>
                <c:pt idx="108">
                  <c:v>208</c:v>
                </c:pt>
              </c:numCache>
            </c:numRef>
          </c:yVal>
          <c:smooth val="0"/>
          <c:extLst>
            <c:ext xmlns:c16="http://schemas.microsoft.com/office/drawing/2014/chart" uri="{C3380CC4-5D6E-409C-BE32-E72D297353CC}">
              <c16:uniqueId val="{00000003-6516-46FE-BFEA-209A5684F7A9}"/>
            </c:ext>
          </c:extLst>
        </c:ser>
        <c:dLbls>
          <c:showLegendKey val="0"/>
          <c:showVal val="0"/>
          <c:showCatName val="0"/>
          <c:showSerName val="0"/>
          <c:showPercent val="0"/>
          <c:showBubbleSize val="0"/>
        </c:dLbls>
        <c:axId val="592062840"/>
        <c:axId val="592058528"/>
      </c:scatterChart>
      <c:valAx>
        <c:axId val="592062840"/>
        <c:scaling>
          <c:orientation val="minMax"/>
          <c:min val="50"/>
        </c:scaling>
        <c:delete val="0"/>
        <c:axPos val="b"/>
        <c:numFmt formatCode="General" sourceLinked="1"/>
        <c:majorTickMark val="out"/>
        <c:minorTickMark val="none"/>
        <c:tickLblPos val="nextTo"/>
        <c:crossAx val="592058528"/>
        <c:crosses val="autoZero"/>
        <c:crossBetween val="midCat"/>
        <c:majorUnit val="20"/>
      </c:valAx>
      <c:valAx>
        <c:axId val="592058528"/>
        <c:scaling>
          <c:orientation val="minMax"/>
        </c:scaling>
        <c:delete val="0"/>
        <c:axPos val="l"/>
        <c:majorGridlines/>
        <c:numFmt formatCode="General" sourceLinked="1"/>
        <c:majorTickMark val="out"/>
        <c:minorTickMark val="none"/>
        <c:tickLblPos val="nextTo"/>
        <c:crossAx val="592062840"/>
        <c:crosses val="autoZero"/>
        <c:crossBetween val="midCat"/>
      </c:valAx>
    </c:plotArea>
    <c:legend>
      <c:legendPos val="r"/>
      <c:overlay val="0"/>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j2pjQV39TqmV0RRnQ82NSpL+vw==">CgMxLjAyDWguZG1ybTBtcDl4ZGEyDmgudWxjMTBoaHh2cmw4Mg5oLnkzMmh4cG8ycThpMjIOaC52bjV3NXV6NWRtZmIyDmguNHFlYTZlMXhuMTNmMghoLnR5amN3dDIJaC4zZHk2dmttOAByITFWV0llYUVqV3EzQlBpQk9PME9CZ1BHTXZVR3V0Q1NHWg==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2026-01-28T01:26:00Z</dcterms:created>
  <dc:creator>okti</dc:creator>
</cp:coreProperties>
</file>