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abstract is written in a single paragraph </w:t>
            </w:r>
            <w:r w:rsidDel="00000000" w:rsidR="00000000" w:rsidRPr="00000000">
              <w:rPr>
                <w:rFonts w:ascii="Times New Roman" w:cs="Times New Roman" w:eastAsia="Times New Roman" w:hAnsi="Times New Roman"/>
                <w:b w:val="1"/>
                <w:bCs w:val="1"/>
                <w:sz w:val="20"/>
                <w:szCs w:val="20"/>
                <w:rtl w:val="0"/>
              </w:rPr>
              <w:t xml:space="preserve">no longer than 150 words</w:t>
            </w:r>
            <w:r w:rsidDel="00000000" w:rsidR="00000000" w:rsidRPr="00000000">
              <w:rPr>
                <w:rFonts w:ascii="Times New Roman" w:cs="Times New Roman" w:eastAsia="Times New Roman" w:hAnsi="Times New Roman"/>
                <w:sz w:val="20"/>
                <w:szCs w:val="20"/>
                <w:rtl w:val="0"/>
              </w:rPr>
              <w:t xml:space="preserve">, summarizing the entire content of the article in a concise and informative manner. The abstract must be </w:t>
            </w:r>
            <w:r w:rsidDel="00000000" w:rsidR="00000000" w:rsidRPr="00000000">
              <w:rPr>
                <w:rFonts w:ascii="Times New Roman" w:cs="Times New Roman" w:eastAsia="Times New Roman" w:hAnsi="Times New Roman"/>
                <w:i w:val="1"/>
                <w:iCs w:val="1"/>
                <w:sz w:val="20"/>
                <w:szCs w:val="20"/>
                <w:rtl w:val="0"/>
              </w:rPr>
              <w:t xml:space="preserve">self-contained </w:t>
            </w:r>
            <w:r w:rsidDel="00000000" w:rsidR="00000000" w:rsidRPr="00000000">
              <w:rPr>
                <w:rFonts w:ascii="Times New Roman" w:cs="Times New Roman" w:eastAsia="Times New Roman" w:hAnsi="Times New Roman"/>
                <w:sz w:val="20"/>
                <w:szCs w:val="20"/>
                <w:rtl w:val="0"/>
              </w:rPr>
              <w:t xml:space="preserve">and understandable without reading the entire manuscript. The abstract contains the main elements of the research presented in sequence, including: </w:t>
            </w:r>
            <w:r w:rsidDel="00000000" w:rsidR="00000000" w:rsidRPr="00000000">
              <w:rPr>
                <w:rFonts w:ascii="Times New Roman" w:cs="Times New Roman" w:eastAsia="Times New Roman" w:hAnsi="Times New Roman"/>
                <w:b w:val="1"/>
                <w:bCs w:val="1"/>
                <w:sz w:val="20"/>
                <w:szCs w:val="20"/>
                <w:rtl w:val="0"/>
              </w:rPr>
              <w:t xml:space="preserve">(1) the background of the research</w:t>
            </w:r>
            <w:r w:rsidDel="00000000" w:rsidR="00000000" w:rsidRPr="00000000">
              <w:rPr>
                <w:rFonts w:ascii="Times New Roman" w:cs="Times New Roman" w:eastAsia="Times New Roman" w:hAnsi="Times New Roman"/>
                <w:sz w:val="20"/>
                <w:szCs w:val="20"/>
                <w:rtl w:val="0"/>
              </w:rPr>
              <w:t xml:space="preserve">, which briefly explains the context and urgency of the research; </w:t>
            </w:r>
            <w:r w:rsidDel="00000000" w:rsidR="00000000" w:rsidRPr="00000000">
              <w:rPr>
                <w:rFonts w:ascii="Times New Roman" w:cs="Times New Roman" w:eastAsia="Times New Roman" w:hAnsi="Times New Roman"/>
                <w:b w:val="1"/>
                <w:bCs w:val="1"/>
                <w:sz w:val="20"/>
                <w:szCs w:val="20"/>
                <w:rtl w:val="0"/>
              </w:rPr>
              <w:t xml:space="preserve">(2) the objectives and scope of the research</w:t>
            </w:r>
            <w:r w:rsidDel="00000000" w:rsidR="00000000" w:rsidRPr="00000000">
              <w:rPr>
                <w:rFonts w:ascii="Times New Roman" w:cs="Times New Roman" w:eastAsia="Times New Roman" w:hAnsi="Times New Roman"/>
                <w:sz w:val="20"/>
                <w:szCs w:val="20"/>
                <w:rtl w:val="0"/>
              </w:rPr>
              <w:t xml:space="preserve">, which state the main focus and limitations of the study; </w:t>
            </w:r>
            <w:r w:rsidDel="00000000" w:rsidR="00000000" w:rsidRPr="00000000">
              <w:rPr>
                <w:rFonts w:ascii="Times New Roman" w:cs="Times New Roman" w:eastAsia="Times New Roman" w:hAnsi="Times New Roman"/>
                <w:b w:val="1"/>
                <w:bCs w:val="1"/>
                <w:sz w:val="20"/>
                <w:szCs w:val="20"/>
                <w:rtl w:val="0"/>
              </w:rPr>
              <w:t xml:space="preserve">(3) the research methods</w:t>
            </w:r>
            <w:r w:rsidDel="00000000" w:rsidR="00000000" w:rsidRPr="00000000">
              <w:rPr>
                <w:rFonts w:ascii="Times New Roman" w:cs="Times New Roman" w:eastAsia="Times New Roman" w:hAnsi="Times New Roman"/>
                <w:sz w:val="20"/>
                <w:szCs w:val="20"/>
                <w:rtl w:val="0"/>
              </w:rPr>
              <w:t xml:space="preserve">, which include the type or approach of the research and the main subjects or data sources, as well as a brief description of the instruments used; </w:t>
            </w:r>
            <w:r w:rsidDel="00000000" w:rsidR="00000000" w:rsidRPr="00000000">
              <w:rPr>
                <w:rFonts w:ascii="Times New Roman" w:cs="Times New Roman" w:eastAsia="Times New Roman" w:hAnsi="Times New Roman"/>
                <w:b w:val="1"/>
                <w:bCs w:val="1"/>
                <w:sz w:val="20"/>
                <w:szCs w:val="20"/>
                <w:rtl w:val="0"/>
              </w:rPr>
              <w:t xml:space="preserve">(4) research results</w:t>
            </w:r>
            <w:r w:rsidDel="00000000" w:rsidR="00000000" w:rsidRPr="00000000">
              <w:rPr>
                <w:rFonts w:ascii="Times New Roman" w:cs="Times New Roman" w:eastAsia="Times New Roman" w:hAnsi="Times New Roman"/>
                <w:sz w:val="20"/>
                <w:szCs w:val="20"/>
                <w:rtl w:val="0"/>
              </w:rPr>
              <w:t xml:space="preserve">, which highlight specific and data-based key findings; </w:t>
            </w:r>
            <w:r w:rsidDel="00000000" w:rsidR="00000000" w:rsidRPr="00000000">
              <w:rPr>
                <w:rFonts w:ascii="Times New Roman" w:cs="Times New Roman" w:eastAsia="Times New Roman" w:hAnsi="Times New Roman"/>
                <w:b w:val="1"/>
                <w:bCs w:val="1"/>
                <w:sz w:val="20"/>
                <w:szCs w:val="20"/>
                <w:rtl w:val="0"/>
              </w:rPr>
              <w:t xml:space="preserve">(5) conclusions</w:t>
            </w:r>
            <w:r w:rsidDel="00000000" w:rsidR="00000000" w:rsidRPr="00000000">
              <w:rPr>
                <w:rFonts w:ascii="Times New Roman" w:cs="Times New Roman" w:eastAsia="Times New Roman" w:hAnsi="Times New Roman"/>
                <w:sz w:val="20"/>
                <w:szCs w:val="20"/>
                <w:rtl w:val="0"/>
              </w:rPr>
              <w:t xml:space="preserve">, which summarize the main meaning of the research results; </w:t>
            </w:r>
            <w:r w:rsidDel="00000000" w:rsidR="00000000" w:rsidRPr="00000000">
              <w:rPr>
                <w:rFonts w:ascii="Times New Roman" w:cs="Times New Roman" w:eastAsia="Times New Roman" w:hAnsi="Times New Roman"/>
                <w:b w:val="1"/>
                <w:bCs w:val="1"/>
                <w:sz w:val="20"/>
                <w:szCs w:val="20"/>
                <w:rtl w:val="0"/>
              </w:rPr>
              <w:t xml:space="preserve">(6) novelty </w:t>
            </w:r>
            <w:r w:rsidDel="00000000" w:rsidR="00000000" w:rsidRPr="00000000">
              <w:rPr>
                <w:rFonts w:ascii="Times New Roman" w:cs="Times New Roman" w:eastAsia="Times New Roman" w:hAnsi="Times New Roman"/>
                <w:sz w:val="20"/>
                <w:szCs w:val="20"/>
                <w:rtl w:val="0"/>
              </w:rPr>
              <w:t xml:space="preserve">or newness obtained from this research, and </w:t>
            </w:r>
            <w:r w:rsidDel="00000000" w:rsidR="00000000" w:rsidRPr="00000000">
              <w:rPr>
                <w:rFonts w:ascii="Times New Roman" w:cs="Times New Roman" w:eastAsia="Times New Roman" w:hAnsi="Times New Roman"/>
                <w:b w:val="1"/>
                <w:bCs w:val="1"/>
                <w:sz w:val="20"/>
                <w:szCs w:val="20"/>
                <w:rtl w:val="0"/>
              </w:rPr>
              <w:t xml:space="preserve">(7) research contributions</w:t>
            </w:r>
            <w:r w:rsidDel="00000000" w:rsidR="00000000" w:rsidRPr="00000000">
              <w:rPr>
                <w:rFonts w:ascii="Times New Roman" w:cs="Times New Roman" w:eastAsia="Times New Roman" w:hAnsi="Times New Roman"/>
                <w:sz w:val="20"/>
                <w:szCs w:val="20"/>
                <w:rtl w:val="0"/>
              </w:rPr>
              <w:t xml:space="preserve">, which emphasize the added value or important implications of the research for the development of science, practice, or policy. Abstracts are not permitted to contain citations, tables, figures, or abbreviations that are not explained. Abstracts must be </w:t>
            </w:r>
            <w:r w:rsidDel="00000000" w:rsidR="00000000" w:rsidRPr="00000000">
              <w:rPr>
                <w:rFonts w:ascii="Times New Roman" w:cs="Times New Roman" w:eastAsia="Times New Roman" w:hAnsi="Times New Roman"/>
                <w:b w:val="1"/>
                <w:bCs w:val="1"/>
                <w:sz w:val="20"/>
                <w:szCs w:val="20"/>
                <w:rtl w:val="0"/>
              </w:rPr>
              <w:t xml:space="preserve">objective, concise, and representative</w:t>
            </w:r>
            <w:r w:rsidDel="00000000" w:rsidR="00000000" w:rsidRPr="00000000">
              <w:rPr>
                <w:rFonts w:ascii="Times New Roman" w:cs="Times New Roman" w:eastAsia="Times New Roman" w:hAnsi="Times New Roman"/>
                <w:sz w:val="20"/>
                <w:szCs w:val="20"/>
                <w:rtl w:val="0"/>
              </w:rPr>
              <w:t xml:space="preserve">, and consistent with the content of the article as a whole.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Maximum of 5 keywords separated by semicolon (;), crucial to the appropriate indexing of the papers, are to be given. e.g.: Creativity; Early Childhood; Role Play</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pPr>
        <w:spacing w:before="120" w:after="480" w:line="240" w:lineRule="auto"/>
        <w:jc w:val="center"/>
      </w:pPr>
      <w:r>
        <w:rPr>
          <w:rFonts w:ascii="Times New Roman" w:hAnsi="Times New Roman"/>
          <w:b/>
          <w:sz w:val="28"/>
        </w:rPr>
        <w:t>Advanced Acoustic Metamaterials for Noise Reduction in Urban Environments</w:t>
      </w:r>
    </w:p>
    <w:p>
      <w:pPr>
        <w:spacing w:before="0" w:after="0" w:line="240" w:lineRule="auto"/>
        <w:jc w:val="center"/>
      </w:pPr>
      <w:r>
        <w:rPr>
          <w:rFonts w:ascii="Times New Roman" w:hAnsi="Times New Roman"/>
          <w:sz w:val="22"/>
        </w:rPr>
        <w:t>Wei Zhang</w:t>
      </w:r>
    </w:p>
    <w:p>
      <w:pPr>
        <w:spacing w:before="0" w:after="0" w:line="240" w:lineRule="auto"/>
        <w:jc w:val="center"/>
      </w:pPr>
      <w:r>
        <w:rPr>
          <w:rFonts w:ascii="Times New Roman" w:hAnsi="Times New Roman"/>
          <w:sz w:val="18"/>
        </w:rPr>
        <w:t>Department of Acoustics, University of Technology</w:t>
      </w:r>
    </w:p>
    <w:p>
      <w:pPr>
        <w:spacing w:before="120" w:after="60" w:line="240" w:lineRule="auto"/>
        <w:jc w:val="left"/>
      </w:pPr>
      <w:r>
        <w:rPr>
          <w:rFonts w:ascii="Times New Roman" w:hAnsi="Times New Roman"/>
          <w:b/>
          <w:sz w:val="22"/>
        </w:rPr>
        <w:t>Abstrak</w:t>
      </w:r>
    </w:p>
    <w:p>
      <w:pPr>
        <w:spacing w:before="0" w:after="120" w:line="240" w:lineRule="auto"/>
        <w:jc w:val="both"/>
      </w:pPr>
      <w:r>
        <w:rPr>
          <w:rFonts w:ascii="Times New Roman" w:hAnsi="Times New Roman"/>
          <w:sz w:val="22"/>
        </w:rPr>
        <w:t>Urban noise pollution is a growing concern affecting millions worldwide. This paper explores novel acoustic metamaterial designs for broadband noise reduction in urban environments. We present a comprehensive analysis of three metamaterial configurations: labyrinthine, Helmholtz resonator arrays, and membrane-based structures. Experimental results demonstrate up to 25 dB noise reduction across 200-2000 Hz frequency range. The proposed designs are lightweight, compact, and scalable for real-world deployment.</w:t>
      </w:r>
    </w:p>
    <w:p>
      <w:pPr>
        <w:spacing w:before="0" w:after="120" w:line="240" w:lineRule="auto"/>
        <w:jc w:val="both"/>
      </w:pPr>
      <w:r>
        <w:rPr>
          <w:rFonts w:ascii="Times New Roman" w:hAnsi="Times New Roman"/>
          <w:b/>
          <w:sz w:val="22"/>
        </w:rPr>
        <w:t xml:space="preserve">Kata Kunci: </w:t>
      </w:r>
      <w:r>
        <w:rPr>
          <w:rFonts w:ascii="Times New Roman" w:hAnsi="Times New Roman"/>
          <w:i/>
          <w:sz w:val="22"/>
        </w:rPr>
        <w:t>acoustic metamaterials, noise reduction, urban acoustics, broadband absorption</w:t>
      </w:r>
    </w:p>
    <w:p>
      <w:pPr>
        <w:spacing w:before="60" w:after="120" w:line="360" w:lineRule="auto"/>
        <w:jc w:val="both"/>
      </w:pPr>
      <w:r>
        <w:rPr>
          <w:rFonts w:ascii="Times New Roman" w:hAnsi="Times New Roman"/>
          <w:b/>
          <w:sz w:val="22"/>
        </w:rPr>
        <w:t>DAFTAR PUSTAKA</w:t>
      </w:r>
    </w:p>
    <w:p>
      <w:pPr>
        <w:spacing w:before="0" w:after="0" w:line="240" w:lineRule="auto"/>
        <w:jc w:val="both"/>
        <w:ind w:firstLine="-567" w:left="567"/>
      </w:pPr>
      <w:r>
        <w:rPr>
          <w:rFonts w:ascii="Times New Roman" w:hAnsi="Times New Roman"/>
          <w:sz w:val="22"/>
        </w:rPr>
        <w:t>[1] Cummer, S.A.; Christensen, J.; Alu, A. Controlling sound with acoustic metamaterials. Nat. Rev. Mater. 2016, 1, 16001.</w:t>
      </w:r>
    </w:p>
    <w:p>
      <w:pPr>
        <w:spacing w:before="0" w:after="0" w:line="240" w:lineRule="auto"/>
        <w:jc w:val="both"/>
        <w:ind w:firstLine="-567" w:left="567"/>
      </w:pPr>
      <w:r>
        <w:rPr>
          <w:rFonts w:ascii="Times New Roman" w:hAnsi="Times New Roman"/>
          <w:sz w:val="22"/>
        </w:rPr>
        <w:t>[2] Yang, Z.; Mei, J.; Yang, M.; Chan, N.H.; Sheng, P. Membrane-type acoustic metamaterial with negative dynamic mass. Phys. Rev. Lett. 2008, 101, 204301.</w:t>
      </w:r>
    </w:p>
    <w:p>
      <w:pPr>
        <w:spacing w:before="0" w:after="0" w:line="240" w:lineRule="auto"/>
        <w:jc w:val="both"/>
        <w:ind w:firstLine="-567" w:left="567"/>
      </w:pPr>
      <w:r>
        <w:rPr>
          <w:rFonts w:ascii="Times New Roman" w:hAnsi="Times New Roman"/>
          <w:sz w:val="22"/>
        </w:rPr>
        <w:t>[3] World Health Organization. Environmental Noise Guidelines for the European Region; WHO Regional Office for Europe: Copenhagen, 2018.</w:t>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