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uthor"/>
        <w:numPr>
          <w:ilvl w:val="0"/>
          <w:numId w:val="0"/>
        </w:numPr>
        <w:spacing w:before="0" w:after="0"/>
        <w:jc w:val="center"/>
      </w:pPr>
      <w:r>
        <w:rPr>
          <w:rFonts w:ascii="Times New Roman" w:hAnsi="Times New Roman" w:cs="Times New Roman" w:eastAsia="Times New Roman"/>
          <w:i/>
          <w:color w:val="000000"/>
          <w:sz w:val="16"/>
        </w:rPr>
        <w:t>*Note: Sub-titles are not captured in Xplore and should not be used</w:t>
      </w:r>
    </w:p>
    <w:p>
      <w:pPr>
        <w:pStyle w:val="Author"/>
        <w:numPr>
          <w:ilvl w:val="0"/>
          <w:numId w:val="0"/>
        </w:numPr>
        <w:spacing w:before="0" w:after="0"/>
        <w:jc w:val="center"/>
      </w:pPr>
      <w:r>
        <w:rPr>
          <w:rFonts w:ascii="Times New Roman" w:hAnsi="Times New Roman" w:cs="Times New Roman" w:eastAsia="Times New Roman"/>
          <w:i/>
          <w:color w:val="000000"/>
          <w:sz w:val="16"/>
        </w:rPr>
        <w:t>*Note: This paper version is for double blind review. Please remove all identifying information such as authors' names and affiliations, as well as acknowledgments before submission.</w:t>
      </w:r>
    </w:p>
    <w:p>
      <w:pPr>
        <w:sectPr>
          <w:footerReference w:type="first" r:id="rId8"/>
          <w:type w:val="continuous"/>
          <w:pgSz w:w="11906" w:h="16838"/>
          <w:pgMar w:top="540" w:right="893" w:bottom="1440" w:left="893" w:header="720" w:footer="720" w:gutter="0"/>
          <w:cols w:num="1" w:space="720"/>
          <w:titlePg/>
        </w:sectPr>
      </w:pPr>
    </w:p>
    <w:p>
      <w:pPr>
        <w:pStyle w:val="Author"/>
        <w:numPr>
          <w:ilvl w:val="0"/>
          <w:numId w:val="0"/>
        </w:numPr>
        <w:spacing w:before="360" w:after="40"/>
        <w:jc w:val="center"/>
      </w:pPr>
      <w:r>
        <w:rPr>
          <w:rFonts w:ascii="Times New Roman" w:hAnsi="Times New Roman" w:cs="Times New Roman" w:eastAsia="Times New Roman"/>
          <w:color w:val="000000"/>
          <w:sz w:val="22"/>
        </w:rPr>
        <w:t>Rofiq Cahyo Prayogo</w:t>
      </w:r>
      <w:r>
        <w:rPr>
          <w:rFonts w:ascii="Times New Roman" w:hAnsi="Times New Roman" w:cs="Times New Roman" w:eastAsia="Times New Roman"/>
          <w:color w:val="000000"/>
          <w:sz w:val="15"/>
          <w:vertAlign w:val="superscript"/>
        </w:rPr>
        <w:t>1</w:t>
      </w:r>
      <w:r>
        <w:rPr>
          <w:rFonts w:ascii="Times New Roman" w:hAnsi="Times New Roman" w:cs="Times New Roman" w:eastAsia="Times New Roman"/>
          <w:color w:val="000000"/>
          <w:sz w:val="22"/>
        </w:rPr>
        <w:t xml:space="preserve">, </w:t>
      </w:r>
      <w:r>
        <w:rPr>
          <w:rFonts w:ascii="Times New Roman" w:hAnsi="Times New Roman" w:cs="Times New Roman" w:eastAsia="Times New Roman"/>
          <w:color w:val="000000"/>
          <w:sz w:val="22"/>
        </w:rPr>
        <w:t>Ahmad Ridlo Hanifudin Tahier</w:t>
      </w:r>
      <w:r>
        <w:rPr>
          <w:rFonts w:ascii="Times New Roman" w:hAnsi="Times New Roman" w:cs="Times New Roman" w:eastAsia="Times New Roman"/>
          <w:color w:val="000000"/>
          <w:sz w:val="15"/>
          <w:vertAlign w:val="superscript"/>
        </w:rPr>
        <w:t>2</w:t>
      </w:r>
      <w:r>
        <w:rPr>
          <w:rFonts w:ascii="Times New Roman" w:hAnsi="Times New Roman" w:cs="Times New Roman" w:eastAsia="Times New Roman"/>
          <w:color w:val="000000"/>
          <w:sz w:val="22"/>
        </w:rPr>
        <w:t xml:space="preserve">, and </w:t>
      </w:r>
      <w:r>
        <w:rPr>
          <w:rFonts w:ascii="Times New Roman" w:hAnsi="Times New Roman" w:cs="Times New Roman" w:eastAsia="Times New Roman"/>
          <w:color w:val="000000"/>
          <w:sz w:val="22"/>
        </w:rPr>
        <w:t>Munadi</w:t>
      </w:r>
      <w:r>
        <w:rPr>
          <w:rFonts w:ascii="Times New Roman" w:hAnsi="Times New Roman" w:cs="Times New Roman" w:eastAsia="Times New Roman"/>
          <w:color w:val="000000"/>
          <w:sz w:val="15"/>
          <w:vertAlign w:val="superscript"/>
        </w:rPr>
        <w:t>3</w:t>
      </w:r>
    </w:p>
    <w:p>
      <w:pPr>
        <w:pStyle w:val="Affiliation"/>
        <w:numPr>
          <w:ilvl w:val="0"/>
          <w:numId w:val="0"/>
        </w:numPr>
        <w:spacing w:before="40" w:after="0"/>
        <w:jc w:val="center"/>
      </w:pPr>
      <w:r>
        <w:rPr>
          <w:rFonts w:ascii="Times New Roman" w:hAnsi="Times New Roman" w:cs="Times New Roman" w:eastAsia="Times New Roman"/>
          <w:color w:val="000000"/>
          <w:sz w:val="15"/>
          <w:vertAlign w:val="superscript"/>
        </w:rPr>
        <w:t>1</w:t>
      </w:r>
      <w:r>
        <w:rPr>
          <w:rFonts w:ascii="Times New Roman" w:hAnsi="Times New Roman" w:cs="Times New Roman" w:eastAsia="Times New Roman"/>
          <w:i/>
          <w:color w:val="000000"/>
          <w:sz w:val="20"/>
        </w:rPr>
        <w:t xml:space="preserve"> Automation Engineering, Diponegoro University, Semarang, Indonesia</w:t>
      </w:r>
    </w:p>
    <w:p>
      <w:pPr>
        <w:pStyle w:val="Affiliation"/>
        <w:numPr>
          <w:ilvl w:val="0"/>
          <w:numId w:val="0"/>
        </w:numPr>
        <w:spacing w:before="0" w:after="40"/>
        <w:jc w:val="center"/>
      </w:pPr>
      <w:r>
        <w:rPr>
          <w:rFonts w:ascii="Times New Roman" w:hAnsi="Times New Roman" w:cs="Times New Roman" w:eastAsia="Times New Roman"/>
          <w:color w:val="000000"/>
          <w:sz w:val="20"/>
        </w:rPr>
        <w:t>rofiqotomasi@lecturer.undip.ac.id</w:t>
      </w:r>
    </w:p>
    <w:p>
      <w:pPr>
        <w:pStyle w:val="Affiliation"/>
        <w:numPr>
          <w:ilvl w:val="0"/>
          <w:numId w:val="0"/>
        </w:numPr>
        <w:spacing w:before="40" w:after="0"/>
        <w:jc w:val="center"/>
      </w:pPr>
      <w:r>
        <w:rPr>
          <w:rFonts w:ascii="Times New Roman" w:hAnsi="Times New Roman" w:cs="Times New Roman" w:eastAsia="Times New Roman"/>
          <w:color w:val="000000"/>
          <w:sz w:val="15"/>
          <w:vertAlign w:val="superscript"/>
        </w:rPr>
        <w:t>2</w:t>
      </w:r>
      <w:r>
        <w:rPr>
          <w:rFonts w:ascii="Times New Roman" w:hAnsi="Times New Roman" w:cs="Times New Roman" w:eastAsia="Times New Roman"/>
          <w:i/>
          <w:color w:val="000000"/>
          <w:sz w:val="20"/>
        </w:rPr>
        <w:t xml:space="preserve"> Automation Engineering, Diponegoro University, Semarang, Indonesia</w:t>
      </w:r>
    </w:p>
    <w:p>
      <w:pPr>
        <w:pStyle w:val="Affiliation"/>
        <w:numPr>
          <w:ilvl w:val="0"/>
          <w:numId w:val="0"/>
        </w:numPr>
        <w:spacing w:before="0" w:after="40"/>
        <w:jc w:val="center"/>
      </w:pPr>
      <w:r>
        <w:rPr>
          <w:rFonts w:ascii="Times New Roman" w:hAnsi="Times New Roman" w:cs="Times New Roman" w:eastAsia="Times New Roman"/>
          <w:color w:val="000000"/>
          <w:sz w:val="20"/>
        </w:rPr>
        <w:t>ridlohanifudin@lecturer.undip.ac.id</w:t>
      </w:r>
    </w:p>
    <w:p>
      <w:pPr>
        <w:pStyle w:val="Affiliation"/>
        <w:numPr>
          <w:ilvl w:val="0"/>
          <w:numId w:val="0"/>
        </w:numPr>
        <w:spacing w:before="40" w:after="0"/>
        <w:jc w:val="center"/>
      </w:pPr>
      <w:r>
        <w:rPr>
          <w:rFonts w:ascii="Times New Roman" w:hAnsi="Times New Roman" w:cs="Times New Roman" w:eastAsia="Times New Roman"/>
          <w:color w:val="000000"/>
          <w:sz w:val="15"/>
          <w:vertAlign w:val="superscript"/>
        </w:rPr>
        <w:t>3</w:t>
      </w:r>
      <w:r>
        <w:rPr>
          <w:rFonts w:ascii="Times New Roman" w:hAnsi="Times New Roman" w:cs="Times New Roman" w:eastAsia="Times New Roman"/>
          <w:i/>
          <w:color w:val="000000"/>
          <w:sz w:val="20"/>
        </w:rPr>
        <w:t xml:space="preserve"> Mechanical Engineering, Diponegoro University, Semarang, Indonesia</w:t>
      </w:r>
    </w:p>
    <w:p>
      <w:pPr>
        <w:pStyle w:val="Affiliation"/>
        <w:numPr>
          <w:ilvl w:val="0"/>
          <w:numId w:val="0"/>
        </w:numPr>
        <w:spacing w:before="0" w:after="40"/>
        <w:jc w:val="center"/>
      </w:pPr>
      <w:r>
        <w:rPr>
          <w:rFonts w:ascii="Times New Roman" w:hAnsi="Times New Roman" w:cs="Times New Roman" w:eastAsia="Times New Roman"/>
          <w:color w:val="000000"/>
          <w:sz w:val="20"/>
        </w:rPr>
        <w:t>munadi@lecturer.undip.ac.id</w:t>
      </w:r>
    </w:p>
    <w:p>
      <w:pPr>
        <w:sectPr>
          <w:type w:val="continuous"/>
          <w:pgSz w:w="11906" w:h="16838"/>
          <w:pgMar w:top="450" w:right="893" w:bottom="1440" w:left="893" w:header="720" w:footer="720" w:gutter="0"/>
          <w:cols w:num="3" w:space="720"/>
        </w:sectPr>
      </w:pPr>
    </w:p>
    <w:p>
      <w:r>
        <w:t xml:space="preserve">​</w:t>
      </w:r>
    </w:p>
    <w:p>
      <w:pPr>
        <w:sectPr>
          <w:type w:val="continuous"/>
          <w:pgSz w:w="11906" w:h="16838"/>
          <w:pgMar w:top="450" w:right="893" w:bottom="1440" w:left="893" w:header="720" w:footer="720" w:gutter="0"/>
          <w:cols w:num="3" w:space="720"/>
        </w:sectPr>
      </w:pPr>
    </w:p>
    <w:p>
      <w:pPr>
        <w:pStyle w:val="Abstract"/>
        <w:numPr>
          <w:ilvl w:val="0"/>
          <w:numId w:val="0"/>
        </w:numPr>
        <w:spacing w:before="80" w:after="160"/>
        <w:ind w:firstLine="272"/>
        <w:jc w:val="both"/>
      </w:pPr>
      <w:r>
        <w:rPr>
          <w:rFonts w:ascii="Times New Roman" w:hAnsi="Times New Roman" w:cs="Times New Roman" w:eastAsia="Times New Roman"/>
          <w:b/>
          <w:i/>
          <w:color w:val="000000"/>
          <w:sz w:val="18"/>
        </w:rPr>
        <w:t>Abstract</w:t>
      </w:r>
      <w:r>
        <w:rPr>
          <w:rFonts w:ascii="Times New Roman" w:hAnsi="Times New Roman" w:cs="Times New Roman" w:eastAsia="Times New Roman"/>
          <w:b/>
          <w:color w:val="000000"/>
          <w:sz w:val="18"/>
        </w:rPr>
        <w:t>—</w:t>
      </w:r>
      <w:r>
        <w:rPr>
          <w:rFonts w:ascii="Times New Roman" w:hAnsi="Times New Roman" w:cs="Times New Roman" w:eastAsia="Times New Roman"/>
          <w:b/>
          <w:i w:val="0"/>
          <w:sz w:val="18"/>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pStyle w:val="Keywords"/>
        <w:numPr>
          <w:ilvl w:val="0"/>
          <w:numId w:val="0"/>
        </w:numPr>
        <w:spacing w:before="80" w:after="160"/>
        <w:ind w:firstLine="274"/>
        <w:jc w:val="both"/>
      </w:pPr>
      <w:r>
        <w:rPr>
          <w:rFonts w:ascii="Times New Roman" w:hAnsi="Times New Roman" w:cs="Times New Roman" w:eastAsia="Times New Roman"/>
          <w:b/>
          <w:i/>
          <w:color w:val="000000"/>
          <w:sz w:val="18"/>
        </w:rPr>
        <w:t>Keywords</w:t>
      </w:r>
      <w:r>
        <w:rPr>
          <w:rFonts w:ascii="Times New Roman" w:hAnsi="Times New Roman" w:cs="Times New Roman" w:eastAsia="Times New Roman"/>
          <w:b/>
          <w:color w:val="000000"/>
          <w:sz w:val="18"/>
        </w:rPr>
        <w:t>—</w:t>
      </w:r>
      <w:r>
        <w:rPr>
          <w:rFonts w:ascii="Times New Roman" w:hAnsi="Times New Roman" w:cs="Times New Roman" w:eastAsia="Times New Roman"/>
          <w:b/>
          <w:i/>
          <w:color w:val="000000"/>
          <w:sz w:val="18"/>
        </w:rPr>
        <w:t>Hand Gesture Recognition, PLC Control, MediaPipe, Modbus TCP, Industry 4.0, Threading</w:t>
      </w:r>
    </w:p>
    <w:p>
      <w:pPr>
        <w:pStyle w:val="Heading1"/>
        <w:keepNext/>
        <w:numPr>
          <w:ilvl w:val="0"/>
          <w:numId w:val="0"/>
        </w:numPr>
        <w:spacing w:before="160" w:after="80"/>
        <w:ind w:firstLine="0"/>
        <w:jc w:val="center"/>
      </w:pPr>
      <w:r>
        <w:rPr>
          <w:rFonts w:ascii="Times New Roman" w:hAnsi="Times New Roman" w:cs="Times New Roman" w:eastAsia="Times New Roman"/>
          <w:color w:val="000000"/>
          <w:sz w:val="20"/>
        </w:rPr>
        <w:t>I. PENDAHULUAN</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pStyle w:val="Heading1"/>
        <w:keepNext/>
        <w:numPr>
          <w:ilvl w:val="0"/>
          <w:numId w:val="0"/>
        </w:numPr>
        <w:spacing w:before="160" w:after="80"/>
        <w:ind w:firstLine="0"/>
        <w:jc w:val="center"/>
      </w:pPr>
      <w:r>
        <w:rPr>
          <w:rFonts w:ascii="Times New Roman" w:hAnsi="Times New Roman" w:cs="Times New Roman" w:eastAsia="Times New Roman"/>
          <w:color w:val="000000"/>
          <w:sz w:val="20"/>
        </w:rPr>
        <w:t>II. TINJAUAN PUSTAKA</w:t>
      </w:r>
    </w:p>
    <w:p>
      <w:pPr>
        <w:pStyle w:val="Heading2"/>
        <w:keepNext/>
        <w:numPr>
          <w:ilvl w:val="0"/>
          <w:numId w:val="0"/>
        </w:numPr>
        <w:spacing w:before="120" w:after="60"/>
        <w:ind w:firstLine="0"/>
        <w:jc w:val="left"/>
      </w:pPr>
      <w:r>
        <w:rPr>
          <w:rFonts w:ascii="Times New Roman" w:hAnsi="Times New Roman" w:cs="Times New Roman" w:eastAsia="Times New Roman"/>
          <w:i/>
          <w:color w:val="000000"/>
          <w:sz w:val="20"/>
        </w:rPr>
        <w:t>A. Metode Pengenalan Gestur Tangan</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 xml:space="preserve">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w:t>
      </w:r>
      <w:r>
        <w:rPr>
          <w:rFonts w:ascii="Cambria Math" w:hAnsi="Cambria Math" w:cs="Cambria Math" w:eastAsia="Cambria Math"/>
          <w:i/>
          <w:sz w:val="20"/>
        </w:rPr>
        <w:t>Pᵢ=(xᵢ,yᵢ,zᵢ)</w:t>
      </w:r>
      <w:r>
        <w:rPr>
          <w:rFonts w:ascii="Times New Roman" w:hAnsi="Times New Roman" w:cs="Times New Roman" w:eastAsia="Times New Roman"/>
          <w:b w:val="0"/>
          <w:i w:val="0"/>
          <w:sz w:val="20"/>
        </w:rPr>
        <w:t xml:space="preserve"> diumpankan ke mesin aturan geometris yang berjalan di bawah satu milidetik tanpa data pelatihan. Perubahan set gestur hanya memerlukan penyesuaian threshold sudut.</w:t>
      </w:r>
    </w:p>
    <w:p>
      <w:pPr>
        <w:pStyle w:val="Heading2"/>
        <w:keepNext/>
        <w:numPr>
          <w:ilvl w:val="0"/>
          <w:numId w:val="0"/>
        </w:numPr>
        <w:spacing w:before="120" w:after="60"/>
        <w:ind w:firstLine="0"/>
        <w:jc w:val="left"/>
      </w:pPr>
      <w:r>
        <w:rPr>
          <w:rFonts w:ascii="Times New Roman" w:hAnsi="Times New Roman" w:cs="Times New Roman" w:eastAsia="Times New Roman"/>
          <w:i/>
          <w:color w:val="000000"/>
          <w:sz w:val="20"/>
        </w:rPr>
        <w:t>B. Protokol Komunikasi PLC dan Modbus TCP</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pStyle w:val="Heading2"/>
        <w:keepNext/>
        <w:numPr>
          <w:ilvl w:val="0"/>
          <w:numId w:val="0"/>
        </w:numPr>
        <w:spacing w:before="120" w:after="60"/>
        <w:ind w:firstLine="0"/>
        <w:jc w:val="left"/>
      </w:pPr>
      <w:r>
        <w:rPr>
          <w:rFonts w:ascii="Times New Roman" w:hAnsi="Times New Roman" w:cs="Times New Roman" w:eastAsia="Times New Roman"/>
          <w:i/>
          <w:color w:val="000000"/>
          <w:sz w:val="20"/>
        </w:rPr>
        <w:t>C. Antarmuka Manusia-Mesin Tanpa Sentuhan</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sectPr>
          <w:type w:val="continuous"/>
          <w:pgSz w:w="11906" w:h="16838"/>
          <w:pgMar w:top="1080" w:right="907" w:bottom="1440" w:left="907" w:header="720" w:footer="720" w:gutter="0"/>
          <w:cols w:num="2" w:space="360"/>
        </w:sectPr>
      </w:pPr>
    </w:p>
    <w:p>
      <w:r>
        <w:t xml:space="preserve">​</w:t>
      </w:r>
    </w:p>
    <w:p>
      <w:pPr>
        <w:sectPr>
          <w:type w:val="continuous"/>
          <w:pgSz w:w="11906" w:h="16838"/>
          <w:pgMar w:top="1080" w:right="907" w:bottom="1440" w:left="907" w:header="720" w:footer="720" w:gutter="0"/>
          <w:cols w:num="1" w:space="360"/>
        </w:sectPr>
      </w:pPr>
    </w:p>
    <w:p>
      <w:pPr>
        <w:pStyle w:val="Heading1"/>
        <w:keepNext/>
        <w:numPr>
          <w:ilvl w:val="0"/>
          <w:numId w:val="0"/>
        </w:numPr>
        <w:spacing w:before="160" w:after="80"/>
        <w:ind w:firstLine="0"/>
        <w:jc w:val="center"/>
      </w:pPr>
      <w:r>
        <w:rPr>
          <w:rFonts w:ascii="Times New Roman" w:hAnsi="Times New Roman" w:cs="Times New Roman" w:eastAsia="Times New Roman"/>
          <w:color w:val="000000"/>
          <w:sz w:val="20"/>
        </w:rPr>
        <w:t>III. METODOLOGI</w:t>
      </w:r>
    </w:p>
    <w:p>
      <w:pPr>
        <w:pStyle w:val="Heading2"/>
        <w:keepNext/>
        <w:numPr>
          <w:ilvl w:val="0"/>
          <w:numId w:val="0"/>
        </w:numPr>
        <w:spacing w:before="120" w:after="60"/>
        <w:ind w:firstLine="0"/>
        <w:jc w:val="left"/>
      </w:pPr>
      <w:r>
        <w:rPr>
          <w:rFonts w:ascii="Times New Roman" w:hAnsi="Times New Roman" w:cs="Times New Roman" w:eastAsia="Times New Roman"/>
          <w:i/>
          <w:color w:val="000000"/>
          <w:sz w:val="20"/>
        </w:rPr>
        <w:t>A. Arsitektur Tiga Thread</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tabs>
          <w:tab w:pos="2200" w:val="center"/>
          <w:tab w:pos="4400" w:val="right"/>
        </w:tabs>
        <w:spacing w:before="80" w:after="80" w:line="240" w:lineRule="exact"/>
        <w:ind w:firstLine="0"/>
        <w:jc w:val="left"/>
      </w:pPr>
      <w:r>
        <w:rPr>
          <w:rFonts w:ascii="Times New Roman" w:hAnsi="Times New Roman" w:cs="Times New Roman" w:eastAsia="Times New Roman"/>
          <w:sz w:val="20"/>
        </w:rPr>
        <w:tab/>
      </w:r>
      <m:oMath xmlns:mml="http://www.w3.org/1998/Math/MathML">
        <m:sSub>
          <m:e>
            <m:r>
              <m:t>T</m:t>
            </m:r>
          </m:e>
          <m:sub>
            <m:r>
              <m:rPr>
                <m:sty m:val="p"/>
              </m:rPr>
              <m:t>total</m:t>
            </m:r>
          </m:sub>
        </m:sSub>
        <m:r>
          <m:t>≈max(</m:t>
        </m:r>
        <m:sSub>
          <m:e>
            <m:r>
              <m:t>T</m:t>
            </m:r>
          </m:e>
          <m:sub>
            <m:r>
              <m:rPr>
                <m:sty m:val="p"/>
              </m:rPr>
              <m:t>cap</m:t>
            </m:r>
          </m:sub>
        </m:sSub>
        <m:r>
          <m:t>,</m:t>
        </m:r>
        <m:sSub>
          <m:e>
            <m:r>
              <m:t>T</m:t>
            </m:r>
          </m:e>
          <m:sub>
            <m:r>
              <m:rPr>
                <m:sty m:val="p"/>
              </m:rPr>
              <m:t>inf</m:t>
            </m:r>
          </m:sub>
        </m:sSub>
        <m:r>
          <m:t>,</m:t>
        </m:r>
        <m:sSub>
          <m:e>
            <m:r>
              <m:t>T</m:t>
            </m:r>
          </m:e>
          <m:sub>
            <m:r>
              <m:rPr>
                <m:sty m:val="p"/>
              </m:rPr>
              <m:t>modbus</m:t>
            </m:r>
          </m:sub>
        </m:sSub>
        <m:r>
          <m:t>)+</m:t>
        </m:r>
        <m:sSub>
          <m:e>
            <m:r>
              <m:t>T</m:t>
            </m:r>
          </m:e>
          <m:sub>
            <m:r>
              <m:rPr>
                <m:sty m:val="p"/>
              </m:rPr>
              <m:t>queue</m:t>
            </m:r>
          </m:sub>
        </m:sSub>
      </m:oMath>
      <w:r>
        <w:rPr>
          <w:rFonts w:ascii="Times New Roman" w:hAnsi="Times New Roman" w:cs="Times New Roman" w:eastAsia="Times New Roman"/>
          <w:color w:val="000000"/>
          <w:sz w:val="20"/>
        </w:rPr>
        <w:tab/>
        <w:t>(1)</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 xml:space="preserve">Di sini </w:t>
      </w:r>
      <w:r>
        <w:rPr>
          <w:rFonts w:ascii="Cambria Math" w:hAnsi="Cambria Math" w:cs="Cambria Math" w:eastAsia="Cambria Math"/>
          <w:i/>
          <w:sz w:val="20"/>
        </w:rPr>
        <w:t>T_(cap)</w:t>
      </w:r>
      <w:r>
        <w:rPr>
          <w:rFonts w:ascii="Times New Roman" w:hAnsi="Times New Roman" w:cs="Times New Roman" w:eastAsia="Times New Roman"/>
          <w:b w:val="0"/>
          <w:i w:val="0"/>
          <w:sz w:val="20"/>
        </w:rPr>
        <w:t xml:space="preserve"> adalah waktu penangkapan kamera, </w:t>
      </w:r>
      <w:r>
        <w:rPr>
          <w:rFonts w:ascii="Cambria Math" w:hAnsi="Cambria Math" w:cs="Cambria Math" w:eastAsia="Cambria Math"/>
          <w:i/>
          <w:sz w:val="20"/>
        </w:rPr>
        <w:t>T_(inf)</w:t>
      </w:r>
      <w:r>
        <w:rPr>
          <w:rFonts w:ascii="Times New Roman" w:hAnsi="Times New Roman" w:cs="Times New Roman" w:eastAsia="Times New Roman"/>
          <w:b w:val="0"/>
          <w:i w:val="0"/>
          <w:sz w:val="20"/>
        </w:rPr>
        <w:t xml:space="preserve"> waktu inferensi MediaPipe, </w:t>
      </w:r>
      <w:r>
        <w:rPr>
          <w:rFonts w:ascii="Cambria Math" w:hAnsi="Cambria Math" w:cs="Cambria Math" w:eastAsia="Cambria Math"/>
          <w:i/>
          <w:sz w:val="20"/>
        </w:rPr>
        <w:t>T_(modbus)</w:t>
      </w:r>
      <w:r>
        <w:rPr>
          <w:rFonts w:ascii="Times New Roman" w:hAnsi="Times New Roman" w:cs="Times New Roman" w:eastAsia="Times New Roman"/>
          <w:b w:val="0"/>
          <w:i w:val="0"/>
          <w:sz w:val="20"/>
        </w:rPr>
        <w:t xml:space="preserve"> satu round-trip Modbus, dan </w:t>
      </w:r>
      <w:r>
        <w:rPr>
          <w:rFonts w:ascii="Cambria Math" w:hAnsi="Cambria Math" w:cs="Cambria Math" w:eastAsia="Cambria Math"/>
          <w:i/>
          <w:sz w:val="20"/>
        </w:rPr>
        <w:t>T_(queue)</w:t>
      </w:r>
      <w:r>
        <w:rPr>
          <w:rFonts w:ascii="Times New Roman" w:hAnsi="Times New Roman" w:cs="Times New Roman" w:eastAsia="Times New Roman"/>
          <w:b w:val="0"/>
          <w:i w:val="0"/>
          <w:sz w:val="20"/>
        </w:rPr>
        <w:t xml:space="preserve"> overhead antar-thread. Dalam pengukuran kami, </w:t>
      </w:r>
      <w:r>
        <w:rPr>
          <w:rFonts w:ascii="Cambria Math" w:hAnsi="Cambria Math" w:cs="Cambria Math" w:eastAsia="Cambria Math"/>
          <w:i/>
          <w:sz w:val="20"/>
        </w:rPr>
        <w:t>T_(queue)</w:t>
      </w:r>
      <w:r>
        <w:rPr>
          <w:rFonts w:ascii="Times New Roman" w:hAnsi="Times New Roman" w:cs="Times New Roman" w:eastAsia="Times New Roman"/>
          <w:b w:val="0"/>
          <w:i w:val="0"/>
          <w:sz w:val="20"/>
        </w:rPr>
        <w:t xml:space="preserve"> konsisten di bawah 0,5 ms. Karena ketiga thread tumpang tindih, total delay sama dengan thread paling lambat ditambah overhead queue. Ini hanya berlaku karena backend C++ melepas GIL.</w:t>
      </w:r>
    </w:p>
    <w:p>
      <w:pPr>
        <w:pStyle w:val="Heading2"/>
        <w:keepNext/>
        <w:numPr>
          <w:ilvl w:val="0"/>
          <w:numId w:val="0"/>
        </w:numPr>
        <w:spacing w:before="120" w:after="60"/>
        <w:ind w:firstLine="0"/>
        <w:jc w:val="left"/>
      </w:pPr>
      <w:r>
        <w:rPr>
          <w:rFonts w:ascii="Times New Roman" w:hAnsi="Times New Roman" w:cs="Times New Roman" w:eastAsia="Times New Roman"/>
          <w:i/>
          <w:color w:val="000000"/>
          <w:sz w:val="20"/>
        </w:rPr>
        <w:t>B. Konfigurasi Hardware dan Setup PC-PLC</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Logika ladder (Gbr. 4): M200 M203 sebagai kontak normally-open menggerakkan coil output Q0 Q3.</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Function block (Gbr. 5) membaca array coil M200 M203 setiap siklus scan dan meneruskan nilainya ke output Q0 Q3. Pada scan rate default (~1 ms), perintah gestur baru ditangkap dalam satu siklus dan output fisik langsung mengikuti.</w:t>
      </w:r>
    </w:p>
    <w:p>
      <w:pPr>
        <w:pStyle w:val="Heading2"/>
        <w:keepNext/>
        <w:numPr>
          <w:ilvl w:val="0"/>
          <w:numId w:val="0"/>
        </w:numPr>
        <w:spacing w:before="120" w:after="60"/>
        <w:ind w:firstLine="0"/>
        <w:jc w:val="left"/>
      </w:pPr>
      <w:r>
        <w:rPr>
          <w:rFonts w:ascii="Times New Roman" w:hAnsi="Times New Roman" w:cs="Times New Roman" w:eastAsia="Times New Roman"/>
          <w:i/>
          <w:color w:val="000000"/>
          <w:sz w:val="20"/>
        </w:rPr>
        <w:t>C. Pengenalan Gestur Geometris MediaPipe</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Setiap frame RGB dari OpenCV dilewatkan ke model hand-landmark MediaPipe [1], yang mengembalikan 21 titik per tangan: pergelangan tangan, sendi MCP, PIP, DIP untuk setiap jari, plus empat ujung jari.</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Ke-21 landmark (bernomor 0 20) ditunjukkan pada Gbr. 6. Prototipe awal memverifikasi bahwa output MediaPipe stabil dalam kisaran ~30 derajat dari sumbu kamera.</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Jendela diagnostik PyQt5 (Gbr. 7) menampilkan landmark dan garis penghubung pada feed webcam langsung, mengonfirmasi konsistensi output MediaPipe selama kemiringan dalam ~30 derajat. Setiap landmark berupa koordinat 3-D ternormalisasi:</w:t>
      </w:r>
    </w:p>
    <w:p>
      <w:pPr>
        <w:tabs>
          <w:tab w:pos="2200" w:val="center"/>
          <w:tab w:pos="4400" w:val="right"/>
        </w:tabs>
        <w:spacing w:before="80" w:after="80" w:line="240" w:lineRule="exact"/>
        <w:ind w:firstLine="0"/>
        <w:jc w:val="left"/>
      </w:pPr>
      <w:r>
        <w:rPr>
          <w:rFonts w:ascii="Times New Roman" w:hAnsi="Times New Roman" w:cs="Times New Roman" w:eastAsia="Times New Roman"/>
          <w:sz w:val="20"/>
        </w:rPr>
        <w:tab/>
      </w:r>
      <m:oMath xmlns:mml="http://www.w3.org/1998/Math/MathML">
        <m:sSub>
          <m:e>
            <m:r>
              <m:t>𝐩</m:t>
            </m:r>
          </m:e>
          <m:sub>
            <m:r>
              <m:t>i</m:t>
            </m:r>
          </m:sub>
        </m:sSub>
        <m:r>
          <m:t>=(</m:t>
        </m:r>
        <m:sSub>
          <m:e>
            <m:r>
              <m:t>x</m:t>
            </m:r>
          </m:e>
          <m:sub>
            <m:r>
              <m:t>i</m:t>
            </m:r>
          </m:sub>
        </m:sSub>
        <m:r>
          <m:t>,</m:t>
        </m:r>
        <m:sSub>
          <m:e>
            <m:r>
              <m:t>y</m:t>
            </m:r>
          </m:e>
          <m:sub>
            <m:r>
              <m:t>i</m:t>
            </m:r>
          </m:sub>
        </m:sSub>
        <m:r>
          <m:t>,</m:t>
        </m:r>
        <m:sSub>
          <m:e>
            <m:r>
              <m:t>z</m:t>
            </m:r>
          </m:e>
          <m:sub>
            <m:r>
              <m:t>i</m:t>
            </m:r>
          </m:sub>
        </m:sSub>
        <m:r>
          <m:t>),</m:t>
        </m:r>
        <m:r>
          <m:t>i=0,1,2,…,20</m:t>
        </m:r>
      </m:oMath>
      <w:r>
        <w:rPr>
          <w:rFonts w:ascii="Times New Roman" w:hAnsi="Times New Roman" w:cs="Times New Roman" w:eastAsia="Times New Roman"/>
          <w:color w:val="000000"/>
          <w:sz w:val="20"/>
        </w:rPr>
        <w:tab/>
        <w:t>(2)</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 xml:space="preserve">Pada persamaan (2), </w:t>
      </w:r>
      <w:r>
        <w:rPr>
          <w:rFonts w:ascii="Cambria Math" w:hAnsi="Cambria Math" w:cs="Cambria Math" w:eastAsia="Cambria Math"/>
          <w:i/>
          <w:sz w:val="20"/>
        </w:rPr>
        <w:t>xᵢ</w:t>
      </w:r>
      <w:r>
        <w:rPr>
          <w:rFonts w:ascii="Times New Roman" w:hAnsi="Times New Roman" w:cs="Times New Roman" w:eastAsia="Times New Roman"/>
          <w:b w:val="0"/>
          <w:i w:val="0"/>
          <w:sz w:val="20"/>
        </w:rPr>
        <w:t xml:space="preserve"> dan </w:t>
      </w:r>
      <w:r>
        <w:rPr>
          <w:rFonts w:ascii="Cambria Math" w:hAnsi="Cambria Math" w:cs="Cambria Math" w:eastAsia="Cambria Math"/>
          <w:i/>
          <w:sz w:val="20"/>
        </w:rPr>
        <w:t>yᵢ</w:t>
      </w:r>
      <w:r>
        <w:rPr>
          <w:rFonts w:ascii="Times New Roman" w:hAnsi="Times New Roman" w:cs="Times New Roman" w:eastAsia="Times New Roman"/>
          <w:b w:val="0"/>
          <w:i w:val="0"/>
          <w:sz w:val="20"/>
        </w:rPr>
        <w:t xml:space="preserve"> berada dalam </w:t>
      </w:r>
      <w:r>
        <w:rPr>
          <w:rFonts w:ascii="Cambria Math" w:hAnsi="Cambria Math" w:cs="Cambria Math" w:eastAsia="Cambria Math"/>
          <w:i/>
          <w:sz w:val="20"/>
        </w:rPr>
        <w:t>[0,1]</w:t>
      </w:r>
      <w:r>
        <w:rPr>
          <w:rFonts w:ascii="Times New Roman" w:hAnsi="Times New Roman" w:cs="Times New Roman" w:eastAsia="Times New Roman"/>
          <w:b w:val="0"/>
          <w:i w:val="0"/>
          <w:sz w:val="20"/>
        </w:rPr>
        <w:t xml:space="preserve"> relatif terhadap dimensi gambar, </w:t>
      </w:r>
      <w:r>
        <w:rPr>
          <w:rFonts w:ascii="Cambria Math" w:hAnsi="Cambria Math" w:cs="Cambria Math" w:eastAsia="Cambria Math"/>
          <w:i/>
          <w:sz w:val="20"/>
        </w:rPr>
        <w:t>zᵢ</w:t>
      </w:r>
      <w:r>
        <w:rPr>
          <w:rFonts w:ascii="Times New Roman" w:hAnsi="Times New Roman" w:cs="Times New Roman" w:eastAsia="Times New Roman"/>
          <w:b w:val="0"/>
          <w:i w:val="0"/>
          <w:sz w:val="20"/>
        </w:rPr>
        <w:t xml:space="preserve"> mengkodekan kedalaman relatif terhadap pergelangan tangan. Jarak Euclidean antara dua landmark:</w:t>
      </w:r>
    </w:p>
    <w:p>
      <w:pPr>
        <w:tabs>
          <w:tab w:pos="2200" w:val="center"/>
          <w:tab w:pos="4400" w:val="right"/>
        </w:tabs>
        <w:spacing w:before="80" w:after="80" w:line="240" w:lineRule="exact"/>
        <w:ind w:firstLine="0"/>
        <w:jc w:val="left"/>
      </w:pPr>
      <w:r>
        <w:rPr>
          <w:rFonts w:ascii="Times New Roman" w:hAnsi="Times New Roman" w:cs="Times New Roman" w:eastAsia="Times New Roman"/>
          <w:sz w:val="20"/>
        </w:rPr>
        <w:tab/>
      </w:r>
      <m:oMath xmlns:mml="http://www.w3.org/1998/Math/MathML">
        <m:sSub>
          <m:e>
            <m:r>
              <m:t>d</m:t>
            </m:r>
          </m:e>
          <m:sub>
            <m:r>
              <m:t>ij</m:t>
            </m:r>
          </m:sub>
        </m:sSub>
        <m:r>
          <m:t>=</m:t>
        </m:r>
        <m:rad>
          <m:radPr>
            <m:degHide m:val="on"/>
          </m:radPr>
          <m:deg/>
          <m:e>
            <m:r>
              <m:t>(</m:t>
            </m:r>
            <m:sSub>
              <m:e>
                <m:r>
                  <m:t>x</m:t>
                </m:r>
              </m:e>
              <m:sub>
                <m:r>
                  <m:t>j</m:t>
                </m:r>
              </m:sub>
            </m:sSub>
            <m:r>
              <m:t>−</m:t>
            </m:r>
            <m:sSub>
              <m:e>
                <m:r>
                  <m:t>x</m:t>
                </m:r>
              </m:e>
              <m:sub>
                <m:r>
                  <m:t>i</m:t>
                </m:r>
              </m:sub>
            </m:sSub>
            <m:sSup>
              <m:e>
                <m:r>
                  <m:t>)</m:t>
                </m:r>
              </m:e>
              <m:sup>
                <m:r>
                  <m:t>2</m:t>
                </m:r>
              </m:sup>
            </m:sSup>
            <m:r>
              <m:t>+(</m:t>
            </m:r>
            <m:sSub>
              <m:e>
                <m:r>
                  <m:t>y</m:t>
                </m:r>
              </m:e>
              <m:sub>
                <m:r>
                  <m:t>j</m:t>
                </m:r>
              </m:sub>
            </m:sSub>
            <m:r>
              <m:t>−</m:t>
            </m:r>
            <m:sSub>
              <m:e>
                <m:r>
                  <m:t>y</m:t>
                </m:r>
              </m:e>
              <m:sub>
                <m:r>
                  <m:t>i</m:t>
                </m:r>
              </m:sub>
            </m:sSub>
            <m:sSup>
              <m:e>
                <m:r>
                  <m:t>)</m:t>
                </m:r>
              </m:e>
              <m:sup>
                <m:r>
                  <m:t>2</m:t>
                </m:r>
              </m:sup>
            </m:sSup>
          </m:e>
        </m:rad>
      </m:oMath>
      <w:r>
        <w:rPr>
          <w:rFonts w:ascii="Times New Roman" w:hAnsi="Times New Roman" w:cs="Times New Roman" w:eastAsia="Times New Roman"/>
          <w:color w:val="000000"/>
          <w:sz w:val="20"/>
        </w:rPr>
        <w:tab/>
        <w:t>(3)</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 xml:space="preserve">Jarak piksel mentah berubah tergantung jarak tangan dari kamera. Untuk menghilangkan ketergantungan skala, dibagi dengan </w:t>
      </w:r>
      <w:r>
        <w:rPr>
          <w:rFonts w:ascii="Cambria Math" w:hAnsi="Cambria Math" w:cs="Cambria Math" w:eastAsia="Cambria Math"/>
          <w:i/>
          <w:sz w:val="20"/>
        </w:rPr>
        <w:t>d_(0,9)</w:t>
      </w:r>
      <w:r>
        <w:rPr>
          <w:rFonts w:ascii="Times New Roman" w:hAnsi="Times New Roman" w:cs="Times New Roman" w:eastAsia="Times New Roman"/>
          <w:b w:val="0"/>
          <w:i w:val="0"/>
          <w:sz w:val="20"/>
        </w:rPr>
        <w:t xml:space="preserve"> (jarak pergelangan tangan ke middle-MCP):</w:t>
      </w:r>
    </w:p>
    <w:p>
      <w:pPr>
        <w:tabs>
          <w:tab w:pos="2200" w:val="center"/>
          <w:tab w:pos="4400" w:val="right"/>
        </w:tabs>
        <w:spacing w:before="80" w:after="80" w:line="240" w:lineRule="exact"/>
        <w:ind w:firstLine="0"/>
        <w:jc w:val="left"/>
      </w:pPr>
      <w:r>
        <w:rPr>
          <w:rFonts w:ascii="Times New Roman" w:hAnsi="Times New Roman" w:cs="Times New Roman" w:eastAsia="Times New Roman"/>
          <w:sz w:val="20"/>
        </w:rPr>
        <w:tab/>
      </w:r>
      <m:oMath xmlns:mml="http://www.w3.org/1998/Math/MathML">
        <m:sSub>
          <m:e>
            <m:r>
              <m:t>d</m:t>
            </m:r>
          </m:e>
          <m:sub>
            <m:r>
              <m:rPr>
                <m:sty m:val="p"/>
              </m:rPr>
              <m:t>norm</m:t>
            </m:r>
            <m:r>
              <m:t>,ij</m:t>
            </m:r>
          </m:sub>
        </m:sSub>
        <m:r>
          <m:t>=</m:t>
        </m:r>
        <m:f>
          <m:fPr>
            <m:type m:val="bar"/>
          </m:fPr>
          <m:num>
            <m:sSub>
              <m:e>
                <m:r>
                  <m:t>d</m:t>
                </m:r>
              </m:e>
              <m:sub>
                <m:r>
                  <m:t>ij</m:t>
                </m:r>
              </m:sub>
            </m:sSub>
          </m:num>
          <m:den>
            <m:sSub>
              <m:e>
                <m:r>
                  <m:t>d</m:t>
                </m:r>
              </m:e>
              <m:sub>
                <m:r>
                  <m:t>0,9</m:t>
                </m:r>
              </m:sub>
            </m:sSub>
          </m:den>
        </m:f>
      </m:oMath>
      <w:r>
        <w:rPr>
          <w:rFonts w:ascii="Times New Roman" w:hAnsi="Times New Roman" w:cs="Times New Roman" w:eastAsia="Times New Roman"/>
          <w:color w:val="000000"/>
          <w:sz w:val="20"/>
        </w:rPr>
        <w:tab/>
        <w:t>(4)</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 xml:space="preserve">Setelah normalisasi, </w:t>
      </w:r>
      <w:r>
        <w:rPr>
          <w:rFonts w:ascii="Cambria Math" w:hAnsi="Cambria Math" w:cs="Cambria Math" w:eastAsia="Cambria Math"/>
          <w:i/>
          <w:sz w:val="20"/>
        </w:rPr>
        <w:t>d_(norm,ij)</w:t>
      </w:r>
      <w:r>
        <w:rPr>
          <w:rFonts w:ascii="Times New Roman" w:hAnsi="Times New Roman" w:cs="Times New Roman" w:eastAsia="Times New Roman"/>
          <w:b w:val="0"/>
          <w:i w:val="0"/>
          <w:sz w:val="20"/>
        </w:rPr>
        <w:t xml:space="preserve"> mencerminkan bentuk tangan independen dari jarak kamera. Untuk ekstensi jari, dibutuhkan sudut sendi. Vektor arah:</w:t>
      </w:r>
    </w:p>
    <w:p>
      <w:pPr>
        <w:tabs>
          <w:tab w:pos="2200" w:val="center"/>
          <w:tab w:pos="4400" w:val="right"/>
        </w:tabs>
        <w:spacing w:before="80" w:after="80" w:line="240" w:lineRule="exact"/>
        <w:ind w:firstLine="0"/>
        <w:jc w:val="left"/>
      </w:pPr>
      <w:r>
        <w:rPr>
          <w:rFonts w:ascii="Times New Roman" w:hAnsi="Times New Roman" w:cs="Times New Roman" w:eastAsia="Times New Roman"/>
          <w:sz w:val="20"/>
        </w:rPr>
        <w:tab/>
      </w:r>
      <m:oMath xmlns:mml="http://www.w3.org/1998/Math/MathML">
        <m:sSub>
          <m:e>
            <m:limUpp>
              <m:e>
                <m:r>
                  <m:t>v</m:t>
                </m:r>
              </m:e>
              <m:lim>
                <m:r>
                  <m:t>→</m:t>
                </m:r>
              </m:lim>
            </m:limUpp>
          </m:e>
          <m:sub>
            <m:r>
              <m:t>ij</m:t>
            </m:r>
          </m:sub>
        </m:sSub>
        <m:r>
          <m:t>=(</m:t>
        </m:r>
        <m:sSub>
          <m:e>
            <m:r>
              <m:t>x</m:t>
            </m:r>
          </m:e>
          <m:sub>
            <m:r>
              <m:t>j</m:t>
            </m:r>
          </m:sub>
        </m:sSub>
        <m:r>
          <m:t>−</m:t>
        </m:r>
        <m:sSub>
          <m:e>
            <m:r>
              <m:t>x</m:t>
            </m:r>
          </m:e>
          <m:sub>
            <m:r>
              <m:t>i</m:t>
            </m:r>
          </m:sub>
        </m:sSub>
        <m:r>
          <m:t>,</m:t>
        </m:r>
        <m:sSub>
          <m:e>
            <m:r>
              <m:t>y</m:t>
            </m:r>
          </m:e>
          <m:sub>
            <m:r>
              <m:t>j</m:t>
            </m:r>
          </m:sub>
        </m:sSub>
        <m:r>
          <m:t>−</m:t>
        </m:r>
        <m:sSub>
          <m:e>
            <m:r>
              <m:t>y</m:t>
            </m:r>
          </m:e>
          <m:sub>
            <m:r>
              <m:t>i</m:t>
            </m:r>
          </m:sub>
        </m:sSub>
        <m:r>
          <m:t>)</m:t>
        </m:r>
      </m:oMath>
      <w:r>
        <w:rPr>
          <w:rFonts w:ascii="Times New Roman" w:hAnsi="Times New Roman" w:cs="Times New Roman" w:eastAsia="Times New Roman"/>
          <w:color w:val="000000"/>
          <w:sz w:val="20"/>
        </w:rPr>
        <w:tab/>
        <w:t>(5)</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Besarnya:</w:t>
      </w:r>
    </w:p>
    <w:p>
      <w:pPr>
        <w:tabs>
          <w:tab w:pos="2200" w:val="center"/>
          <w:tab w:pos="4400" w:val="right"/>
        </w:tabs>
        <w:spacing w:before="80" w:after="80" w:line="240" w:lineRule="exact"/>
        <w:ind w:firstLine="0"/>
        <w:jc w:val="left"/>
      </w:pPr>
      <w:r>
        <w:rPr>
          <w:rFonts w:ascii="Times New Roman" w:hAnsi="Times New Roman" w:cs="Times New Roman" w:eastAsia="Times New Roman"/>
          <w:sz w:val="20"/>
        </w:rPr>
        <w:tab/>
      </w:r>
      <m:oMath xmlns:mml="http://www.w3.org/1998/Math/MathML">
        <m:r>
          <m:t>|</m:t>
        </m:r>
        <m:limUpp>
          <m:e>
            <m:r>
              <m:t>v</m:t>
            </m:r>
          </m:e>
          <m:lim>
            <m:r>
              <m:t>→</m:t>
            </m:r>
          </m:lim>
        </m:limUpp>
        <m:r>
          <m:t>|=</m:t>
        </m:r>
        <m:rad>
          <m:radPr>
            <m:degHide m:val="on"/>
          </m:radPr>
          <m:deg/>
          <m:e>
            <m:sSubSup>
              <m:e>
                <m:r>
                  <m:t>v</m:t>
                </m:r>
              </m:e>
              <m:sub>
                <m:r>
                  <m:t>x</m:t>
                </m:r>
              </m:sub>
              <m:sup>
                <m:r>
                  <m:t>2</m:t>
                </m:r>
              </m:sup>
            </m:sSubSup>
            <m:r>
              <m:t>+</m:t>
            </m:r>
            <m:sSubSup>
              <m:e>
                <m:r>
                  <m:t>v</m:t>
                </m:r>
              </m:e>
              <m:sub>
                <m:r>
                  <m:t>y</m:t>
                </m:r>
              </m:sub>
              <m:sup>
                <m:r>
                  <m:t>2</m:t>
                </m:r>
              </m:sup>
            </m:sSubSup>
          </m:e>
        </m:rad>
      </m:oMath>
      <w:r>
        <w:rPr>
          <w:rFonts w:ascii="Times New Roman" w:hAnsi="Times New Roman" w:cs="Times New Roman" w:eastAsia="Times New Roman"/>
          <w:color w:val="000000"/>
          <w:sz w:val="20"/>
        </w:rPr>
        <w:tab/>
        <w:t>(6)</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Dot product dari dua vektor segmen tulang yang bersebelahan:</w:t>
      </w:r>
    </w:p>
    <w:p>
      <w:pPr>
        <w:tabs>
          <w:tab w:pos="2200" w:val="center"/>
          <w:tab w:pos="4400" w:val="right"/>
        </w:tabs>
        <w:spacing w:before="80" w:after="80" w:line="240" w:lineRule="exact"/>
        <w:ind w:firstLine="0"/>
        <w:jc w:val="left"/>
      </w:pPr>
      <w:r>
        <w:rPr>
          <w:rFonts w:ascii="Times New Roman" w:hAnsi="Times New Roman" w:cs="Times New Roman" w:eastAsia="Times New Roman"/>
          <w:sz w:val="20"/>
        </w:rPr>
        <w:tab/>
      </w:r>
      <m:oMath xmlns:mml="http://www.w3.org/1998/Math/MathML">
        <m:limUpp>
          <m:e>
            <m:r>
              <m:t>A</m:t>
            </m:r>
          </m:e>
          <m:lim>
            <m:r>
              <m:t>→</m:t>
            </m:r>
          </m:lim>
        </m:limUpp>
        <m:r>
          <m:t>·</m:t>
        </m:r>
        <m:limUpp>
          <m:e>
            <m:r>
              <m:t>B</m:t>
            </m:r>
          </m:e>
          <m:lim>
            <m:r>
              <m:t>→</m:t>
            </m:r>
          </m:lim>
        </m:limUpp>
        <m:r>
          <m:t>=</m:t>
        </m:r>
        <m:sSub>
          <m:e>
            <m:r>
              <m:t>A</m:t>
            </m:r>
          </m:e>
          <m:sub>
            <m:r>
              <m:t>x</m:t>
            </m:r>
          </m:sub>
        </m:sSub>
        <m:sSub>
          <m:e>
            <m:r>
              <m:t>B</m:t>
            </m:r>
          </m:e>
          <m:sub>
            <m:r>
              <m:t>x</m:t>
            </m:r>
          </m:sub>
        </m:sSub>
        <m:r>
          <m:t>+</m:t>
        </m:r>
        <m:sSub>
          <m:e>
            <m:r>
              <m:t>A</m:t>
            </m:r>
          </m:e>
          <m:sub>
            <m:r>
              <m:t>y</m:t>
            </m:r>
          </m:sub>
        </m:sSub>
        <m:sSub>
          <m:e>
            <m:r>
              <m:t>B</m:t>
            </m:r>
          </m:e>
          <m:sub>
            <m:r>
              <m:t>y</m:t>
            </m:r>
          </m:sub>
        </m:sSub>
      </m:oMath>
      <w:r>
        <w:rPr>
          <w:rFonts w:ascii="Times New Roman" w:hAnsi="Times New Roman" w:cs="Times New Roman" w:eastAsia="Times New Roman"/>
          <w:color w:val="000000"/>
          <w:sz w:val="20"/>
        </w:rPr>
        <w:tab/>
        <w:t>(7)</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Sudut antar-sendi, untuk tiga landmark berurutan (</w:t>
      </w:r>
      <w:r>
        <w:rPr>
          <w:rFonts w:ascii="Cambria Math" w:hAnsi="Cambria Math" w:cs="Cambria Math" w:eastAsia="Cambria Math"/>
          <w:i/>
          <w:sz w:val="20"/>
        </w:rPr>
        <w:t>A</w:t>
      </w:r>
      <w:r>
        <w:rPr>
          <w:rFonts w:ascii="Times New Roman" w:hAnsi="Times New Roman" w:cs="Times New Roman" w:eastAsia="Times New Roman"/>
          <w:b w:val="0"/>
          <w:i w:val="0"/>
          <w:sz w:val="20"/>
        </w:rPr>
        <w:t xml:space="preserve"> = ujung jari, </w:t>
      </w:r>
      <w:r>
        <w:rPr>
          <w:rFonts w:ascii="Cambria Math" w:hAnsi="Cambria Math" w:cs="Cambria Math" w:eastAsia="Cambria Math"/>
          <w:i/>
          <w:sz w:val="20"/>
        </w:rPr>
        <w:t>B</w:t>
      </w:r>
      <w:r>
        <w:rPr>
          <w:rFonts w:ascii="Times New Roman" w:hAnsi="Times New Roman" w:cs="Times New Roman" w:eastAsia="Times New Roman"/>
          <w:b w:val="0"/>
          <w:i w:val="0"/>
          <w:sz w:val="20"/>
        </w:rPr>
        <w:t xml:space="preserve"> = sendi tengah, </w:t>
      </w:r>
      <w:r>
        <w:rPr>
          <w:rFonts w:ascii="Cambria Math" w:hAnsi="Cambria Math" w:cs="Cambria Math" w:eastAsia="Cambria Math"/>
          <w:i/>
          <w:sz w:val="20"/>
        </w:rPr>
        <w:t>C</w:t>
      </w:r>
      <w:r>
        <w:rPr>
          <w:rFonts w:ascii="Times New Roman" w:hAnsi="Times New Roman" w:cs="Times New Roman" w:eastAsia="Times New Roman"/>
          <w:b w:val="0"/>
          <w:i w:val="0"/>
          <w:sz w:val="20"/>
        </w:rPr>
        <w:t xml:space="preserve"> = pangkal):</w:t>
      </w:r>
    </w:p>
    <w:p>
      <w:pPr>
        <w:tabs>
          <w:tab w:pos="2200" w:val="center"/>
          <w:tab w:pos="4400" w:val="right"/>
        </w:tabs>
        <w:spacing w:before="80" w:after="80" w:line="240" w:lineRule="exact"/>
        <w:ind w:firstLine="0"/>
        <w:jc w:val="left"/>
      </w:pPr>
      <w:r>
        <w:rPr>
          <w:rFonts w:ascii="Times New Roman" w:hAnsi="Times New Roman" w:cs="Times New Roman" w:eastAsia="Times New Roman"/>
          <w:sz w:val="20"/>
        </w:rPr>
        <w:tab/>
      </w:r>
      <m:oMath xmlns:mml="http://www.w3.org/1998/Math/MathML">
        <m:r>
          <m:t>θ=</m:t>
        </m:r>
        <m:sSup>
          <m:e>
            <m:r>
              <m:rPr>
                <m:sty m:val="p"/>
              </m:rPr>
              <m:t>cos</m:t>
            </m:r>
          </m:e>
          <m:sup>
            <m:r>
              <m:t>−1</m:t>
            </m:r>
          </m:sup>
        </m:sSup>
        <m:r>
          <m:t>(</m:t>
        </m:r>
        <m:f>
          <m:fPr>
            <m:type m:val="bar"/>
          </m:fPr>
          <m:num>
            <m:limUpp>
              <m:e>
                <m:r>
                  <m:t>BA</m:t>
                </m:r>
              </m:e>
              <m:lim>
                <m:r>
                  <m:t>→</m:t>
                </m:r>
              </m:lim>
            </m:limUpp>
            <m:r>
              <m:t>·</m:t>
            </m:r>
            <m:limUpp>
              <m:e>
                <m:r>
                  <m:t>BC</m:t>
                </m:r>
              </m:e>
              <m:lim>
                <m:r>
                  <m:t>→</m:t>
                </m:r>
              </m:lim>
            </m:limUpp>
          </m:num>
          <m:den>
            <m:r>
              <m:t>|</m:t>
            </m:r>
            <m:limUpp>
              <m:e>
                <m:r>
                  <m:t>BA</m:t>
                </m:r>
              </m:e>
              <m:lim>
                <m:r>
                  <m:t>→</m:t>
                </m:r>
              </m:lim>
            </m:limUpp>
            <m:r>
              <m:t>|·|</m:t>
            </m:r>
            <m:limUpp>
              <m:e>
                <m:r>
                  <m:t>BC</m:t>
                </m:r>
              </m:e>
              <m:lim>
                <m:r>
                  <m:t>→</m:t>
                </m:r>
              </m:lim>
            </m:limUpp>
            <m:r>
              <m:t>|</m:t>
            </m:r>
          </m:den>
        </m:f>
        <m:r>
          <m:t>)</m:t>
        </m:r>
      </m:oMath>
      <w:r>
        <w:rPr>
          <w:rFonts w:ascii="Times New Roman" w:hAnsi="Times New Roman" w:cs="Times New Roman" w:eastAsia="Times New Roman"/>
          <w:color w:val="000000"/>
          <w:sz w:val="20"/>
        </w:rPr>
        <w:tab/>
        <w:t>(8)</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 xml:space="preserve">Sudut </w:t>
      </w:r>
      <w:r>
        <w:rPr>
          <w:rFonts w:ascii="Cambria Math" w:hAnsi="Cambria Math" w:cs="Cambria Math" w:eastAsia="Cambria Math"/>
          <w:i/>
          <w:sz w:val="20"/>
        </w:rPr>
        <w:t>θ</w:t>
      </w:r>
      <w:r>
        <w:rPr>
          <w:rFonts w:ascii="Times New Roman" w:hAnsi="Times New Roman" w:cs="Times New Roman" w:eastAsia="Times New Roman"/>
          <w:b w:val="0"/>
          <w:i w:val="0"/>
          <w:sz w:val="20"/>
        </w:rPr>
        <w:t xml:space="preserve"> menentukan apakah jari terektensi atau tertutup. Setelah kalibrasi, </w:t>
      </w:r>
      <w:r>
        <w:rPr>
          <w:rFonts w:ascii="Cambria Math" w:hAnsi="Cambria Math" w:cs="Cambria Math" w:eastAsia="Cambria Math"/>
          <w:i/>
          <w:sz w:val="20"/>
        </w:rPr>
        <w:t>θ_(open) ≈ 160^(°)</w:t>
      </w:r>
      <w:r>
        <w:rPr>
          <w:rFonts w:ascii="Times New Roman" w:hAnsi="Times New Roman" w:cs="Times New Roman" w:eastAsia="Times New Roman"/>
          <w:b w:val="0"/>
          <w:i w:val="0"/>
          <w:sz w:val="20"/>
        </w:rPr>
        <w:t xml:space="preserve"> dan </w:t>
      </w:r>
      <w:r>
        <w:rPr>
          <w:rFonts w:ascii="Cambria Math" w:hAnsi="Cambria Math" w:cs="Cambria Math" w:eastAsia="Cambria Math"/>
          <w:i/>
          <w:sz w:val="20"/>
        </w:rPr>
        <w:t>θ_(close) ≈ 140^(°)</w:t>
      </w:r>
      <w:r>
        <w:rPr>
          <w:rFonts w:ascii="Times New Roman" w:hAnsi="Times New Roman" w:cs="Times New Roman" w:eastAsia="Times New Roman"/>
          <w:b w:val="0"/>
          <w:i w:val="0"/>
          <w:sz w:val="20"/>
        </w:rPr>
        <w:t xml:space="preserve">. Jika </w:t>
      </w:r>
      <w:r>
        <w:rPr>
          <w:rFonts w:ascii="Cambria Math" w:hAnsi="Cambria Math" w:cs="Cambria Math" w:eastAsia="Cambria Math"/>
          <w:i/>
          <w:sz w:val="20"/>
        </w:rPr>
        <w:t>θ &gt; θ_(open)</w:t>
      </w:r>
      <w:r>
        <w:rPr>
          <w:rFonts w:ascii="Times New Roman" w:hAnsi="Times New Roman" w:cs="Times New Roman" w:eastAsia="Times New Roman"/>
          <w:b w:val="0"/>
          <w:i w:val="0"/>
          <w:sz w:val="20"/>
        </w:rPr>
        <w:t xml:space="preserve"> maka jari terektensi (</w:t>
      </w:r>
      <w:r>
        <w:rPr>
          <w:rFonts w:ascii="Cambria Math" w:hAnsi="Cambria Math" w:cs="Cambria Math" w:eastAsia="Cambria Math"/>
          <w:i/>
          <w:sz w:val="20"/>
        </w:rPr>
        <w:t>fᵢ = 1</w:t>
      </w:r>
      <w:r>
        <w:rPr>
          <w:rFonts w:ascii="Times New Roman" w:hAnsi="Times New Roman" w:cs="Times New Roman" w:eastAsia="Times New Roman"/>
          <w:b w:val="0"/>
          <w:i w:val="0"/>
          <w:sz w:val="20"/>
        </w:rPr>
        <w:t xml:space="preserve">); di bawah </w:t>
      </w:r>
      <w:r>
        <w:rPr>
          <w:rFonts w:ascii="Cambria Math" w:hAnsi="Cambria Math" w:cs="Cambria Math" w:eastAsia="Cambria Math"/>
          <w:i/>
          <w:sz w:val="20"/>
        </w:rPr>
        <w:t>θ_(close)</w:t>
      </w:r>
      <w:r>
        <w:rPr>
          <w:rFonts w:ascii="Times New Roman" w:hAnsi="Times New Roman" w:cs="Times New Roman" w:eastAsia="Times New Roman"/>
          <w:b w:val="0"/>
          <w:i w:val="0"/>
          <w:sz w:val="20"/>
        </w:rPr>
        <w:t xml:space="preserve"> maka tertutup (</w:t>
      </w:r>
      <w:r>
        <w:rPr>
          <w:rFonts w:ascii="Cambria Math" w:hAnsi="Cambria Math" w:cs="Cambria Math" w:eastAsia="Cambria Math"/>
          <w:i/>
          <w:sz w:val="20"/>
        </w:rPr>
        <w:t>fᵢ = 0</w:t>
      </w:r>
      <w:r>
        <w:rPr>
          <w:rFonts w:ascii="Times New Roman" w:hAnsi="Times New Roman" w:cs="Times New Roman" w:eastAsia="Times New Roman"/>
          <w:b w:val="0"/>
          <w:i w:val="0"/>
          <w:sz w:val="20"/>
        </w:rPr>
        <w:t>):</w:t>
      </w:r>
    </w:p>
    <w:p>
      <w:pPr>
        <w:tabs>
          <w:tab w:pos="2200" w:val="center"/>
          <w:tab w:pos="4400" w:val="right"/>
        </w:tabs>
        <w:spacing w:before="80" w:after="80" w:line="240" w:lineRule="exact"/>
        <w:ind w:firstLine="0"/>
        <w:jc w:val="left"/>
      </w:pPr>
      <w:r>
        <w:rPr>
          <w:rFonts w:ascii="Times New Roman" w:hAnsi="Times New Roman" w:cs="Times New Roman" w:eastAsia="Times New Roman"/>
          <w:sz w:val="20"/>
        </w:rPr>
        <w:tab/>
      </w:r>
      <m:oMath xmlns:mml="http://www.w3.org/1998/Math/MathML">
        <m:sSub>
          <m:e>
            <m:r>
              <m:t>f</m:t>
            </m:r>
          </m:e>
          <m:sub>
            <m:r>
              <m:t>i</m:t>
            </m:r>
          </m:sub>
        </m:sSub>
        <m:r>
          <m:t>=</m:t>
        </m:r>
        <m:r>
          <m:t>{</m:t>
        </m:r>
        <m:m>
          <m:mPr>
            <m:baseJc m:val="center"/>
            <m:plcHide m:val="on"/>
            <m:mcs>
              <m:mc>
                <m:mcPr>
                  <m:count m:val="2"/>
                  <m:mcJc m:val="center"/>
                </m:mcPr>
              </m:mc>
            </m:mcs>
          </m:mPr>
          <m:mr>
            <m:e>
              <m:r>
                <m:t>1,</m:t>
              </m:r>
            </m:e>
            <m:e>
              <m:sSub>
                <m:e>
                  <m:r>
                    <m:t>θ</m:t>
                  </m:r>
                </m:e>
                <m:sub>
                  <m:r>
                    <m:t>i</m:t>
                  </m:r>
                </m:sub>
              </m:sSub>
              <m:r>
                <m:t>&gt;</m:t>
              </m:r>
              <m:sSub>
                <m:e>
                  <m:r>
                    <m:t>θ</m:t>
                  </m:r>
                </m:e>
                <m:sub>
                  <m:r>
                    <m:rPr>
                      <m:sty m:val="p"/>
                    </m:rPr>
                    <m:t>open</m:t>
                  </m:r>
                </m:sub>
              </m:sSub>
            </m:e>
          </m:mr>
          <m:mr>
            <m:e>
              <m:r>
                <m:t>0,</m:t>
              </m:r>
            </m:e>
            <m:e>
              <m:sSub>
                <m:e>
                  <m:r>
                    <m:t>θ</m:t>
                  </m:r>
                </m:e>
                <m:sub>
                  <m:r>
                    <m:t>i</m:t>
                  </m:r>
                </m:sub>
              </m:sSub>
              <m:r>
                <m:t>&lt;</m:t>
              </m:r>
              <m:sSub>
                <m:e>
                  <m:r>
                    <m:t>θ</m:t>
                  </m:r>
                </m:e>
                <m:sub>
                  <m:r>
                    <m:rPr>
                      <m:sty m:val="p"/>
                    </m:rPr>
                    <m:t>close</m:t>
                  </m:r>
                </m:sub>
              </m:sSub>
            </m:e>
          </m:mr>
        </m:m>
      </m:oMath>
      <w:r>
        <w:rPr>
          <w:rFonts w:ascii="Times New Roman" w:hAnsi="Times New Roman" w:cs="Times New Roman" w:eastAsia="Times New Roman"/>
          <w:color w:val="000000"/>
          <w:sz w:val="20"/>
        </w:rPr>
        <w:tab/>
        <w:t>(9)</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 xml:space="preserve">Threshold tunggal menyebabkan toggling cepat di dekat batas saat tangan diputar. Diperbaiki dengan histeresis dua batas terpisah, </w:t>
      </w:r>
      <w:r>
        <w:rPr>
          <w:rFonts w:ascii="Cambria Math" w:hAnsi="Cambria Math" w:cs="Cambria Math" w:eastAsia="Cambria Math"/>
          <w:i/>
          <w:sz w:val="20"/>
        </w:rPr>
        <w:t>heta_(high)</w:t>
      </w:r>
      <w:r>
        <w:rPr>
          <w:rFonts w:ascii="Times New Roman" w:hAnsi="Times New Roman" w:cs="Times New Roman" w:eastAsia="Times New Roman"/>
          <w:b w:val="0"/>
          <w:i w:val="0"/>
          <w:sz w:val="20"/>
        </w:rPr>
        <w:t xml:space="preserve"> dan </w:t>
      </w:r>
      <w:r>
        <w:rPr>
          <w:rFonts w:ascii="Cambria Math" w:hAnsi="Cambria Math" w:cs="Cambria Math" w:eastAsia="Cambria Math"/>
          <w:i/>
          <w:sz w:val="20"/>
        </w:rPr>
        <w:t>heta_(low)</w:t>
      </w:r>
      <w:r>
        <w:rPr>
          <w:rFonts w:ascii="Times New Roman" w:hAnsi="Times New Roman" w:cs="Times New Roman" w:eastAsia="Times New Roman"/>
          <w:b w:val="0"/>
          <w:i w:val="0"/>
          <w:sz w:val="20"/>
        </w:rPr>
        <w:t>:</w:t>
      </w:r>
    </w:p>
    <w:p>
      <w:pPr>
        <w:tabs>
          <w:tab w:pos="2200" w:val="center"/>
          <w:tab w:pos="4400" w:val="right"/>
        </w:tabs>
        <w:spacing w:before="80" w:after="80" w:line="240" w:lineRule="exact"/>
        <w:ind w:firstLine="0"/>
        <w:jc w:val="left"/>
      </w:pPr>
      <w:r>
        <w:rPr>
          <w:rFonts w:ascii="Times New Roman" w:hAnsi="Times New Roman" w:cs="Times New Roman" w:eastAsia="Times New Roman"/>
          <w:sz w:val="20"/>
        </w:rPr>
        <w:tab/>
      </w:r>
      <m:oMath xmlns:mml="http://www.w3.org/1998/Math/MathML">
        <m:sSub>
          <m:e>
            <m:r>
              <m:t>f</m:t>
            </m:r>
          </m:e>
          <m:sub>
            <m:r>
              <m:t>i</m:t>
            </m:r>
          </m:sub>
        </m:sSub>
        <m:r>
          <m:t>(t)=</m:t>
        </m:r>
        <m:r>
          <m:t>{</m:t>
        </m:r>
        <m:m>
          <m:mPr>
            <m:baseJc m:val="center"/>
            <m:plcHide m:val="on"/>
            <m:mcs>
              <m:mc>
                <m:mcPr>
                  <m:count m:val="2"/>
                  <m:mcJc m:val="center"/>
                </m:mcPr>
              </m:mc>
            </m:mcs>
          </m:mPr>
          <m:mr>
            <m:e>
              <m:r>
                <m:t>1,</m:t>
              </m:r>
            </m:e>
            <m:e>
              <m:sSub>
                <m:e>
                  <m:r>
                    <m:t>θ</m:t>
                  </m:r>
                </m:e>
                <m:sub>
                  <m:r>
                    <m:t>i</m:t>
                  </m:r>
                </m:sub>
              </m:sSub>
              <m:r>
                <m:t>&gt;</m:t>
              </m:r>
              <m:sSub>
                <m:e>
                  <m:r>
                    <m:t>θ</m:t>
                  </m:r>
                </m:e>
                <m:sub>
                  <m:r>
                    <m:rPr>
                      <m:sty m:val="p"/>
                    </m:rPr>
                    <m:t>high</m:t>
                  </m:r>
                </m:sub>
              </m:sSub>
            </m:e>
          </m:mr>
          <m:mr>
            <m:e>
              <m:r>
                <m:t>0,</m:t>
              </m:r>
            </m:e>
            <m:e>
              <m:sSub>
                <m:e>
                  <m:r>
                    <m:t>θ</m:t>
                  </m:r>
                </m:e>
                <m:sub>
                  <m:r>
                    <m:t>i</m:t>
                  </m:r>
                </m:sub>
              </m:sSub>
              <m:r>
                <m:t>&lt;</m:t>
              </m:r>
              <m:sSub>
                <m:e>
                  <m:r>
                    <m:t>θ</m:t>
                  </m:r>
                </m:e>
                <m:sub>
                  <m:r>
                    <m:rPr>
                      <m:sty m:val="p"/>
                    </m:rPr>
                    <m:t>low</m:t>
                  </m:r>
                </m:sub>
              </m:sSub>
            </m:e>
          </m:mr>
          <m:mr>
            <m:e>
              <m:sSub>
                <m:e>
                  <m:r>
                    <m:t>f</m:t>
                  </m:r>
                </m:e>
                <m:sub>
                  <m:r>
                    <m:t>i</m:t>
                  </m:r>
                </m:sub>
              </m:sSub>
              <m:r>
                <m:t>(t−1),</m:t>
              </m:r>
            </m:e>
            <m:e>
              <m:r>
                <m:rPr>
                  <m:sty m:val="p"/>
                </m:rPr>
                <m:t>otherwise</m:t>
              </m:r>
            </m:e>
          </m:mr>
        </m:m>
      </m:oMath>
      <w:r>
        <w:rPr>
          <w:rFonts w:ascii="Times New Roman" w:hAnsi="Times New Roman" w:cs="Times New Roman" w:eastAsia="Times New Roman"/>
          <w:color w:val="000000"/>
          <w:sz w:val="20"/>
        </w:rPr>
        <w:tab/>
        <w:t>(10)</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 xml:space="preserve">Di atas histeresis, voting mayoritas sliding-window menghaluskan output di sepanjang </w:t>
      </w:r>
      <w:r>
        <w:rPr>
          <w:rFonts w:ascii="Cambria Math" w:hAnsi="Cambria Math" w:cs="Cambria Math" w:eastAsia="Cambria Math"/>
          <w:i/>
          <w:sz w:val="20"/>
        </w:rPr>
        <w:t>N</w:t>
      </w:r>
      <w:r>
        <w:rPr>
          <w:rFonts w:ascii="Times New Roman" w:hAnsi="Times New Roman" w:cs="Times New Roman" w:eastAsia="Times New Roman"/>
          <w:b w:val="0"/>
          <w:i w:val="0"/>
          <w:sz w:val="20"/>
        </w:rPr>
        <w:t xml:space="preserve"> frame terakhir:</w:t>
      </w:r>
    </w:p>
    <w:p>
      <w:pPr>
        <w:tabs>
          <w:tab w:pos="2200" w:val="center"/>
          <w:tab w:pos="4400" w:val="right"/>
        </w:tabs>
        <w:spacing w:before="80" w:after="80" w:line="240" w:lineRule="exact"/>
        <w:ind w:firstLine="0"/>
        <w:jc w:val="left"/>
      </w:pPr>
      <w:r>
        <w:rPr>
          <w:rFonts w:ascii="Times New Roman" w:hAnsi="Times New Roman" w:cs="Times New Roman" w:eastAsia="Times New Roman"/>
          <w:sz w:val="20"/>
        </w:rPr>
        <w:tab/>
      </w:r>
      <m:oMath xmlns:mml="http://www.w3.org/1998/Math/MathML">
        <m:sSub>
          <m:e>
            <m:r>
              <m:t>F</m:t>
            </m:r>
          </m:e>
          <m:sub>
            <m:r>
              <m:t>i</m:t>
            </m:r>
          </m:sub>
        </m:sSub>
        <m:r>
          <m:t>=</m:t>
        </m:r>
        <m:f>
          <m:fPr>
            <m:type m:val="bar"/>
          </m:fPr>
          <m:num>
            <m:r>
              <m:t>1</m:t>
            </m:r>
          </m:num>
          <m:den>
            <m:r>
              <m:t>N</m:t>
            </m:r>
          </m:den>
        </m:f>
        <m:nary>
          <m:naryPr>
            <m:chr m:val="∑"/>
            <m:limLoc m:val="subSup"/>
            <m:grow m:val="1"/>
            <m:subHide m:val="off"/>
            <m:supHide m:val="off"/>
          </m:naryPr>
          <m:sub>
            <m:r>
              <m:t>k=0</m:t>
            </m:r>
          </m:sub>
          <m:sup>
            <m:r>
              <m:t>N−1</m:t>
            </m:r>
          </m:sup>
          <m:e>
            <m:sSub>
              <m:e>
                <m:r>
                  <m:t>f</m:t>
                </m:r>
              </m:e>
              <m:sub>
                <m:r>
                  <m:t>i</m:t>
                </m:r>
              </m:sub>
            </m:sSub>
            <m:r>
              <m:t>(t−k)</m:t>
            </m:r>
          </m:e>
        </m:nary>
      </m:oMath>
      <w:r>
        <w:rPr>
          <w:rFonts w:ascii="Times New Roman" w:hAnsi="Times New Roman" w:cs="Times New Roman" w:eastAsia="Times New Roman"/>
          <w:color w:val="000000"/>
          <w:sz w:val="20"/>
        </w:rPr>
        <w:tab/>
        <w:t>(11)</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 xml:space="preserve">Output biner final </w:t>
      </w:r>
      <w:r>
        <w:rPr>
          <w:rFonts w:ascii="Cambria Math" w:hAnsi="Cambria Math" w:cs="Cambria Math" w:eastAsia="Cambria Math"/>
          <w:i/>
          <w:sz w:val="20"/>
        </w:rPr>
        <w:t>fᵢ</w:t>
      </w:r>
      <w:r>
        <w:rPr>
          <w:rFonts w:ascii="Times New Roman" w:hAnsi="Times New Roman" w:cs="Times New Roman" w:eastAsia="Times New Roman"/>
          <w:b w:val="0"/>
          <w:i w:val="0"/>
          <w:sz w:val="20"/>
        </w:rPr>
        <w:t xml:space="preserve"> bernilai 1 hanya jika lebih dari fraksi </w:t>
      </w:r>
      <w:r>
        <w:rPr>
          <w:rFonts w:ascii="Cambria Math" w:hAnsi="Cambria Math" w:cs="Cambria Math" w:eastAsia="Cambria Math"/>
          <w:i/>
          <w:sz w:val="20"/>
        </w:rPr>
        <w:t>T</w:t>
      </w:r>
      <w:r>
        <w:rPr>
          <w:rFonts w:ascii="Times New Roman" w:hAnsi="Times New Roman" w:cs="Times New Roman" w:eastAsia="Times New Roman"/>
          <w:b w:val="0"/>
          <w:i w:val="0"/>
          <w:sz w:val="20"/>
        </w:rPr>
        <w:t xml:space="preserve"> dari frame terbaru menyetujui bahwa jari terektensi:</w:t>
      </w:r>
    </w:p>
    <w:p>
      <w:pPr>
        <w:tabs>
          <w:tab w:pos="2200" w:val="center"/>
          <w:tab w:pos="4400" w:val="right"/>
        </w:tabs>
        <w:spacing w:before="80" w:after="80" w:line="240" w:lineRule="exact"/>
        <w:ind w:firstLine="0"/>
        <w:jc w:val="left"/>
      </w:pPr>
      <w:r>
        <w:rPr>
          <w:rFonts w:ascii="Times New Roman" w:hAnsi="Times New Roman" w:cs="Times New Roman" w:eastAsia="Times New Roman"/>
          <w:sz w:val="20"/>
        </w:rPr>
        <w:tab/>
      </w:r>
      <m:oMath xmlns:mml="http://www.w3.org/1998/Math/MathML">
        <m:sSub>
          <m:e>
            <m:acc>
              <m:accPr>
                <m:chr m:val="̂"/>
              </m:accPr>
              <m:e>
                <m:r>
                  <m:t>f</m:t>
                </m:r>
              </m:e>
            </m:acc>
          </m:e>
          <m:sub>
            <m:r>
              <m:t>i</m:t>
            </m:r>
          </m:sub>
        </m:sSub>
        <m:r>
          <m:t>=</m:t>
        </m:r>
        <m:r>
          <m:t>{</m:t>
        </m:r>
        <m:m>
          <m:mPr>
            <m:baseJc m:val="center"/>
            <m:plcHide m:val="on"/>
            <m:mcs>
              <m:mc>
                <m:mcPr>
                  <m:count m:val="2"/>
                  <m:mcJc m:val="center"/>
                </m:mcPr>
              </m:mc>
            </m:mcs>
          </m:mPr>
          <m:mr>
            <m:e>
              <m:r>
                <m:t>1,</m:t>
              </m:r>
            </m:e>
            <m:e>
              <m:sSub>
                <m:e>
                  <m:r>
                    <m:t>F</m:t>
                  </m:r>
                </m:e>
                <m:sub>
                  <m:r>
                    <m:t>i</m:t>
                  </m:r>
                </m:sub>
              </m:sSub>
              <m:r>
                <m:t>&gt;T</m:t>
              </m:r>
            </m:e>
          </m:mr>
          <m:mr>
            <m:e>
              <m:r>
                <m:t>0,</m:t>
              </m:r>
            </m:e>
            <m:e>
              <m:r>
                <m:rPr>
                  <m:sty m:val="p"/>
                </m:rPr>
                <m:t>otherwise</m:t>
              </m:r>
            </m:e>
          </m:mr>
        </m:m>
      </m:oMath>
      <w:r>
        <w:rPr>
          <w:rFonts w:ascii="Times New Roman" w:hAnsi="Times New Roman" w:cs="Times New Roman" w:eastAsia="Times New Roman"/>
          <w:color w:val="000000"/>
          <w:sz w:val="20"/>
        </w:rPr>
        <w:tab/>
        <w:t>(12)</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 xml:space="preserve">Histeresis ditambah voting berjendela memangkas false-trigger mendekati nol pada kondisi normal. Trade-off-nya: latensi. Pada </w:t>
      </w:r>
      <w:r>
        <w:rPr>
          <w:rFonts w:ascii="Cambria Math" w:hAnsi="Cambria Math" w:cs="Cambria Math" w:eastAsia="Cambria Math"/>
          <w:i/>
          <w:sz w:val="20"/>
        </w:rPr>
        <w:t>N=5</w:t>
      </w:r>
      <w:r>
        <w:rPr>
          <w:rFonts w:ascii="Times New Roman" w:hAnsi="Times New Roman" w:cs="Times New Roman" w:eastAsia="Times New Roman"/>
          <w:b w:val="0"/>
          <w:i w:val="0"/>
          <w:sz w:val="20"/>
        </w:rPr>
        <w:t xml:space="preserve"> dan 30 fps, debounce menambahkan ~83 ms, karena gestur biasanya stabil dalam 2-3 frame. Array biner </w:t>
      </w:r>
      <w:r>
        <w:rPr>
          <w:rFonts w:ascii="Cambria Math" w:hAnsi="Cambria Math" w:cs="Cambria Math" w:eastAsia="Cambria Math"/>
          <w:i/>
          <w:sz w:val="20"/>
        </w:rPr>
        <w:t>fᵢ</w:t>
      </w:r>
      <w:r>
        <w:rPr>
          <w:rFonts w:ascii="Times New Roman" w:hAnsi="Times New Roman" w:cs="Times New Roman" w:eastAsia="Times New Roman"/>
          <w:b w:val="0"/>
          <w:i w:val="0"/>
          <w:sz w:val="20"/>
        </w:rPr>
        <w:t xml:space="preserve"> kemudian diantrikan untuk penulisan Modbus FC15.</w:t>
      </w:r>
    </w:p>
    <w:p>
      <w:pPr>
        <w:pStyle w:val="Heading2"/>
        <w:keepNext/>
        <w:numPr>
          <w:ilvl w:val="0"/>
          <w:numId w:val="0"/>
        </w:numPr>
        <w:spacing w:before="120" w:after="60"/>
        <w:ind w:firstLine="0"/>
        <w:jc w:val="left"/>
      </w:pPr>
      <w:r>
        <w:rPr>
          <w:rFonts w:ascii="Times New Roman" w:hAnsi="Times New Roman" w:cs="Times New Roman" w:eastAsia="Times New Roman"/>
          <w:i/>
          <w:color w:val="000000"/>
          <w:sz w:val="20"/>
        </w:rPr>
        <w:t>D. Integrasi MediaPipe dan Pymodbus</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pStyle w:val="tablehead"/>
        <w:keepNext/>
        <w:numPr>
          <w:ilvl w:val="0"/>
          <w:numId w:val="0"/>
        </w:numPr>
        <w:spacing w:before="160" w:after="80"/>
        <w:ind w:left="0" w:firstLine="0"/>
        <w:jc w:val="center"/>
      </w:pPr>
      <w:r>
        <w:rPr>
          <w:rFonts w:ascii="Times New Roman" w:hAnsi="Times New Roman" w:cs="Times New Roman" w:eastAsia="Times New Roman"/>
          <w:color w:val="000000"/>
          <w:sz w:val="16"/>
        </w:rPr>
        <w:t>TABLE I</w:t>
      </w:r>
      <w:r>
        <w:rPr>
          <w:rFonts w:ascii="Times New Roman" w:hAnsi="Times New Roman" w:cs="Times New Roman" w:eastAsia="Times New Roman"/>
          <w:sz w:val="16"/>
        </w:rPr>
        <w:br/>
      </w:r>
      <w:r>
        <w:rPr>
          <w:rFonts w:ascii="Times New Roman" w:hAnsi="Times New Roman" w:cs="Times New Roman" w:eastAsia="Times New Roman"/>
          <w:b w:val="0"/>
          <w:i/>
          <w:sz w:val="16"/>
        </w:rPr>
        <w:t>PEMETAAN GESTUR KE COIL MODBUS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30"/>
        <w:gridCol w:w="2530"/>
        <w:gridCol w:w="2530"/>
        <w:gridCol w:w="2530"/>
      </w:tblGrid>
      <w:tr>
        <w:tc>
          <w:tcPr>
            <w:tcW w:type="dxa" w:w="2530"/>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Gestur</w:t>
            </w:r>
          </w:p>
        </w:tc>
        <w:tc>
          <w:tcPr>
            <w:tcW w:type="dxa" w:w="2530"/>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Jumlah Jari</w:t>
            </w:r>
          </w:p>
        </w:tc>
        <w:tc>
          <w:tcPr>
            <w:tcW w:type="dxa" w:w="2530"/>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State Coil Modbus</w:t>
            </w:r>
          </w:p>
        </w:tc>
        <w:tc>
          <w:tcPr>
            <w:tcW w:type="dxa" w:w="2530"/>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Output PLC</w:t>
            </w:r>
          </w:p>
        </w:tc>
      </w:tr>
      <w:tr>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Kepalan Tangan</w:t>
            </w:r>
          </w:p>
        </w:tc>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w:t>
            </w:r>
          </w:p>
        </w:tc>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M200=0, M201=0, M202=0, M203=0</w:t>
            </w:r>
          </w:p>
        </w:tc>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Q0-Q3=OFF</w:t>
            </w:r>
          </w:p>
        </w:tc>
      </w:tr>
      <w:tr>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1 Jari (Telunjuk)</w:t>
            </w:r>
          </w:p>
        </w:tc>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1</w:t>
            </w:r>
          </w:p>
        </w:tc>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M200=1, M201=0, M202=0, M203=0</w:t>
            </w:r>
          </w:p>
        </w:tc>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Q0=ON</w:t>
            </w:r>
          </w:p>
        </w:tc>
      </w:tr>
      <w:tr>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2 Jari (Peace)</w:t>
            </w:r>
          </w:p>
        </w:tc>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2</w:t>
            </w:r>
          </w:p>
        </w:tc>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M200=1, M201=1, M202=0, M203=0</w:t>
            </w:r>
          </w:p>
        </w:tc>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Q0-Q1=ON</w:t>
            </w:r>
          </w:p>
        </w:tc>
      </w:tr>
      <w:tr>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3 Jari</w:t>
            </w:r>
          </w:p>
        </w:tc>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3</w:t>
            </w:r>
          </w:p>
        </w:tc>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M200=1, M201=1, M202=1, M203=0</w:t>
            </w:r>
          </w:p>
        </w:tc>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Q0-Q2=ON</w:t>
            </w:r>
          </w:p>
        </w:tc>
      </w:tr>
      <w:tr>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4 Jari</w:t>
            </w:r>
          </w:p>
        </w:tc>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4</w:t>
            </w:r>
          </w:p>
        </w:tc>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M200=1, M201=1, M202=1, M203=1</w:t>
            </w:r>
          </w:p>
        </w:tc>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Q0-Q3=ON</w:t>
            </w:r>
          </w:p>
        </w:tc>
      </w:tr>
      <w:tr>
        <w:tc>
          <w:tcPr>
            <w:tcW w:type="dxa" w:w="2530"/>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5 Jari (Telapak)</w:t>
            </w:r>
          </w:p>
        </w:tc>
        <w:tc>
          <w:tcPr>
            <w:tcW w:type="dxa" w:w="2530"/>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5</w:t>
            </w:r>
          </w:p>
        </w:tc>
        <w:tc>
          <w:tcPr>
            <w:tcW w:type="dxa" w:w="2530"/>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M200=1, M201=1, M202=1, M203=1</w:t>
            </w:r>
          </w:p>
        </w:tc>
        <w:tc>
          <w:tcPr>
            <w:tcW w:type="dxa" w:w="2530"/>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Q0-Q3=ON (Semua)</w:t>
            </w:r>
          </w:p>
        </w:tc>
      </w:tr>
    </w:tbl>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PLCGui menjalankan ketiga thread. Saat gestur dikonfirmasi oleh filter debounce, pola coil ditulis ke PLC via PyModbus dan setiap hasil dicatat dalam log. LED panel depan PLC sesuai dengan indikator GUI setiap penulisan berhasil.</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Rig pengujian terlihat pada Gbr. 8. Webcam pada tripod menghadap tangan operator, kabel Cat-5e langsung ke panel PLC.</w:t>
      </w:r>
    </w:p>
    <w:p>
      <w:pPr>
        <w:pStyle w:val="Heading1"/>
        <w:keepNext/>
        <w:numPr>
          <w:ilvl w:val="0"/>
          <w:numId w:val="0"/>
        </w:numPr>
        <w:spacing w:before="160" w:after="80"/>
        <w:ind w:firstLine="0"/>
        <w:jc w:val="center"/>
      </w:pPr>
      <w:r>
        <w:rPr>
          <w:rFonts w:ascii="Times New Roman" w:hAnsi="Times New Roman" w:cs="Times New Roman" w:eastAsia="Times New Roman"/>
          <w:color w:val="000000"/>
          <w:sz w:val="20"/>
        </w:rPr>
        <w:t>IV. HASIL EKSPERIMEN</w:t>
      </w:r>
    </w:p>
    <w:p>
      <w:pPr>
        <w:pStyle w:val="Heading2"/>
        <w:keepNext/>
        <w:numPr>
          <w:ilvl w:val="0"/>
          <w:numId w:val="0"/>
        </w:numPr>
        <w:spacing w:before="120" w:after="60"/>
        <w:ind w:firstLine="0"/>
        <w:jc w:val="left"/>
      </w:pPr>
      <w:r>
        <w:rPr>
          <w:rFonts w:ascii="Times New Roman" w:hAnsi="Times New Roman" w:cs="Times New Roman" w:eastAsia="Times New Roman"/>
          <w:i/>
          <w:color w:val="000000"/>
          <w:sz w:val="20"/>
        </w:rPr>
        <w:t>A. Akurasi Deteksi Gestur</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pStyle w:val="tablehead"/>
        <w:keepNext/>
        <w:numPr>
          <w:ilvl w:val="0"/>
          <w:numId w:val="0"/>
        </w:numPr>
        <w:spacing w:before="160" w:after="80"/>
        <w:ind w:left="0" w:firstLine="0"/>
        <w:jc w:val="center"/>
      </w:pPr>
      <w:r>
        <w:rPr>
          <w:rFonts w:ascii="Times New Roman" w:hAnsi="Times New Roman" w:cs="Times New Roman" w:eastAsia="Times New Roman"/>
          <w:color w:val="000000"/>
          <w:sz w:val="16"/>
        </w:rPr>
        <w:t>TABLE II</w:t>
      </w:r>
      <w:r>
        <w:rPr>
          <w:rFonts w:ascii="Times New Roman" w:hAnsi="Times New Roman" w:cs="Times New Roman" w:eastAsia="Times New Roman"/>
          <w:sz w:val="16"/>
        </w:rPr>
        <w:br/>
      </w:r>
      <w:r>
        <w:rPr>
          <w:rFonts w:ascii="Times New Roman" w:hAnsi="Times New Roman" w:cs="Times New Roman" w:eastAsia="Times New Roman"/>
          <w:b w:val="0"/>
          <w:i/>
          <w:sz w:val="16"/>
        </w:rPr>
        <w:t>PERFORMA KLASIFIKASI GESTUR PADA 300 LUX</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87"/>
        <w:gridCol w:w="1687"/>
        <w:gridCol w:w="1687"/>
        <w:gridCol w:w="1687"/>
        <w:gridCol w:w="1687"/>
        <w:gridCol w:w="1687"/>
      </w:tblGrid>
      <w:tr>
        <w:tc>
          <w:tcPr>
            <w:tcW w:type="dxa" w:w="1687"/>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Gestur</w:t>
            </w:r>
          </w:p>
        </w:tc>
        <w:tc>
          <w:tcPr>
            <w:tcW w:type="dxa" w:w="1687"/>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Sampel</w:t>
            </w:r>
          </w:p>
        </w:tc>
        <w:tc>
          <w:tcPr>
            <w:tcW w:type="dxa" w:w="1687"/>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Benar</w:t>
            </w:r>
          </w:p>
        </w:tc>
        <w:tc>
          <w:tcPr>
            <w:tcW w:type="dxa" w:w="1687"/>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Presisi (%)</w:t>
            </w:r>
          </w:p>
        </w:tc>
        <w:tc>
          <w:tcPr>
            <w:tcW w:type="dxa" w:w="1687"/>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Recall (%)</w:t>
            </w:r>
          </w:p>
        </w:tc>
        <w:tc>
          <w:tcPr>
            <w:tcW w:type="dxa" w:w="1687"/>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Skor F1 (%)</w:t>
            </w:r>
          </w:p>
        </w:tc>
      </w:tr>
      <w:tr>
        <w:tc>
          <w:tcPr>
            <w:tcW w:type="dxa" w:w="1687"/>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 jari (Kepalan)</w:t>
            </w:r>
          </w:p>
        </w:tc>
        <w:tc>
          <w:tcPr>
            <w:tcW w:type="dxa" w:w="1687"/>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100</w:t>
            </w:r>
          </w:p>
        </w:tc>
        <w:tc>
          <w:tcPr>
            <w:tcW w:type="dxa" w:w="1687"/>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97</w:t>
            </w:r>
          </w:p>
        </w:tc>
        <w:tc>
          <w:tcPr>
            <w:tcW w:type="dxa" w:w="1687"/>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98,0</w:t>
            </w:r>
          </w:p>
        </w:tc>
        <w:tc>
          <w:tcPr>
            <w:tcW w:type="dxa" w:w="1687"/>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97,0</w:t>
            </w:r>
          </w:p>
        </w:tc>
        <w:tc>
          <w:tcPr>
            <w:tcW w:type="dxa" w:w="1687"/>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97,5</w:t>
            </w:r>
          </w:p>
        </w:tc>
      </w:tr>
      <w:tr>
        <w:tc>
          <w:tcPr>
            <w:tcW w:type="dxa" w:w="1687"/>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1 jari (Telunjuk)</w:t>
            </w:r>
          </w:p>
        </w:tc>
        <w:tc>
          <w:tcPr>
            <w:tcW w:type="dxa" w:w="1687"/>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100</w:t>
            </w:r>
          </w:p>
        </w:tc>
        <w:tc>
          <w:tcPr>
            <w:tcW w:type="dxa" w:w="1687"/>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95</w:t>
            </w:r>
          </w:p>
        </w:tc>
        <w:tc>
          <w:tcPr>
            <w:tcW w:type="dxa" w:w="1687"/>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96,9</w:t>
            </w:r>
          </w:p>
        </w:tc>
        <w:tc>
          <w:tcPr>
            <w:tcW w:type="dxa" w:w="1687"/>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95,0</w:t>
            </w:r>
          </w:p>
        </w:tc>
        <w:tc>
          <w:tcPr>
            <w:tcW w:type="dxa" w:w="1687"/>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95,9</w:t>
            </w:r>
          </w:p>
        </w:tc>
      </w:tr>
      <w:tr>
        <w:tc>
          <w:tcPr>
            <w:tcW w:type="dxa" w:w="1687"/>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2 jari (Peace)</w:t>
            </w:r>
          </w:p>
        </w:tc>
        <w:tc>
          <w:tcPr>
            <w:tcW w:type="dxa" w:w="1687"/>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100</w:t>
            </w:r>
          </w:p>
        </w:tc>
        <w:tc>
          <w:tcPr>
            <w:tcW w:type="dxa" w:w="1687"/>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94</w:t>
            </w:r>
          </w:p>
        </w:tc>
        <w:tc>
          <w:tcPr>
            <w:tcW w:type="dxa" w:w="1687"/>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95,9</w:t>
            </w:r>
          </w:p>
        </w:tc>
        <w:tc>
          <w:tcPr>
            <w:tcW w:type="dxa" w:w="1687"/>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94,0</w:t>
            </w:r>
          </w:p>
        </w:tc>
        <w:tc>
          <w:tcPr>
            <w:tcW w:type="dxa" w:w="1687"/>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94,9</w:t>
            </w:r>
          </w:p>
        </w:tc>
      </w:tr>
      <w:tr>
        <w:tc>
          <w:tcPr>
            <w:tcW w:type="dxa" w:w="1687"/>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3 jari</w:t>
            </w:r>
          </w:p>
        </w:tc>
        <w:tc>
          <w:tcPr>
            <w:tcW w:type="dxa" w:w="1687"/>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100</w:t>
            </w:r>
          </w:p>
        </w:tc>
        <w:tc>
          <w:tcPr>
            <w:tcW w:type="dxa" w:w="1687"/>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93</w:t>
            </w:r>
          </w:p>
        </w:tc>
        <w:tc>
          <w:tcPr>
            <w:tcW w:type="dxa" w:w="1687"/>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94,9</w:t>
            </w:r>
          </w:p>
        </w:tc>
        <w:tc>
          <w:tcPr>
            <w:tcW w:type="dxa" w:w="1687"/>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93,0</w:t>
            </w:r>
          </w:p>
        </w:tc>
        <w:tc>
          <w:tcPr>
            <w:tcW w:type="dxa" w:w="1687"/>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93,9</w:t>
            </w:r>
          </w:p>
        </w:tc>
      </w:tr>
      <w:tr>
        <w:tc>
          <w:tcPr>
            <w:tcW w:type="dxa" w:w="1687"/>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4 jari</w:t>
            </w:r>
          </w:p>
        </w:tc>
        <w:tc>
          <w:tcPr>
            <w:tcW w:type="dxa" w:w="1687"/>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100</w:t>
            </w:r>
          </w:p>
        </w:tc>
        <w:tc>
          <w:tcPr>
            <w:tcW w:type="dxa" w:w="1687"/>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92</w:t>
            </w:r>
          </w:p>
        </w:tc>
        <w:tc>
          <w:tcPr>
            <w:tcW w:type="dxa" w:w="1687"/>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93,9</w:t>
            </w:r>
          </w:p>
        </w:tc>
        <w:tc>
          <w:tcPr>
            <w:tcW w:type="dxa" w:w="1687"/>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92,0</w:t>
            </w:r>
          </w:p>
        </w:tc>
        <w:tc>
          <w:tcPr>
            <w:tcW w:type="dxa" w:w="1687"/>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92,9</w:t>
            </w:r>
          </w:p>
        </w:tc>
      </w:tr>
      <w:tr>
        <w:tc>
          <w:tcPr>
            <w:tcW w:type="dxa" w:w="1687"/>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5 jari (Telapak Terbuka)</w:t>
            </w:r>
          </w:p>
        </w:tc>
        <w:tc>
          <w:tcPr>
            <w:tcW w:type="dxa" w:w="1687"/>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100</w:t>
            </w:r>
          </w:p>
        </w:tc>
        <w:tc>
          <w:tcPr>
            <w:tcW w:type="dxa" w:w="1687"/>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98</w:t>
            </w:r>
          </w:p>
        </w:tc>
        <w:tc>
          <w:tcPr>
            <w:tcW w:type="dxa" w:w="1687"/>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97,0</w:t>
            </w:r>
          </w:p>
        </w:tc>
        <w:tc>
          <w:tcPr>
            <w:tcW w:type="dxa" w:w="1687"/>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98,0</w:t>
            </w:r>
          </w:p>
        </w:tc>
        <w:tc>
          <w:tcPr>
            <w:tcW w:type="dxa" w:w="1687"/>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97,5</w:t>
            </w:r>
          </w:p>
        </w:tc>
      </w:tr>
      <w:tr>
        <w:tc>
          <w:tcPr>
            <w:tcW w:type="dxa" w:w="1687"/>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i w:val="0"/>
                <w:sz w:val="16"/>
              </w:rPr>
              <w:t>Rata-rata Keseluruhan (Makro)</w:t>
            </w:r>
          </w:p>
        </w:tc>
        <w:tc>
          <w:tcPr>
            <w:tcW w:type="dxa" w:w="1687"/>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600</w:t>
            </w:r>
          </w:p>
        </w:tc>
        <w:tc>
          <w:tcPr>
            <w:tcW w:type="dxa" w:w="1687"/>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569</w:t>
            </w:r>
          </w:p>
        </w:tc>
        <w:tc>
          <w:tcPr>
            <w:tcW w:type="dxa" w:w="1687"/>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i w:val="0"/>
                <w:sz w:val="16"/>
              </w:rPr>
              <w:t>96,1</w:t>
            </w:r>
          </w:p>
        </w:tc>
        <w:tc>
          <w:tcPr>
            <w:tcW w:type="dxa" w:w="1687"/>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i w:val="0"/>
                <w:sz w:val="16"/>
              </w:rPr>
              <w:t>94,8</w:t>
            </w:r>
          </w:p>
        </w:tc>
        <w:tc>
          <w:tcPr>
            <w:tcW w:type="dxa" w:w="1687"/>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i w:val="0"/>
                <w:sz w:val="16"/>
              </w:rPr>
              <w:t>95,4</w:t>
            </w:r>
          </w:p>
        </w:tc>
      </w:tr>
    </w:tbl>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pStyle w:val="tablehead"/>
        <w:keepNext/>
        <w:numPr>
          <w:ilvl w:val="0"/>
          <w:numId w:val="0"/>
        </w:numPr>
        <w:spacing w:before="160" w:after="80"/>
        <w:ind w:left="0" w:firstLine="0"/>
        <w:jc w:val="center"/>
      </w:pPr>
      <w:r>
        <w:rPr>
          <w:rFonts w:ascii="Times New Roman" w:hAnsi="Times New Roman" w:cs="Times New Roman" w:eastAsia="Times New Roman"/>
          <w:color w:val="000000"/>
          <w:sz w:val="16"/>
        </w:rPr>
        <w:t>TABLE III</w:t>
      </w:r>
      <w:r>
        <w:rPr>
          <w:rFonts w:ascii="Times New Roman" w:hAnsi="Times New Roman" w:cs="Times New Roman" w:eastAsia="Times New Roman"/>
          <w:sz w:val="16"/>
        </w:rPr>
        <w:br/>
      </w:r>
      <w:r>
        <w:rPr>
          <w:rFonts w:ascii="Times New Roman" w:hAnsi="Times New Roman" w:cs="Times New Roman" w:eastAsia="Times New Roman"/>
          <w:b w:val="0"/>
          <w:i/>
          <w:sz w:val="16"/>
        </w:rPr>
        <w:t>MATRIKS KONFUSI PADA 300 LUX (N=100 PER KELAS)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6"/>
        <w:gridCol w:w="1446"/>
        <w:gridCol w:w="1446"/>
        <w:gridCol w:w="1446"/>
        <w:gridCol w:w="1446"/>
        <w:gridCol w:w="1446"/>
        <w:gridCol w:w="1446"/>
      </w:tblGrid>
      <w:tr>
        <w:tc>
          <w:tcPr>
            <w:tcW w:type="dxa" w:w="1446"/>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Aktual \ Prediksi</w:t>
            </w:r>
          </w:p>
        </w:tc>
        <w:tc>
          <w:tcPr>
            <w:tcW w:type="dxa" w:w="1446"/>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0 (Kepalan)</w:t>
            </w:r>
          </w:p>
        </w:tc>
        <w:tc>
          <w:tcPr>
            <w:tcW w:type="dxa" w:w="1446"/>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1 (Telunjuk)</w:t>
            </w:r>
          </w:p>
        </w:tc>
        <w:tc>
          <w:tcPr>
            <w:tcW w:type="dxa" w:w="1446"/>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2 (Peace)</w:t>
            </w:r>
          </w:p>
        </w:tc>
        <w:tc>
          <w:tcPr>
            <w:tcW w:type="dxa" w:w="1446"/>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3</w:t>
            </w:r>
          </w:p>
        </w:tc>
        <w:tc>
          <w:tcPr>
            <w:tcW w:type="dxa" w:w="1446"/>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4</w:t>
            </w:r>
          </w:p>
        </w:tc>
        <w:tc>
          <w:tcPr>
            <w:tcW w:type="dxa" w:w="1446"/>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5 (Telapak)</w:t>
            </w:r>
          </w:p>
        </w:tc>
      </w:tr>
      <w:tr>
        <w:tc>
          <w:tcPr>
            <w:tcW w:type="dxa" w:w="1446"/>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 (Kepalan)</w:t>
            </w:r>
          </w:p>
        </w:tc>
        <w:tc>
          <w:tcPr>
            <w:tcW w:type="dxa" w:w="1446"/>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97</w:t>
            </w:r>
          </w:p>
        </w:tc>
        <w:tc>
          <w:tcPr>
            <w:tcW w:type="dxa" w:w="1446"/>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w:t>
            </w:r>
          </w:p>
        </w:tc>
        <w:tc>
          <w:tcPr>
            <w:tcW w:type="dxa" w:w="1446"/>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w:t>
            </w:r>
          </w:p>
        </w:tc>
        <w:tc>
          <w:tcPr>
            <w:tcW w:type="dxa" w:w="1446"/>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w:t>
            </w:r>
          </w:p>
        </w:tc>
        <w:tc>
          <w:tcPr>
            <w:tcW w:type="dxa" w:w="1446"/>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w:t>
            </w:r>
          </w:p>
        </w:tc>
        <w:tc>
          <w:tcPr>
            <w:tcW w:type="dxa" w:w="1446"/>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3</w:t>
            </w:r>
          </w:p>
        </w:tc>
      </w:tr>
      <w:tr>
        <w:tc>
          <w:tcPr>
            <w:tcW w:type="dxa" w:w="1446"/>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1 (Telunjuk)</w:t>
            </w:r>
          </w:p>
        </w:tc>
        <w:tc>
          <w:tcPr>
            <w:tcW w:type="dxa" w:w="1446"/>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w:t>
            </w:r>
          </w:p>
        </w:tc>
        <w:tc>
          <w:tcPr>
            <w:tcW w:type="dxa" w:w="1446"/>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95</w:t>
            </w:r>
          </w:p>
        </w:tc>
        <w:tc>
          <w:tcPr>
            <w:tcW w:type="dxa" w:w="1446"/>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2</w:t>
            </w:r>
          </w:p>
        </w:tc>
        <w:tc>
          <w:tcPr>
            <w:tcW w:type="dxa" w:w="1446"/>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w:t>
            </w:r>
          </w:p>
        </w:tc>
        <w:tc>
          <w:tcPr>
            <w:tcW w:type="dxa" w:w="1446"/>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w:t>
            </w:r>
          </w:p>
        </w:tc>
        <w:tc>
          <w:tcPr>
            <w:tcW w:type="dxa" w:w="1446"/>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3</w:t>
            </w:r>
          </w:p>
        </w:tc>
      </w:tr>
      <w:tr>
        <w:tc>
          <w:tcPr>
            <w:tcW w:type="dxa" w:w="1446"/>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2 (Peace)</w:t>
            </w:r>
          </w:p>
        </w:tc>
        <w:tc>
          <w:tcPr>
            <w:tcW w:type="dxa" w:w="1446"/>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w:t>
            </w:r>
          </w:p>
        </w:tc>
        <w:tc>
          <w:tcPr>
            <w:tcW w:type="dxa" w:w="1446"/>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1</w:t>
            </w:r>
          </w:p>
        </w:tc>
        <w:tc>
          <w:tcPr>
            <w:tcW w:type="dxa" w:w="1446"/>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94</w:t>
            </w:r>
          </w:p>
        </w:tc>
        <w:tc>
          <w:tcPr>
            <w:tcW w:type="dxa" w:w="1446"/>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5</w:t>
            </w:r>
          </w:p>
        </w:tc>
        <w:tc>
          <w:tcPr>
            <w:tcW w:type="dxa" w:w="1446"/>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w:t>
            </w:r>
          </w:p>
        </w:tc>
        <w:tc>
          <w:tcPr>
            <w:tcW w:type="dxa" w:w="1446"/>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w:t>
            </w:r>
          </w:p>
        </w:tc>
      </w:tr>
      <w:tr>
        <w:tc>
          <w:tcPr>
            <w:tcW w:type="dxa" w:w="1446"/>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3</w:t>
            </w:r>
          </w:p>
        </w:tc>
        <w:tc>
          <w:tcPr>
            <w:tcW w:type="dxa" w:w="1446"/>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w:t>
            </w:r>
          </w:p>
        </w:tc>
        <w:tc>
          <w:tcPr>
            <w:tcW w:type="dxa" w:w="1446"/>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w:t>
            </w:r>
          </w:p>
        </w:tc>
        <w:tc>
          <w:tcPr>
            <w:tcW w:type="dxa" w:w="1446"/>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4</w:t>
            </w:r>
          </w:p>
        </w:tc>
        <w:tc>
          <w:tcPr>
            <w:tcW w:type="dxa" w:w="1446"/>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93</w:t>
            </w:r>
          </w:p>
        </w:tc>
        <w:tc>
          <w:tcPr>
            <w:tcW w:type="dxa" w:w="1446"/>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3</w:t>
            </w:r>
          </w:p>
        </w:tc>
        <w:tc>
          <w:tcPr>
            <w:tcW w:type="dxa" w:w="1446"/>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w:t>
            </w:r>
          </w:p>
        </w:tc>
      </w:tr>
      <w:tr>
        <w:tc>
          <w:tcPr>
            <w:tcW w:type="dxa" w:w="1446"/>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4</w:t>
            </w:r>
          </w:p>
        </w:tc>
        <w:tc>
          <w:tcPr>
            <w:tcW w:type="dxa" w:w="1446"/>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w:t>
            </w:r>
          </w:p>
        </w:tc>
        <w:tc>
          <w:tcPr>
            <w:tcW w:type="dxa" w:w="1446"/>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w:t>
            </w:r>
          </w:p>
        </w:tc>
        <w:tc>
          <w:tcPr>
            <w:tcW w:type="dxa" w:w="1446"/>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w:t>
            </w:r>
          </w:p>
        </w:tc>
        <w:tc>
          <w:tcPr>
            <w:tcW w:type="dxa" w:w="1446"/>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2</w:t>
            </w:r>
          </w:p>
        </w:tc>
        <w:tc>
          <w:tcPr>
            <w:tcW w:type="dxa" w:w="1446"/>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92</w:t>
            </w:r>
          </w:p>
        </w:tc>
        <w:tc>
          <w:tcPr>
            <w:tcW w:type="dxa" w:w="1446"/>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6</w:t>
            </w:r>
          </w:p>
        </w:tc>
      </w:tr>
      <w:tr>
        <w:tc>
          <w:tcPr>
            <w:tcW w:type="dxa" w:w="1446"/>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5 (Telapak)</w:t>
            </w:r>
          </w:p>
        </w:tc>
        <w:tc>
          <w:tcPr>
            <w:tcW w:type="dxa" w:w="1446"/>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2</w:t>
            </w:r>
          </w:p>
        </w:tc>
        <w:tc>
          <w:tcPr>
            <w:tcW w:type="dxa" w:w="1446"/>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w:t>
            </w:r>
          </w:p>
        </w:tc>
        <w:tc>
          <w:tcPr>
            <w:tcW w:type="dxa" w:w="1446"/>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w:t>
            </w:r>
          </w:p>
        </w:tc>
        <w:tc>
          <w:tcPr>
            <w:tcW w:type="dxa" w:w="1446"/>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w:t>
            </w:r>
          </w:p>
        </w:tc>
        <w:tc>
          <w:tcPr>
            <w:tcW w:type="dxa" w:w="1446"/>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w:t>
            </w:r>
          </w:p>
        </w:tc>
        <w:tc>
          <w:tcPr>
            <w:tcW w:type="dxa" w:w="1446"/>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98</w:t>
            </w:r>
          </w:p>
        </w:tc>
      </w:tr>
    </w:tbl>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Presisi dan recall pada 300 lux (Gbr. 11) saling berdekatan untuk keenam kelas. Kepalan dan telapak terbuka tertinggi karena keduanya paling berbeda dalam proyeksi 2-D. Akurasi keseluruhan:</w:t>
      </w:r>
    </w:p>
    <w:p>
      <w:pPr>
        <w:tabs>
          <w:tab w:pos="2200" w:val="center"/>
          <w:tab w:pos="4400" w:val="right"/>
        </w:tabs>
        <w:spacing w:before="80" w:after="80" w:line="240" w:lineRule="exact"/>
        <w:ind w:firstLine="0"/>
        <w:jc w:val="left"/>
      </w:pPr>
      <w:r>
        <w:rPr>
          <w:rFonts w:ascii="Times New Roman" w:hAnsi="Times New Roman" w:cs="Times New Roman" w:eastAsia="Times New Roman"/>
          <w:sz w:val="20"/>
        </w:rPr>
        <w:tab/>
      </w:r>
      <m:oMath xmlns:mml="http://www.w3.org/1998/Math/MathML">
        <m:r>
          <m:rPr>
            <m:sty m:val="p"/>
          </m:rPr>
          <m:t>Accuracy</m:t>
        </m:r>
        <m:r>
          <m:t>=</m:t>
        </m:r>
        <m:f>
          <m:fPr>
            <m:type m:val="bar"/>
          </m:fPr>
          <m:num>
            <m:nary>
              <m:naryPr>
                <m:chr m:val="∑"/>
                <m:limLoc m:val="subSup"/>
                <m:grow m:val="1"/>
                <m:subHide m:val="off"/>
                <m:supHide m:val="off"/>
              </m:naryPr>
              <m:sub>
                <m:r>
                  <m:t>k=0</m:t>
                </m:r>
              </m:sub>
              <m:sup>
                <m:r>
                  <m:t>5</m:t>
                </m:r>
              </m:sup>
              <m:e>
                <m:r>
                  <m:t>T</m:t>
                </m:r>
                <m:sSub>
                  <m:e>
                    <m:r>
                      <m:t>P</m:t>
                    </m:r>
                  </m:e>
                  <m:sub>
                    <m:r>
                      <m:t>k</m:t>
                    </m:r>
                  </m:sub>
                </m:sSub>
              </m:e>
            </m:nary>
          </m:num>
          <m:den>
            <m:nary>
              <m:naryPr>
                <m:chr m:val="∑"/>
                <m:limLoc m:val="subSup"/>
                <m:grow m:val="1"/>
                <m:subHide m:val="off"/>
                <m:supHide m:val="off"/>
              </m:naryPr>
              <m:sub>
                <m:r>
                  <m:t>k=0</m:t>
                </m:r>
              </m:sub>
              <m:sup>
                <m:r>
                  <m:t>5</m:t>
                </m:r>
              </m:sup>
              <m:e>
                <m:r>
                  <m:t>(T</m:t>
                </m:r>
                <m:sSub>
                  <m:e>
                    <m:r>
                      <m:t>P</m:t>
                    </m:r>
                  </m:e>
                  <m:sub>
                    <m:r>
                      <m:t>k</m:t>
                    </m:r>
                  </m:sub>
                </m:sSub>
                <m:r>
                  <m:t>+F</m:t>
                </m:r>
                <m:sSub>
                  <m:e>
                    <m:r>
                      <m:t>N</m:t>
                    </m:r>
                  </m:e>
                  <m:sub>
                    <m:r>
                      <m:t>k</m:t>
                    </m:r>
                  </m:sub>
                </m:sSub>
                <m:r>
                  <m:t>)</m:t>
                </m:r>
              </m:e>
            </m:nary>
          </m:den>
        </m:f>
        <m:r>
          <m:t>×100%</m:t>
        </m:r>
      </m:oMath>
      <w:r>
        <w:rPr>
          <w:rFonts w:ascii="Times New Roman" w:hAnsi="Times New Roman" w:cs="Times New Roman" w:eastAsia="Times New Roman"/>
          <w:color w:val="000000"/>
          <w:sz w:val="20"/>
        </w:rPr>
        <w:tab/>
        <w:t>(13)</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 xml:space="preserve">Pada persamaan (13), </w:t>
      </w:r>
      <w:r>
        <w:rPr>
          <w:rFonts w:ascii="Cambria Math" w:hAnsi="Cambria Math" w:cs="Cambria Math" w:eastAsia="Cambria Math"/>
          <w:i/>
          <w:sz w:val="20"/>
        </w:rPr>
        <w:t>TPₖ</w:t>
      </w:r>
      <w:r>
        <w:rPr>
          <w:rFonts w:ascii="Times New Roman" w:hAnsi="Times New Roman" w:cs="Times New Roman" w:eastAsia="Times New Roman"/>
          <w:b w:val="0"/>
          <w:i w:val="0"/>
          <w:sz w:val="20"/>
        </w:rPr>
        <w:t xml:space="preserve"> adalah true-positive dan </w:t>
      </w:r>
      <w:r>
        <w:rPr>
          <w:rFonts w:ascii="Cambria Math" w:hAnsi="Cambria Math" w:cs="Cambria Math" w:eastAsia="Cambria Math"/>
          <w:i/>
          <w:sz w:val="20"/>
        </w:rPr>
        <w:t>FNₖ</w:t>
      </w:r>
      <w:r>
        <w:rPr>
          <w:rFonts w:ascii="Times New Roman" w:hAnsi="Times New Roman" w:cs="Times New Roman" w:eastAsia="Times New Roman"/>
          <w:b w:val="0"/>
          <w:i w:val="0"/>
          <w:sz w:val="20"/>
        </w:rPr>
        <w:t xml:space="preserve"> false-negative untuk kelas </w:t>
      </w:r>
      <w:r>
        <w:rPr>
          <w:rFonts w:ascii="Cambria Math" w:hAnsi="Cambria Math" w:cs="Cambria Math" w:eastAsia="Cambria Math"/>
          <w:i/>
          <w:sz w:val="20"/>
        </w:rPr>
        <w:t>k</w:t>
      </w:r>
      <w:r>
        <w:rPr>
          <w:rFonts w:ascii="Times New Roman" w:hAnsi="Times New Roman" w:cs="Times New Roman" w:eastAsia="Times New Roman"/>
          <w:b w:val="0"/>
          <w:i w:val="0"/>
          <w:sz w:val="20"/>
        </w:rPr>
        <w:t>. F1 makro digunakan sebagai metrik utama karena semua kelas terwakili merata. Pada 300 lux, classifier bekerja andal di bawah pencahayaan indoor standar.</w:t>
      </w:r>
    </w:p>
    <w:p>
      <w:pPr>
        <w:pStyle w:val="Heading2"/>
        <w:keepNext/>
        <w:numPr>
          <w:ilvl w:val="0"/>
          <w:numId w:val="0"/>
        </w:numPr>
        <w:spacing w:before="120" w:after="60"/>
        <w:ind w:firstLine="0"/>
        <w:jc w:val="left"/>
      </w:pPr>
      <w:r>
        <w:rPr>
          <w:rFonts w:ascii="Times New Roman" w:hAnsi="Times New Roman" w:cs="Times New Roman" w:eastAsia="Times New Roman"/>
          <w:i/>
          <w:color w:val="000000"/>
          <w:sz w:val="20"/>
        </w:rPr>
        <w:t>B. Latensi Komunikasi Modbus TCP</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Thread 3 mencatat wall-clock start dan end dari setiap permintaan Modbus pada 10.000 sampel per kondisi. Beban CPU divariasikan menggunakan tugas video-encoding paralel dalam proses terpisah.</w:t>
      </w:r>
    </w:p>
    <w:p>
      <w:pPr>
        <w:pStyle w:val="tablehead"/>
        <w:keepNext/>
        <w:numPr>
          <w:ilvl w:val="0"/>
          <w:numId w:val="0"/>
        </w:numPr>
        <w:spacing w:before="160" w:after="80"/>
        <w:ind w:left="0" w:firstLine="0"/>
        <w:jc w:val="center"/>
      </w:pPr>
      <w:r>
        <w:rPr>
          <w:rFonts w:ascii="Times New Roman" w:hAnsi="Times New Roman" w:cs="Times New Roman" w:eastAsia="Times New Roman"/>
          <w:color w:val="000000"/>
          <w:sz w:val="16"/>
        </w:rPr>
        <w:t>TABLE IV</w:t>
      </w:r>
      <w:r>
        <w:rPr>
          <w:rFonts w:ascii="Times New Roman" w:hAnsi="Times New Roman" w:cs="Times New Roman" w:eastAsia="Times New Roman"/>
          <w:sz w:val="16"/>
        </w:rPr>
        <w:br/>
      </w:r>
      <w:r>
        <w:rPr>
          <w:rFonts w:ascii="Times New Roman" w:hAnsi="Times New Roman" w:cs="Times New Roman" w:eastAsia="Times New Roman"/>
          <w:b w:val="0"/>
          <w:i/>
          <w:sz w:val="16"/>
        </w:rPr>
        <w:t>DISTRIBUSI LATENSI MODBUS TCP (N=10.000 PER KONDISI)</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65"/>
        <w:gridCol w:w="1265"/>
        <w:gridCol w:w="1265"/>
        <w:gridCol w:w="1265"/>
        <w:gridCol w:w="1265"/>
        <w:gridCol w:w="1265"/>
        <w:gridCol w:w="1265"/>
        <w:gridCol w:w="1265"/>
      </w:tblGrid>
      <w:tr>
        <w:tc>
          <w:tcPr>
            <w:tcW w:type="dxa" w:w="1265"/>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Beban CPU (%)</w:t>
            </w:r>
          </w:p>
        </w:tc>
        <w:tc>
          <w:tcPr>
            <w:tcW w:type="dxa" w:w="1265"/>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Min (ms)</w:t>
            </w:r>
          </w:p>
        </w:tc>
        <w:tc>
          <w:tcPr>
            <w:tcW w:type="dxa" w:w="1265"/>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Median (ms)</w:t>
            </w:r>
          </w:p>
        </w:tc>
        <w:tc>
          <w:tcPr>
            <w:tcW w:type="dxa" w:w="1265"/>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Mean (ms)</w:t>
            </w:r>
          </w:p>
        </w:tc>
        <w:tc>
          <w:tcPr>
            <w:tcW w:type="dxa" w:w="1265"/>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P95 (ms)</w:t>
            </w:r>
          </w:p>
        </w:tc>
        <w:tc>
          <w:tcPr>
            <w:tcW w:type="dxa" w:w="1265"/>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P99 (ms)</w:t>
            </w:r>
          </w:p>
        </w:tc>
        <w:tc>
          <w:tcPr>
            <w:tcW w:type="dxa" w:w="1265"/>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Maks (ms)</w:t>
            </w:r>
          </w:p>
        </w:tc>
        <w:tc>
          <w:tcPr>
            <w:tcW w:type="dxa" w:w="1265"/>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Std Dev (ms)</w:t>
            </w:r>
          </w:p>
        </w:tc>
      </w:tr>
      <w:tr>
        <w:tc>
          <w:tcPr>
            <w:tcW w:type="dxa" w:w="1265"/>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Idle (0-10%)</w:t>
            </w:r>
          </w:p>
        </w:tc>
        <w:tc>
          <w:tcPr>
            <w:tcW w:type="dxa" w:w="1265"/>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1,2</w:t>
            </w:r>
          </w:p>
        </w:tc>
        <w:tc>
          <w:tcPr>
            <w:tcW w:type="dxa" w:w="1265"/>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8,4</w:t>
            </w:r>
          </w:p>
        </w:tc>
        <w:tc>
          <w:tcPr>
            <w:tcW w:type="dxa" w:w="1265"/>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9,1</w:t>
            </w:r>
          </w:p>
        </w:tc>
        <w:tc>
          <w:tcPr>
            <w:tcW w:type="dxa" w:w="1265"/>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18,7</w:t>
            </w:r>
          </w:p>
        </w:tc>
        <w:tc>
          <w:tcPr>
            <w:tcW w:type="dxa" w:w="1265"/>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27,3</w:t>
            </w:r>
          </w:p>
        </w:tc>
        <w:tc>
          <w:tcPr>
            <w:tcW w:type="dxa" w:w="1265"/>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42,1</w:t>
            </w:r>
          </w:p>
        </w:tc>
        <w:tc>
          <w:tcPr>
            <w:tcW w:type="dxa" w:w="1265"/>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5,8</w:t>
            </w:r>
          </w:p>
        </w:tc>
      </w:tr>
      <w:tr>
        <w:tc>
          <w:tcPr>
            <w:tcW w:type="dxa" w:w="1265"/>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Moderat (45-55%)</w:t>
            </w:r>
          </w:p>
        </w:tc>
        <w:tc>
          <w:tcPr>
            <w:tcW w:type="dxa" w:w="1265"/>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1,8</w:t>
            </w:r>
          </w:p>
        </w:tc>
        <w:tc>
          <w:tcPr>
            <w:tcW w:type="dxa" w:w="1265"/>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10,2</w:t>
            </w:r>
          </w:p>
        </w:tc>
        <w:tc>
          <w:tcPr>
            <w:tcW w:type="dxa" w:w="1265"/>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12,3</w:t>
            </w:r>
          </w:p>
        </w:tc>
        <w:tc>
          <w:tcPr>
            <w:tcW w:type="dxa" w:w="1265"/>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24,9</w:t>
            </w:r>
          </w:p>
        </w:tc>
        <w:tc>
          <w:tcPr>
            <w:tcW w:type="dxa" w:w="1265"/>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38,6</w:t>
            </w:r>
          </w:p>
        </w:tc>
        <w:tc>
          <w:tcPr>
            <w:tcW w:type="dxa" w:w="1265"/>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67,4</w:t>
            </w:r>
          </w:p>
        </w:tc>
        <w:tc>
          <w:tcPr>
            <w:tcW w:type="dxa" w:w="1265"/>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8,4</w:t>
            </w:r>
          </w:p>
        </w:tc>
      </w:tr>
      <w:tr>
        <w:tc>
          <w:tcPr>
            <w:tcW w:type="dxa" w:w="1265"/>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Intensif (75-85%)</w:t>
            </w:r>
          </w:p>
        </w:tc>
        <w:tc>
          <w:tcPr>
            <w:tcW w:type="dxa" w:w="1265"/>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2,1</w:t>
            </w:r>
          </w:p>
        </w:tc>
        <w:tc>
          <w:tcPr>
            <w:tcW w:type="dxa" w:w="1265"/>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14,7</w:t>
            </w:r>
          </w:p>
        </w:tc>
        <w:tc>
          <w:tcPr>
            <w:tcW w:type="dxa" w:w="1265"/>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17,8</w:t>
            </w:r>
          </w:p>
        </w:tc>
        <w:tc>
          <w:tcPr>
            <w:tcW w:type="dxa" w:w="1265"/>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41,2</w:t>
            </w:r>
          </w:p>
        </w:tc>
        <w:tc>
          <w:tcPr>
            <w:tcW w:type="dxa" w:w="1265"/>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78,9</w:t>
            </w:r>
          </w:p>
        </w:tc>
        <w:tc>
          <w:tcPr>
            <w:tcW w:type="dxa" w:w="1265"/>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312,4</w:t>
            </w:r>
          </w:p>
        </w:tc>
        <w:tc>
          <w:tcPr>
            <w:tcW w:type="dxa" w:w="1265"/>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19,7</w:t>
            </w:r>
          </w:p>
        </w:tc>
      </w:tr>
    </w:tbl>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 xml:space="preserve">Kurva idle dan moderat (Gbr. 12) mengelompok di bawah 40 ms. Kurva beban intensif mencapai 312,4 ms, namun 99% sampel masih di bawah 78,9 ms. Komponen delay pipeline: penangkapan kamera </w:t>
      </w:r>
      <w:r>
        <w:rPr>
          <w:rFonts w:ascii="Cambria Math" w:hAnsi="Cambria Math" w:cs="Cambria Math" w:eastAsia="Cambria Math"/>
          <w:i/>
          <w:sz w:val="20"/>
        </w:rPr>
        <w:t>T_(cap) ≈ 3,2</w:t>
      </w:r>
      <w:r>
        <w:rPr>
          <w:rFonts w:ascii="Times New Roman" w:hAnsi="Times New Roman" w:cs="Times New Roman" w:eastAsia="Times New Roman"/>
          <w:b w:val="0"/>
          <w:i w:val="0"/>
          <w:sz w:val="20"/>
        </w:rPr>
        <w:t xml:space="preserve"> ms, inferensi MediaPipe </w:t>
      </w:r>
      <w:r>
        <w:rPr>
          <w:rFonts w:ascii="Cambria Math" w:hAnsi="Cambria Math" w:cs="Cambria Math" w:eastAsia="Cambria Math"/>
          <w:i/>
          <w:sz w:val="20"/>
        </w:rPr>
        <w:t>T_(inf) ≈ 18,4</w:t>
      </w:r>
      <w:r>
        <w:rPr>
          <w:rFonts w:ascii="Times New Roman" w:hAnsi="Times New Roman" w:cs="Times New Roman" w:eastAsia="Times New Roman"/>
          <w:b w:val="0"/>
          <w:i w:val="0"/>
          <w:sz w:val="20"/>
        </w:rPr>
        <w:t xml:space="preserve"> ms, jendela debounce </w:t>
      </w:r>
      <w:r>
        <w:rPr>
          <w:rFonts w:ascii="Cambria Math" w:hAnsi="Cambria Math" w:cs="Cambria Math" w:eastAsia="Cambria Math"/>
          <w:i/>
          <w:sz w:val="20"/>
        </w:rPr>
        <w:t>T_(deb) ≈ 83,3</w:t>
      </w:r>
      <w:r>
        <w:rPr>
          <w:rFonts w:ascii="Times New Roman" w:hAnsi="Times New Roman" w:cs="Times New Roman" w:eastAsia="Times New Roman"/>
          <w:b w:val="0"/>
          <w:i w:val="0"/>
          <w:sz w:val="20"/>
        </w:rPr>
        <w:t xml:space="preserve"> ms, round-trip Modbus </w:t>
      </w:r>
      <w:r>
        <w:rPr>
          <w:rFonts w:ascii="Cambria Math" w:hAnsi="Cambria Math" w:cs="Cambria Math" w:eastAsia="Cambria Math"/>
          <w:i/>
          <w:sz w:val="20"/>
        </w:rPr>
        <w:t>T_(modbus) ≈ 12,3</w:t>
      </w:r>
      <w:r>
        <w:rPr>
          <w:rFonts w:ascii="Times New Roman" w:hAnsi="Times New Roman" w:cs="Times New Roman" w:eastAsia="Times New Roman"/>
          <w:b w:val="0"/>
          <w:i w:val="0"/>
          <w:sz w:val="20"/>
        </w:rPr>
        <w:t xml:space="preserve"> ms.</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pStyle w:val="Heading2"/>
        <w:keepNext/>
        <w:numPr>
          <w:ilvl w:val="0"/>
          <w:numId w:val="0"/>
        </w:numPr>
        <w:spacing w:before="120" w:after="60"/>
        <w:ind w:firstLine="0"/>
        <w:jc w:val="left"/>
      </w:pPr>
      <w:r>
        <w:rPr>
          <w:rFonts w:ascii="Times New Roman" w:hAnsi="Times New Roman" w:cs="Times New Roman" w:eastAsia="Times New Roman"/>
          <w:i/>
          <w:color w:val="000000"/>
          <w:sz w:val="20"/>
        </w:rPr>
        <w:t>C. Uji Ketahanan 24 Jam</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pStyle w:val="tablehead"/>
        <w:keepNext/>
        <w:numPr>
          <w:ilvl w:val="0"/>
          <w:numId w:val="0"/>
        </w:numPr>
        <w:spacing w:before="160" w:after="80"/>
        <w:ind w:left="0" w:firstLine="0"/>
        <w:jc w:val="center"/>
      </w:pPr>
      <w:r>
        <w:rPr>
          <w:rFonts w:ascii="Times New Roman" w:hAnsi="Times New Roman" w:cs="Times New Roman" w:eastAsia="Times New Roman"/>
          <w:color w:val="000000"/>
          <w:sz w:val="16"/>
        </w:rPr>
        <w:t>TABLE V</w:t>
      </w:r>
      <w:r>
        <w:rPr>
          <w:rFonts w:ascii="Times New Roman" w:hAnsi="Times New Roman" w:cs="Times New Roman" w:eastAsia="Times New Roman"/>
          <w:sz w:val="16"/>
        </w:rPr>
        <w:br/>
      </w:r>
      <w:r>
        <w:rPr>
          <w:rFonts w:ascii="Times New Roman" w:hAnsi="Times New Roman" w:cs="Times New Roman" w:eastAsia="Times New Roman"/>
          <w:b w:val="0"/>
          <w:i/>
          <w:sz w:val="16"/>
        </w:rPr>
        <w:t>HASIL UJI KETAHANAN 24 JAM</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60"/>
        <w:gridCol w:w="5060"/>
      </w:tblGrid>
      <w:tr>
        <w:tc>
          <w:tcPr>
            <w:tcW w:type="dxa" w:w="5060"/>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Metrik</w:t>
            </w:r>
          </w:p>
        </w:tc>
        <w:tc>
          <w:tcPr>
            <w:tcW w:type="dxa" w:w="5060"/>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Hasil</w:t>
            </w:r>
          </w:p>
        </w:tc>
      </w:tr>
      <w:tr>
        <w:tc>
          <w:tcPr>
            <w:tcW w:type="dxa" w:w="506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Total Transaksi Modbus (FC1 + FC15)</w:t>
            </w:r>
          </w:p>
        </w:tc>
        <w:tc>
          <w:tcPr>
            <w:tcW w:type="dxa" w:w="506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872.640</w:t>
            </w:r>
          </w:p>
        </w:tc>
      </w:tr>
      <w:tr>
        <w:tc>
          <w:tcPr>
            <w:tcW w:type="dxa" w:w="506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Transaksi Berhasil</w:t>
            </w:r>
          </w:p>
        </w:tc>
        <w:tc>
          <w:tcPr>
            <w:tcW w:type="dxa" w:w="506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872.000</w:t>
            </w:r>
          </w:p>
        </w:tc>
      </w:tr>
      <w:tr>
        <w:tc>
          <w:tcPr>
            <w:tcW w:type="dxa" w:w="506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Tingkat Keberhasilan Tulis FC15</w:t>
            </w:r>
          </w:p>
        </w:tc>
        <w:tc>
          <w:tcPr>
            <w:tcW w:type="dxa" w:w="506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99,97%</w:t>
            </w:r>
          </w:p>
        </w:tc>
      </w:tr>
      <w:tr>
        <w:tc>
          <w:tcPr>
            <w:tcW w:type="dxa" w:w="506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Tingkat Keberhasilan Baca FC1</w:t>
            </w:r>
          </w:p>
        </w:tc>
        <w:tc>
          <w:tcPr>
            <w:tcW w:type="dxa" w:w="506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99,92%</w:t>
            </w:r>
          </w:p>
        </w:tc>
      </w:tr>
      <w:tr>
        <w:tc>
          <w:tcPr>
            <w:tcW w:type="dxa" w:w="506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MTBF (Mean Time Between Failures)</w:t>
            </w:r>
          </w:p>
        </w:tc>
        <w:tc>
          <w:tcPr>
            <w:tcW w:type="dxa" w:w="506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8,2 jam</w:t>
            </w:r>
          </w:p>
        </w:tc>
      </w:tr>
      <w:tr>
        <w:tc>
          <w:tcPr>
            <w:tcW w:type="dxa" w:w="506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Pertumbuhan Memori</w:t>
            </w:r>
          </w:p>
        </w:tc>
        <w:tc>
          <w:tcPr>
            <w:tcW w:type="dxa" w:w="506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12,4 MB</w:t>
            </w:r>
          </w:p>
        </w:tc>
      </w:tr>
      <w:tr>
        <w:tc>
          <w:tcPr>
            <w:tcW w:type="dxa" w:w="5060"/>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Frame Rate (target 30 fps)</w:t>
            </w:r>
          </w:p>
        </w:tc>
        <w:tc>
          <w:tcPr>
            <w:tcW w:type="dxa" w:w="5060"/>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29,7 fps</w:t>
            </w:r>
          </w:p>
        </w:tc>
      </w:tr>
    </w:tbl>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Tingkat keberhasilan (Gbr. 14) bertahan di atas 99,7% untuk FC1 maupun FC15, dengan penurunan di sekitar jam ke-7, 15, dan 22. Ketiga penurunan sesuai dengan tiga kegagalan komunikasi dalam log, konsisten dengan MTBF 8,2 jam.</w:t>
      </w:r>
    </w:p>
    <w:p>
      <w:pPr>
        <w:pStyle w:val="Heading1"/>
        <w:keepNext/>
        <w:numPr>
          <w:ilvl w:val="0"/>
          <w:numId w:val="0"/>
        </w:numPr>
        <w:spacing w:before="160" w:after="80"/>
        <w:ind w:firstLine="0"/>
        <w:jc w:val="center"/>
      </w:pPr>
      <w:r>
        <w:rPr>
          <w:rFonts w:ascii="Times New Roman" w:hAnsi="Times New Roman" w:cs="Times New Roman" w:eastAsia="Times New Roman"/>
          <w:color w:val="000000"/>
          <w:sz w:val="20"/>
        </w:rPr>
        <w:t>V. KESIMPULAN</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pStyle w:val="Heading1"/>
        <w:keepNext/>
        <w:numPr>
          <w:ilvl w:val="0"/>
          <w:numId w:val="0"/>
        </w:numPr>
        <w:spacing w:before="160" w:after="80"/>
        <w:ind w:firstLine="0"/>
        <w:jc w:val="center"/>
      </w:pPr>
      <w:r>
        <w:rPr>
          <w:rFonts w:ascii="Times New Roman" w:hAnsi="Times New Roman" w:cs="Times New Roman" w:eastAsia="Times New Roman"/>
          <w:color w:val="000000"/>
          <w:sz w:val="20"/>
        </w:rPr>
        <w:t>References</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[1] </w:t>
      </w:r>
      <w:r>
        <w:rPr>
          <w:rFonts w:ascii="Times New Roman" w:hAnsi="Times New Roman" w:cs="Times New Roman" w:eastAsia="Times New Roman"/>
          <w:b w:val="0"/>
          <w:i w:val="0"/>
          <w:sz w:val="16"/>
        </w:rPr>
        <w:t>C. Lugaresi et al., "MediaPipe: A Framework for Building Perception Pipelines," preprint arXiv:1906.08172, Jun. 2019.</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[2] </w:t>
      </w:r>
      <w:r>
        <w:rPr>
          <w:rFonts w:ascii="Times New Roman" w:hAnsi="Times New Roman" w:cs="Times New Roman" w:eastAsia="Times New Roman"/>
          <w:b w:val="0"/>
          <w:i w:val="0"/>
          <w:sz w:val="16"/>
        </w:rPr>
        <w:t>S. Vijayachitra, K. Prabhu, S. Agilan, M. Ahamed Salih, and S. Madhumitha, "Advanced PLC-based Automation for Converging System and Warehousing," in Proc. 5th Int. Conf. Trends Mater. Sci. Invent. Mater. (ICTMIM), 2025, pp. 1–6, doi: 10.1109/ICTMIM65579.2025.10988042.</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[3] </w:t>
      </w:r>
      <w:r>
        <w:rPr>
          <w:rFonts w:ascii="Times New Roman" w:hAnsi="Times New Roman" w:cs="Times New Roman" w:eastAsia="Times New Roman"/>
          <w:b w:val="0"/>
          <w:i w:val="0"/>
          <w:sz w:val="16"/>
        </w:rPr>
        <w:t>Yashika, A. Patra, and N. S. Das, "Human-Machine Interaction in Industrial Automation: Gesture-Based PLC Control," in Proc. 15th Int. Conf. Comput. Commun. Netw. Technol. (ICCCNT), 2024, pp. 1–7, doi: 10.1109/ICCCNT61001.2024.10726180.</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[4] </w:t>
      </w:r>
      <w:r>
        <w:rPr>
          <w:rFonts w:ascii="Times New Roman" w:hAnsi="Times New Roman" w:cs="Times New Roman" w:eastAsia="Times New Roman"/>
          <w:b w:val="0"/>
          <w:i w:val="0"/>
          <w:sz w:val="16"/>
        </w:rPr>
        <w:t>Y. Li, J. Zhang, Y. Xiong, H. Wu, and F. Yang, "Design of Industrial Equipment Remote Control System Based on Python," in Proc. 8th Int. Conf. Electron. Technol. (ICET), 2025, pp. 1–6, doi: 10.1109/ICET64964.2025.11103226.</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[5] </w:t>
      </w:r>
      <w:r>
        <w:rPr>
          <w:rFonts w:ascii="Times New Roman" w:hAnsi="Times New Roman" w:cs="Times New Roman" w:eastAsia="Times New Roman"/>
          <w:b w:val="0"/>
          <w:i w:val="0"/>
          <w:sz w:val="16"/>
        </w:rPr>
        <w:t>M. Jamage, S. Rane, J. Raktate, and N. Chavan, "Real-Time Hand Gesture Recognition Using CNN-LSTM for Gesture-to-Voice and Device Control," in Proc. 9th Int. Conf. Comput. Commun. Control Autom. (ICCUBEA), 2025, pp. 1–7, doi: 10.1109/ICCUBEA65967.2025.11284053.</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[6] </w:t>
      </w:r>
      <w:r>
        <w:rPr>
          <w:rFonts w:ascii="Times New Roman" w:hAnsi="Times New Roman" w:cs="Times New Roman" w:eastAsia="Times New Roman"/>
          <w:b w:val="0"/>
          <w:i w:val="0"/>
          <w:sz w:val="16"/>
        </w:rPr>
        <w:t>C. Nikolajew and H. Eichelberger, "Industry 4.0 Connectors – A Performance Experiment with Modbus/TCP," preprint arXiv:2410.15813, Oct. 2024.</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[7] </w:t>
      </w:r>
      <w:r>
        <w:rPr>
          <w:rFonts w:ascii="Times New Roman" w:hAnsi="Times New Roman" w:cs="Times New Roman" w:eastAsia="Times New Roman"/>
          <w:b w:val="0"/>
          <w:i w:val="0"/>
          <w:sz w:val="16"/>
        </w:rPr>
        <w:t>E. Tapia, L. Sastoque-Pinilla, U. Lopez-Novoa, I. Bediaga, and N. López de Lacalle, "Assessing Industrial Communication Protocols to Bridge the Gap between Machine Tools and Software Monitoring," Sensors, vol. 23, no. 12, art. 5694, 2023, doi: 10.3390/s23125694.</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[8] </w:t>
      </w:r>
      <w:r>
        <w:rPr>
          <w:rFonts w:ascii="Times New Roman" w:hAnsi="Times New Roman" w:cs="Times New Roman" w:eastAsia="Times New Roman"/>
          <w:b w:val="0"/>
          <w:i w:val="0"/>
          <w:sz w:val="16"/>
        </w:rPr>
        <w:t>Y. K. Yep, Y. H. Goh, T. H. Chiew, K. M. Chin, J. J. Ong, and K. S. Eu, "AI-Driven Hand Gesture Recognition for Robotic Arm Control," in Proc. 5th Int. Conf. Artif. Intell. Robot. Commun. (ICAIRC), 2025, pp. 1–5, doi: 10.1109/ICAIRC68035.2025.11384947.</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[9] </w:t>
      </w:r>
      <w:r>
        <w:rPr>
          <w:rFonts w:ascii="Times New Roman" w:hAnsi="Times New Roman" w:cs="Times New Roman" w:eastAsia="Times New Roman"/>
          <w:b w:val="0"/>
          <w:i w:val="0"/>
          <w:sz w:val="16"/>
        </w:rPr>
        <w:t>Qurrat-ul-Ain, S. N. Talpur, N. U. Z. Laghari, and M. S. Rattar, "Machine Control Using Hand Gesture Recognition," Gyancity J. Electron. Comput. Sci., vol. 5, no. 1, pp. 19–28, Mar. 2020, doi: 10.21058/gjecs.2020.51003.</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[10] </w:t>
      </w:r>
      <w:r>
        <w:rPr>
          <w:rFonts w:ascii="Times New Roman" w:hAnsi="Times New Roman" w:cs="Times New Roman" w:eastAsia="Times New Roman"/>
          <w:b w:val="0"/>
          <w:i w:val="0"/>
          <w:sz w:val="16"/>
        </w:rPr>
        <w:t>P. Nguyen Huu and T. Phung Ngoc, "Hand Gesture Recognition Algorithm Using SVM and HOG Model for Control of Robotic System," J. Robot., vol. 2021, art. 3986497, 2021, doi: 10.1155/2021/3986497.</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[11] </w:t>
      </w:r>
      <w:r>
        <w:rPr>
          <w:rFonts w:ascii="Times New Roman" w:hAnsi="Times New Roman" w:cs="Times New Roman" w:eastAsia="Times New Roman"/>
          <w:b w:val="0"/>
          <w:i w:val="0"/>
          <w:sz w:val="16"/>
        </w:rPr>
        <w:t>M. Shaikh, P. Shah, and R. Sekhar, "Communication Protocols in Industry 4.0," in Proc. Int. Conf. Sustain. Emerg. Innov. Eng. Technol. (ICSEIET), 2023, pp. 1–6, doi: 10.1109/ICSEIET58677.2023.10303397.</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[12] </w:t>
      </w:r>
      <w:r>
        <w:rPr>
          <w:rFonts w:ascii="Times New Roman" w:hAnsi="Times New Roman" w:cs="Times New Roman" w:eastAsia="Times New Roman"/>
          <w:b w:val="0"/>
          <w:i w:val="0"/>
          <w:sz w:val="16"/>
        </w:rPr>
        <w:t>M. Bensaadallah, N. Ghoggali, L. Saidi, and W. Ghoggali, "Deep Learning-Based Real-Time Hand Landmark Recognition with MediaPipe for R12 Robot Control," in Proc. Int. Conf. Elect. Eng. Adv. Technol. (ICEEAT), 2023, pp. 1–6, doi: 10.1109/ICEEAT60471.2023.10426264.</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[13] </w:t>
      </w:r>
      <w:r>
        <w:rPr>
          <w:rFonts w:ascii="Times New Roman" w:hAnsi="Times New Roman" w:cs="Times New Roman" w:eastAsia="Times New Roman"/>
          <w:b w:val="0"/>
          <w:i w:val="0"/>
          <w:sz w:val="16"/>
        </w:rPr>
        <w:t>M. Peral, A. Sanfeliu, and A. Garrell, "Efficient Hand Gesture Recognition for Human-Robot Interaction," IEEE Robot. Autom. Lett., vol. 7, no. 4, pp. 10272–10279, Oct. 2022, doi: 10.1109/LRA.2022.3193251.</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[14] </w:t>
      </w:r>
      <w:r>
        <w:rPr>
          <w:rFonts w:ascii="Times New Roman" w:hAnsi="Times New Roman" w:cs="Times New Roman" w:eastAsia="Times New Roman"/>
          <w:b w:val="0"/>
          <w:i w:val="0"/>
          <w:sz w:val="16"/>
        </w:rPr>
        <w:t>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[15] </w:t>
      </w:r>
      <w:r>
        <w:rPr>
          <w:rFonts w:ascii="Times New Roman" w:hAnsi="Times New Roman" w:cs="Times New Roman" w:eastAsia="Times New Roman"/>
          <w:b w:val="0"/>
          <w:i w:val="0"/>
          <w:sz w:val="16"/>
        </w:rPr>
        <w:t>B. Kwolek, "Continuous Hand Gesture Recognition for Human-Robot Collaborative Assembly," in Proc. IEEE/CVF Int. Conf. Comput. Vis. Workshops (ICCVW), 2023, pp. 1992–1999, doi: 10.1109/ICCVW60793.2023.00214.</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[16] </w:t>
      </w:r>
      <w:r>
        <w:rPr>
          <w:rFonts w:ascii="Times New Roman" w:hAnsi="Times New Roman" w:cs="Times New Roman" w:eastAsia="Times New Roman"/>
          <w:b w:val="0"/>
          <w:i w:val="0"/>
          <w:sz w:val="16"/>
        </w:rPr>
        <w:t>Y. Wang, D. Peng, E. Qi, and H. Wang, "Modbus/TCP Data Acquisition System Based on Industrial Ethernet Technology," in Proc. 4th IEEE Int. Conf. Elect. Eng. Control Technol. (CEECT), 2022, pp. 1–5, doi: 10.1109/CEECT55960.2022.10030131.</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[17] </w:t>
      </w:r>
      <w:r>
        <w:rPr>
          <w:rFonts w:ascii="Times New Roman" w:hAnsi="Times New Roman" w:cs="Times New Roman" w:eastAsia="Times New Roman"/>
          <w:b w:val="0"/>
          <w:i w:val="0"/>
          <w:sz w:val="16"/>
        </w:rPr>
        <w:t>H. Benyezza, M. Bouhedda, I. Kratbi, R. Kara, Y. Aniba, and A. Boukhtache, "Automated Fruits Inspection and Sorting Smart System for Industry 4.0 Based on OpenCV and PLC," in Proc. 2nd Int. Conf. Electron. Energy Meas. (IC2EM), 2023, pp. 1–6, doi: 10.1109/IC2EM59347.2023.10419533.</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[18] </w:t>
      </w:r>
      <w:r>
        <w:rPr>
          <w:rFonts w:ascii="Times New Roman" w:hAnsi="Times New Roman" w:cs="Times New Roman" w:eastAsia="Times New Roman"/>
          <w:b w:val="0"/>
          <w:i w:val="0"/>
          <w:sz w:val="16"/>
        </w:rPr>
        <w:t>C. D. Sawarkar, V. Vaidya, V. Sharma, S. Sheikh, A. Neware, and P. Chaudhari, "AI Based Real Time Hand Gesture Recognition System," Int. Res. J. Modernization Eng. Technol. Sci., vol. 6, no. 1, pp. 1–8, Jan. 2024, doi: 10.56726/IRJMETS48782.</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[19] </w:t>
      </w:r>
      <w:r>
        <w:rPr>
          <w:rFonts w:ascii="Times New Roman" w:hAnsi="Times New Roman" w:cs="Times New Roman" w:eastAsia="Times New Roman"/>
          <w:b w:val="0"/>
          <w:i w:val="0"/>
          <w:sz w:val="16"/>
        </w:rPr>
        <w:t>R. Tchantchane, H. Zhou, S. Zhang, and G. Alici, "A Review of Hand Gesture Recognition Systems Based on Noninvasive Wearable Sensors," Adv. Intell. Syst., vol. 5, no. 2, art. 2300207, 2023, doi: 10.1002/aisy.202300207.</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[20] </w:t>
      </w:r>
      <w:r>
        <w:rPr>
          <w:rFonts w:ascii="Times New Roman" w:hAnsi="Times New Roman" w:cs="Times New Roman" w:eastAsia="Times New Roman"/>
          <w:b w:val="0"/>
          <w:i w:val="0"/>
          <w:sz w:val="16"/>
        </w:rPr>
        <w:t>Schneider Electric, "Modicon M221 Logic Controller – Programming Guide," Tech. Rep., ver. 1.7, 2022. [Online]. Available: https://www.schneider-electric.com</w:t>
      </w:r>
    </w:p>
    <w:p>
      <w:pPr>
        <w:sectPr>
          <w:type w:val="continuous"/>
          <w:pgSz w:w="11906" w:h="16838"/>
          <w:pgMar w:top="1080" w:right="907" w:bottom="1440" w:left="907" w:header="720" w:footer="720" w:gutter="0"/>
          <w:cols w:num="2" w:space="360"/>
        </w:sectPr>
      </w:pPr>
    </w:p>
    <w:p>
      <w:r>
        <w:t xml:space="preserve">​</w:t>
      </w:r>
    </w:p>
    <w:sectPr>
      <w:pgSz w:w="11906" w:h="16838"/>
      <w:pgMar w:top="1080" w:right="893" w:bottom="1440" w:left="893" w:header="720" w:footer="720" w:gutter="0"/>
      <w:cols w:num="1"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63B5F" w14:textId="77777777" w:rsidR="000A3FC0" w:rsidRDefault="000A3FC0" w:rsidP="001A3B3D">
      <w:r>
        <w:separator/>
      </w:r>
    </w:p>
  </w:endnote>
  <w:endnote w:type="continuationSeparator" w:id="0">
    <w:p w14:paraId="7218BE92" w14:textId="77777777" w:rsidR="000A3FC0" w:rsidRDefault="000A3FC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055E0"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02AB4" w14:textId="77777777" w:rsidR="000A3FC0" w:rsidRDefault="000A3FC0" w:rsidP="001A3B3D">
      <w:r>
        <w:separator/>
      </w:r>
    </w:p>
  </w:footnote>
  <w:footnote w:type="continuationSeparator" w:id="0">
    <w:p w14:paraId="46290D02" w14:textId="77777777" w:rsidR="000A3FC0" w:rsidRDefault="000A3FC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81A9A"/>
    <w:multiLevelType w:val="hybridMultilevel"/>
    <w:tmpl w:val="5FFE0D7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514EB882"/>
    <w:lvl w:ilvl="0" w:tplc="E8104FB8">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9F18EE9E"/>
    <w:lvl w:ilvl="0">
      <w:start w:val="1"/>
      <w:numFmt w:val="upperRoman"/>
      <w:pStyle w:val="tablehead"/>
      <w:lvlText w:val="TABLE %1. "/>
      <w:lvlJc w:val="left"/>
      <w:pPr>
        <w:tabs>
          <w:tab w:val="num" w:pos="3915"/>
        </w:tabs>
      </w:pPr>
      <w:rPr>
        <w:rFonts w:ascii="Times New Roman" w:hAnsi="Times New Roman" w:cs="Times New Roman" w:hint="default"/>
        <w:b w:val="0"/>
        <w:bCs w:val="0"/>
        <w:i w:val="0"/>
        <w:iCs w:val="0"/>
        <w:sz w:val="16"/>
        <w:szCs w:val="16"/>
      </w:rPr>
    </w:lvl>
  </w:abstractNum>
  <w:num w:numId="1" w16cid:durableId="1658224238">
    <w:abstractNumId w:val="15"/>
  </w:num>
  <w:num w:numId="2" w16cid:durableId="655306232">
    <w:abstractNumId w:val="20"/>
  </w:num>
  <w:num w:numId="3" w16cid:durableId="1197622151">
    <w:abstractNumId w:val="14"/>
  </w:num>
  <w:num w:numId="4" w16cid:durableId="1137067128">
    <w:abstractNumId w:val="17"/>
  </w:num>
  <w:num w:numId="5" w16cid:durableId="1816946048">
    <w:abstractNumId w:val="17"/>
  </w:num>
  <w:num w:numId="6" w16cid:durableId="623388070">
    <w:abstractNumId w:val="17"/>
  </w:num>
  <w:num w:numId="7" w16cid:durableId="2116557237">
    <w:abstractNumId w:val="17"/>
  </w:num>
  <w:num w:numId="8" w16cid:durableId="1909725454">
    <w:abstractNumId w:val="19"/>
  </w:num>
  <w:num w:numId="9" w16cid:durableId="1365061345">
    <w:abstractNumId w:val="21"/>
  </w:num>
  <w:num w:numId="10" w16cid:durableId="591665080">
    <w:abstractNumId w:val="16"/>
  </w:num>
  <w:num w:numId="11" w16cid:durableId="872114860">
    <w:abstractNumId w:val="13"/>
  </w:num>
  <w:num w:numId="12" w16cid:durableId="121076144">
    <w:abstractNumId w:val="12"/>
  </w:num>
  <w:num w:numId="13" w16cid:durableId="469640226">
    <w:abstractNumId w:val="0"/>
  </w:num>
  <w:num w:numId="14" w16cid:durableId="1773747208">
    <w:abstractNumId w:val="10"/>
  </w:num>
  <w:num w:numId="15" w16cid:durableId="846559133">
    <w:abstractNumId w:val="8"/>
  </w:num>
  <w:num w:numId="16" w16cid:durableId="477959281">
    <w:abstractNumId w:val="7"/>
  </w:num>
  <w:num w:numId="17" w16cid:durableId="1503010286">
    <w:abstractNumId w:val="6"/>
  </w:num>
  <w:num w:numId="18" w16cid:durableId="1638755453">
    <w:abstractNumId w:val="5"/>
  </w:num>
  <w:num w:numId="19" w16cid:durableId="1258051555">
    <w:abstractNumId w:val="9"/>
  </w:num>
  <w:num w:numId="20" w16cid:durableId="1971668670">
    <w:abstractNumId w:val="4"/>
  </w:num>
  <w:num w:numId="21" w16cid:durableId="911429801">
    <w:abstractNumId w:val="3"/>
  </w:num>
  <w:num w:numId="22" w16cid:durableId="729578614">
    <w:abstractNumId w:val="2"/>
  </w:num>
  <w:num w:numId="23" w16cid:durableId="481821412">
    <w:abstractNumId w:val="1"/>
  </w:num>
  <w:num w:numId="24" w16cid:durableId="547230068">
    <w:abstractNumId w:val="18"/>
  </w:num>
  <w:num w:numId="25" w16cid:durableId="14004421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4781E"/>
    <w:rsid w:val="0008758A"/>
    <w:rsid w:val="000A3FC0"/>
    <w:rsid w:val="000C1E68"/>
    <w:rsid w:val="001619CB"/>
    <w:rsid w:val="001A2EFD"/>
    <w:rsid w:val="001A3B3D"/>
    <w:rsid w:val="001B67DC"/>
    <w:rsid w:val="002254A9"/>
    <w:rsid w:val="00233D97"/>
    <w:rsid w:val="002347A2"/>
    <w:rsid w:val="002850E3"/>
    <w:rsid w:val="002F6032"/>
    <w:rsid w:val="0031336D"/>
    <w:rsid w:val="00354FCF"/>
    <w:rsid w:val="003A19E2"/>
    <w:rsid w:val="003B4E04"/>
    <w:rsid w:val="003F5A08"/>
    <w:rsid w:val="00417DCC"/>
    <w:rsid w:val="00420716"/>
    <w:rsid w:val="004325FB"/>
    <w:rsid w:val="004432BA"/>
    <w:rsid w:val="0044407E"/>
    <w:rsid w:val="00447BB9"/>
    <w:rsid w:val="0046031D"/>
    <w:rsid w:val="00463FF7"/>
    <w:rsid w:val="00472254"/>
    <w:rsid w:val="004D72B5"/>
    <w:rsid w:val="005003A8"/>
    <w:rsid w:val="00515713"/>
    <w:rsid w:val="00551B7F"/>
    <w:rsid w:val="0056610F"/>
    <w:rsid w:val="00575BCA"/>
    <w:rsid w:val="005A1FBA"/>
    <w:rsid w:val="005A68D1"/>
    <w:rsid w:val="005B0344"/>
    <w:rsid w:val="005B520E"/>
    <w:rsid w:val="005E2800"/>
    <w:rsid w:val="00605825"/>
    <w:rsid w:val="00645D22"/>
    <w:rsid w:val="00651A08"/>
    <w:rsid w:val="00654204"/>
    <w:rsid w:val="00670434"/>
    <w:rsid w:val="006B6B66"/>
    <w:rsid w:val="006C2F6C"/>
    <w:rsid w:val="006F6D3D"/>
    <w:rsid w:val="00715BEA"/>
    <w:rsid w:val="0073215A"/>
    <w:rsid w:val="00740EEA"/>
    <w:rsid w:val="00794804"/>
    <w:rsid w:val="007B33F1"/>
    <w:rsid w:val="007B6DDA"/>
    <w:rsid w:val="007C0308"/>
    <w:rsid w:val="007C2FF2"/>
    <w:rsid w:val="007D6232"/>
    <w:rsid w:val="007F1F99"/>
    <w:rsid w:val="007F768F"/>
    <w:rsid w:val="0080791D"/>
    <w:rsid w:val="00836367"/>
    <w:rsid w:val="00873603"/>
    <w:rsid w:val="008A2C7D"/>
    <w:rsid w:val="008C4B23"/>
    <w:rsid w:val="008F6E2C"/>
    <w:rsid w:val="00903319"/>
    <w:rsid w:val="00926D8C"/>
    <w:rsid w:val="009303D9"/>
    <w:rsid w:val="00933C64"/>
    <w:rsid w:val="00972203"/>
    <w:rsid w:val="009A6D89"/>
    <w:rsid w:val="009E6E1A"/>
    <w:rsid w:val="009F1D79"/>
    <w:rsid w:val="00A059B3"/>
    <w:rsid w:val="00A55FA1"/>
    <w:rsid w:val="00AD0399"/>
    <w:rsid w:val="00AE3409"/>
    <w:rsid w:val="00B11A60"/>
    <w:rsid w:val="00B22613"/>
    <w:rsid w:val="00B61612"/>
    <w:rsid w:val="00B768D1"/>
    <w:rsid w:val="00BA0172"/>
    <w:rsid w:val="00BA1025"/>
    <w:rsid w:val="00BC3420"/>
    <w:rsid w:val="00BD670B"/>
    <w:rsid w:val="00BE7D3C"/>
    <w:rsid w:val="00BF5FF6"/>
    <w:rsid w:val="00C0207F"/>
    <w:rsid w:val="00C16117"/>
    <w:rsid w:val="00C3075A"/>
    <w:rsid w:val="00C919A4"/>
    <w:rsid w:val="00CA4392"/>
    <w:rsid w:val="00CA46A2"/>
    <w:rsid w:val="00CC393F"/>
    <w:rsid w:val="00CC668F"/>
    <w:rsid w:val="00D2176E"/>
    <w:rsid w:val="00D632BE"/>
    <w:rsid w:val="00D72D06"/>
    <w:rsid w:val="00D7522C"/>
    <w:rsid w:val="00D7536F"/>
    <w:rsid w:val="00D76668"/>
    <w:rsid w:val="00E07383"/>
    <w:rsid w:val="00E165BC"/>
    <w:rsid w:val="00E448D7"/>
    <w:rsid w:val="00E61E12"/>
    <w:rsid w:val="00E7596C"/>
    <w:rsid w:val="00E878F2"/>
    <w:rsid w:val="00ED0149"/>
    <w:rsid w:val="00EF7DE3"/>
    <w:rsid w:val="00F03103"/>
    <w:rsid w:val="00F271DE"/>
    <w:rsid w:val="00F627DA"/>
    <w:rsid w:val="00F7288F"/>
    <w:rsid w:val="00F847A6"/>
    <w:rsid w:val="00F9441B"/>
    <w:rsid w:val="00FA4C32"/>
    <w:rsid w:val="00FC6FA0"/>
    <w:rsid w:val="00FE7114"/>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012960"/>
  <w15:chartTrackingRefBased/>
  <w15:docId w15:val="{41D337AA-A765-4A38-B306-BBC807318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zh-CN" w:bidi="th-TH"/>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bidi="ar-SA"/>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bstract">
    <w:name w:val="Abstract"/>
    <w:rsid w:val="00972203"/>
    <w:pPr>
      <w:spacing w:after="200"/>
      <w:ind w:firstLine="272"/>
      <w:jc w:val="both"/>
    </w:pPr>
    <w:rPr>
      <w:b/>
      <w:bCs/>
      <w:sz w:val="18"/>
      <w:szCs w:val="18"/>
      <w:lang w:val="en-US" w:eastAsia="en-US" w:bidi="ar-SA"/>
    </w:rPr>
  </w:style>
  <w:style w:type="paragraph" w:customStyle="1" w:styleId="Affiliation">
    <w:name w:val="Affiliation"/>
    <w:pPr>
      <w:jc w:val="center"/>
    </w:pPr>
    <w:rPr>
      <w:lang w:val="en-US" w:eastAsia="en-US" w:bidi="ar-SA"/>
    </w:rPr>
  </w:style>
  <w:style w:type="paragraph" w:customStyle="1" w:styleId="Author">
    <w:name w:val="Author"/>
    <w:pPr>
      <w:spacing w:before="360" w:after="40"/>
      <w:jc w:val="center"/>
    </w:pPr>
    <w:rPr>
      <w:noProof/>
      <w:sz w:val="22"/>
      <w:szCs w:val="22"/>
      <w:lang w:val="en-US" w:eastAsia="en-US" w:bidi="ar-SA"/>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link w:val="figurecaptionChar"/>
    <w:rsid w:val="005B0344"/>
    <w:pPr>
      <w:numPr>
        <w:numId w:val="2"/>
      </w:numPr>
      <w:tabs>
        <w:tab w:val="left" w:pos="533"/>
      </w:tabs>
      <w:spacing w:before="80" w:after="200"/>
      <w:ind w:left="0" w:firstLine="0"/>
      <w:jc w:val="both"/>
    </w:pPr>
    <w:rPr>
      <w:noProof/>
      <w:sz w:val="16"/>
      <w:szCs w:val="16"/>
      <w:lang w:val="en-US" w:eastAsia="en-US" w:bidi="ar-SA"/>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bidi="ar-SA"/>
    </w:rPr>
  </w:style>
  <w:style w:type="paragraph" w:customStyle="1" w:styleId="papersubtitle">
    <w:name w:val="paper subtitle"/>
    <w:pPr>
      <w:spacing w:after="120"/>
      <w:jc w:val="center"/>
    </w:pPr>
    <w:rPr>
      <w:rFonts w:eastAsia="MS Mincho"/>
      <w:noProof/>
      <w:sz w:val="28"/>
      <w:szCs w:val="28"/>
      <w:lang w:val="en-US" w:eastAsia="en-US" w:bidi="ar-SA"/>
    </w:rPr>
  </w:style>
  <w:style w:type="paragraph" w:customStyle="1" w:styleId="papertitle">
    <w:name w:val="paper title"/>
    <w:pPr>
      <w:spacing w:after="120"/>
      <w:jc w:val="center"/>
    </w:pPr>
    <w:rPr>
      <w:rFonts w:eastAsia="MS Mincho"/>
      <w:noProof/>
      <w:sz w:val="48"/>
      <w:szCs w:val="48"/>
      <w:lang w:val="en-US" w:eastAsia="en-US" w:bidi="ar-SA"/>
    </w:rPr>
  </w:style>
  <w:style w:type="paragraph" w:customStyle="1" w:styleId="references">
    <w:name w:val="references"/>
    <w:pPr>
      <w:numPr>
        <w:numId w:val="8"/>
      </w:numPr>
      <w:spacing w:after="50" w:line="180" w:lineRule="exact"/>
      <w:jc w:val="both"/>
    </w:pPr>
    <w:rPr>
      <w:rFonts w:eastAsia="MS Mincho"/>
      <w:noProof/>
      <w:sz w:val="16"/>
      <w:szCs w:val="16"/>
      <w:lang w:val="en-US" w:eastAsia="en-US" w:bidi="ar-SA"/>
    </w:rPr>
  </w:style>
  <w:style w:type="paragraph" w:customStyle="1" w:styleId="sponsors">
    <w:name w:val="sponsors"/>
    <w:pPr>
      <w:framePr w:wrap="auto" w:hAnchor="text" w:x="615" w:y="2239"/>
      <w:pBdr>
        <w:top w:val="single" w:sz="4" w:space="2" w:color="auto"/>
      </w:pBdr>
      <w:ind w:firstLine="288"/>
    </w:pPr>
    <w:rPr>
      <w:sz w:val="16"/>
      <w:szCs w:val="16"/>
      <w:lang w:val="en-US" w:eastAsia="en-US" w:bidi="ar-SA"/>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bidi="ar-SA"/>
    </w:rPr>
  </w:style>
  <w:style w:type="paragraph" w:customStyle="1" w:styleId="tablefootnote">
    <w:name w:val="table footnote"/>
    <w:rsid w:val="005E2800"/>
    <w:pPr>
      <w:numPr>
        <w:numId w:val="24"/>
      </w:numPr>
      <w:spacing w:before="60" w:after="30"/>
      <w:ind w:left="58" w:hanging="29"/>
      <w:jc w:val="right"/>
    </w:pPr>
    <w:rPr>
      <w:sz w:val="12"/>
      <w:szCs w:val="12"/>
      <w:lang w:val="en-US" w:eastAsia="en-US" w:bidi="ar-SA"/>
    </w:rPr>
  </w:style>
  <w:style w:type="paragraph" w:customStyle="1" w:styleId="tablehead">
    <w:name w:val="table head"/>
    <w:link w:val="tableheadChar"/>
    <w:pPr>
      <w:numPr>
        <w:numId w:val="9"/>
      </w:numPr>
      <w:spacing w:before="240" w:after="120" w:line="216" w:lineRule="auto"/>
      <w:jc w:val="center"/>
    </w:pPr>
    <w:rPr>
      <w:smallCaps/>
      <w:noProof/>
      <w:sz w:val="16"/>
      <w:szCs w:val="16"/>
      <w:lang w:val="en-US" w:eastAsia="en-US" w:bidi="ar-SA"/>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customStyle="1" w:styleId="TABLE">
    <w:name w:val="TABLE"/>
    <w:basedOn w:val="tablehead"/>
    <w:link w:val="TABLEChar"/>
    <w:qFormat/>
    <w:rsid w:val="0031336D"/>
  </w:style>
  <w:style w:type="character" w:customStyle="1" w:styleId="tableheadChar">
    <w:name w:val="table head Char"/>
    <w:link w:val="tablehead"/>
    <w:rsid w:val="0031336D"/>
    <w:rPr>
      <w:smallCaps/>
      <w:noProof/>
      <w:sz w:val="16"/>
      <w:szCs w:val="16"/>
      <w:lang w:val="en-US" w:eastAsia="en-US" w:bidi="ar-SA"/>
    </w:rPr>
  </w:style>
  <w:style w:type="character" w:customStyle="1" w:styleId="TABLEChar">
    <w:name w:val="TABLE Char"/>
    <w:basedOn w:val="tableheadChar"/>
    <w:link w:val="TABLE"/>
    <w:rsid w:val="0031336D"/>
    <w:rPr>
      <w:smallCaps/>
      <w:noProof/>
      <w:sz w:val="16"/>
      <w:szCs w:val="16"/>
      <w:lang w:val="en-US" w:eastAsia="en-US" w:bidi="ar-SA"/>
    </w:rPr>
  </w:style>
  <w:style w:type="paragraph" w:customStyle="1" w:styleId="Figure">
    <w:name w:val="Figure"/>
    <w:basedOn w:val="figurecaption"/>
    <w:link w:val="FigureChar"/>
    <w:qFormat/>
    <w:rsid w:val="001619CB"/>
  </w:style>
  <w:style w:type="character" w:customStyle="1" w:styleId="figurecaptionChar">
    <w:name w:val="figure caption Char"/>
    <w:link w:val="figurecaption"/>
    <w:rsid w:val="001619CB"/>
    <w:rPr>
      <w:noProof/>
      <w:sz w:val="16"/>
      <w:szCs w:val="16"/>
      <w:lang w:val="en-US" w:eastAsia="en-US" w:bidi="ar-SA"/>
    </w:rPr>
  </w:style>
  <w:style w:type="character" w:customStyle="1" w:styleId="FigureChar">
    <w:name w:val="Figure Char"/>
    <w:basedOn w:val="figurecaptionChar"/>
    <w:link w:val="Figure"/>
    <w:rsid w:val="001619CB"/>
    <w:rPr>
      <w:noProof/>
      <w:sz w:val="16"/>
      <w:szCs w:val="16"/>
      <w:lang w:val="en-US" w:eastAsia="en-US" w:bidi="ar-SA"/>
    </w:rPr>
  </w:style>
  <w:style w:type="paragraph" w:styleId="NormalWeb">
    <w:name w:val="Normal (Web)"/>
    <w:basedOn w:val="Normal"/>
    <w:uiPriority w:val="99"/>
    <w:unhideWhenUsed/>
    <w:rsid w:val="005A1FBA"/>
    <w:pPr>
      <w:spacing w:before="100" w:beforeAutospacing="1" w:after="100" w:afterAutospacing="1"/>
      <w:jc w:val="left"/>
    </w:pPr>
    <w:rPr>
      <w:rFonts w:eastAsia="Times New Roman"/>
      <w:sz w:val="24"/>
      <w:szCs w:val="24"/>
      <w:lang w:val="en-ID" w:eastAsia="zh-CN" w:bidi="th-TH"/>
    </w:rPr>
  </w:style>
  <w:style w:type="character" w:styleId="Emphasis">
    <w:name w:val="Emphasis"/>
    <w:uiPriority w:val="20"/>
    <w:qFormat/>
    <w:rsid w:val="005A1FB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1767</Words>
  <Characters>10076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Indra Lesmana</cp:lastModifiedBy>
  <cp:revision>2</cp:revision>
  <dcterms:created xsi:type="dcterms:W3CDTF">2026-04-24T12:59:00Z</dcterms:created>
  <dcterms:modified xsi:type="dcterms:W3CDTF">2026-04-24T12:59:00Z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