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JTechTITLE"/>
      </w:pPr>
      <w:r>
        <w:rPr>
          <w:b/>
        </w:rPr>
        <w:t>GestPLC: Real-Time Hand Gesture Recognition for PLC Control using MediaPipe and Modbus TCP for Industry 4.0 Applications</w:t>
      </w:r>
    </w:p>
    <w:p>
      <w:pPr>
        <w:pStyle w:val="IJTechaffiliation"/>
      </w:pPr>
      <w:r>
        <w:t>Rofiq Cahyo Prayogo</w:t>
      </w:r>
      <w:r>
        <w:rPr>
          <w:sz w:val="13"/>
          <w:vertAlign w:val="superscript"/>
        </w:rPr>
        <w:t>1</w:t>
      </w:r>
      <w:r>
        <w:t xml:space="preserve">, </w:t>
      </w:r>
      <w:r>
        <w:t>Ahmad Ridlo Hanifudin Tahier</w:t>
      </w:r>
      <w:r>
        <w:rPr>
          <w:sz w:val="13"/>
          <w:vertAlign w:val="superscript"/>
        </w:rPr>
        <w:t>1</w:t>
      </w:r>
      <w:r>
        <w:t xml:space="preserve">, and </w:t>
      </w:r>
      <w:r>
        <w:t>Munadi</w:t>
      </w:r>
      <w:r>
        <w:rPr>
          <w:sz w:val="13"/>
          <w:vertAlign w:val="superscript"/>
        </w:rPr>
        <w:t>2</w:t>
      </w:r>
    </w:p>
    <w:p>
      <w:pPr>
        <w:pStyle w:val="IJTechaffiliation"/>
      </w:pPr>
      <w:r>
        <w:t>1. Automation Engineering, Diponegoro University</w:t>
      </w:r>
    </w:p>
    <w:p>
      <w:pPr>
        <w:pStyle w:val="IJTechaffiliation"/>
      </w:pPr>
      <w:r>
        <w:t>2. Mechanical Engineering, Diponegoro University</w:t>
      </w:r>
    </w:p>
    <w:p>
      <w:pPr>
        <w:pStyle w:val="IJTechaffiliation"/>
      </w:pPr>
      <w:r>
        <w:t>*Corresponding author: Rofiq Cahyo Prayogo; Email: rofiqotomasi@lecturer.undip.ac.id; Tel: +62-24-7055-1111; Fax: +62-24-7055-2222</w:t>
      </w:r>
    </w:p>
    <w:p>
      <w:pPr>
        <w:pStyle w:val="IJTECHAbstract"/>
      </w:pPr>
      <w:r>
        <w:rPr>
          <w:b/>
        </w:rPr>
        <w:t xml:space="preserve">Abstract </w:t>
      </w:r>
      <w:r>
        <w:t>(1) Background: Panel kontrol bersama pada lini produksi menciptakan risiko kontaminasi di lingkungan food-grade dan cleanroom. (2) Purpose/Aim: Kami membangun GestPLC untuk menguji apakah webcam USB biasa yang dipasangkan dengan classifier berbasis aturan geometris mampu mengendalikan PLC Schneider Modicon M221 tanpa GPU maupun jaringan saraf terlatih. (3) Methods: MediaPipe mengekstrak 21 landmark tangan per frame pada CPU Intel Core i7; mesin threshold sudut kemudian mengkonversi landmark tersebut menjadi perintah tulis coil Modbus TCP melalui FC15. (4) Results: Penangkapan kamera, klasifikasi gestur, dan I/O Modbus masing-masing berjalan pada thread Python tersendiri sehingga balasan jaringan lambat tidak menghentikan loop visi. (5) Conclusions: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IJTechKeyword"/>
      </w:pPr>
      <w:r>
        <w:rPr>
          <w:b/>
          <w:i/>
        </w:rPr>
        <w:t>Keywords:</w:t>
      </w:r>
      <w:r>
        <w:rPr>
          <w:i/>
        </w:rPr>
        <w:t xml:space="preserve"> Hand Gesture Recognition; Industry 4.0; MediaPipe; Modbus TCP; PLC Control</w:t>
      </w:r>
    </w:p>
    <w:p>
      <w:pPr>
        <w:pStyle w:val="IJTechHeadingSection"/>
      </w:pPr>
      <w:r>
        <w:t>PENDAHULUAN</w:t>
      </w:r>
    </w:p>
    <w:p>
      <w:pPr>
        <w:pStyle w:val="IJTechText"/>
        <w:ind w:firstLine="283"/>
      </w:pPr>
      <w:r>
        <w:t>Jutaan mesin di seluruh dunia masih beroperasi melalui PLC untuk sortasi konveyor hingga dosing bahan kimia (Vijayachitra, 2025), (Yashika, 2024). Industry 4.0 mendorong kamera, modul suara, dan sensor gestur ke daftar input PLC yang diterima (Qurrat, 2020), (Shaikh, 2023), namun antarmuka manusia-mesin di sebagian besar pabrik masih berupa panel fisik. Di lingkungan food-grade dan cleanroom, menyentuh panel setelah menangani produk atau memakai sarung tangan merupakan jalur kontaminasi yang terdokumentasi (Yashika, 2024), (Benyezza, 2023). Satu pertanyaan yang muncul: bisakah webcam USB biasa dengan classifier CPU-only menggantikan sentuhan panel tanpa hardware khusus?</w:t>
      </w:r>
    </w:p>
    <w:p>
      <w:pPr>
        <w:pStyle w:val="IJTechText"/>
        <w:ind w:firstLine="283"/>
      </w:pPr>
      <w:r>
        <w:t>Pelacakan landmark tangan belum bisa dipakai secara praktis di lantai pabrik sebelum MediaPipe muncul pada 2019 (Lugaresi et al., 2019). Pendekatan lebih awal menggunakan HOG dengan SVM (Nguyen, 2021) atau arsitektur CNN dan CNN-LSTM (Jamage, 2025), (Muhtadin, 2025); keduanya memerlukan pencahayaan terkontrol atau GPU diskret. Workstation pabrik jarang memiliki GPU, sehingga model-model tersebut jarang di-deploy di lapangan (Li, 2025), (Muhtadin, 2025). MediaPipe mengekstrak 21 landmark skeletal per frame pada CPU biasa. Outputnya berupa vektor koordinat, bukan label kelas, sehingga aturan geometris sederhana bisa mengubahnya menjadi perintah gestur tanpa data pelatihan.</w:t>
      </w:r>
    </w:p>
    <w:p>
      <w:pPr>
        <w:pStyle w:val="IJTechText"/>
        <w:ind w:firstLine="283"/>
      </w:pPr>
      <w:r>
        <w:t>Modbus TCP, beroperasi sejak 1990-an, berjalan pada sekitar tujuh juta node industri (Nikolajew, 2024), (Shaikh, 2023). Protokol ini menggunakan model polling: master mengirim query, slave membalas, dan thread pemanggil terblokir hingga jawaban tiba. Round-trip berkisar 1-15 ms pada LAN senggang, namun bisa membengkak hingga ratusan milidetik di bawah beban CPU atau jaringan (Nikolajew, 2024), (Wang, 2022). Jika loop kamera dan Modbus berbagi thread yang sama, respons lambat membekukan frame grabber. Kami menempatkan Modbus pada thread tersendiri. Setelah meninjau sistem gestur-PLC yang dipublikasikan, tidak satupun secara eksplisit membahas arsitektur threading (Yashika, 2024), (Li, 2025).</w:t>
      </w:r>
    </w:p>
    <w:p>
      <w:pPr>
        <w:pStyle w:val="IJTechText"/>
        <w:ind w:firstLine="283"/>
      </w:pPr>
      <w:r>
        <w:t>Publikasi gestur-PLC yang ada mengikuti pola tertentu: penulis menerima frame drop akibat blocking I/O, atau memindahkan klasifikasi ke model lebih dalam dengan akselerasi GPU (Jamage, 2025), (Yep, 2025). Kami tidak menemukan studi yang menggabungkan ketiga elemen sekaligus: arsitektur threading penuh, classifier tanpa pelatihan, dan uji reliabilitas 24 jam pada hardware PLC sesungguhnya.</w:t>
      </w:r>
    </w:p>
    <w:p>
      <w:pPr>
        <w:pStyle w:val="IJTechText"/>
        <w:ind w:firstLine="283"/>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IJTechHeadingSection"/>
      </w:pPr>
      <w:r>
        <w:t>TINJAUAN PUSTAKA</w:t>
      </w:r>
    </w:p>
    <w:p>
      <w:pPr>
        <w:pStyle w:val="IJTechSubheading"/>
      </w:pPr>
      <w:r>
        <w:t>Metode Pengenalan Gestur Tangan</w:t>
      </w:r>
    </w:p>
    <w:p>
      <w:pPr>
        <w:pStyle w:val="IJTechText"/>
        <w:ind w:firstLine="283"/>
      </w:pPr>
      <w:r>
        <w:t>Metode pengenalan gestur tangan terbagi menjadi deskriptor buatan tangan dan deep learning. Nguyen dan Phung (Nguyen, 2021) menggunakan HOG dengan SVM untuk gestur statis pada kontrol robot, melaporkan akurasi 99% pada pencahayaan terkontrol, namun turun saat latar belakang berubah. Tchantchane et al. (Tchantchane, 2023) meninjau sistem gestur berbasis sensor wearable dan menemukan ketahanan lintas kondisi masih menjadi masalah terbuka. Wang et al. (Jamage, 2025) menggabungkan CNN-LSTM untuk translasi gestur-ke-suara dan mencapai 93%, namun memerlukan GPU. Muhtadin et al. (Muhtadin, 2025) membangun model 1.103 parameter dikuantisasi 7 KB untuk kontrol UR5 dengan akurasi 93,5%, tetapi harus dilatih ulang setiap set gestur berubah.</w:t>
      </w:r>
    </w:p>
    <w:p>
      <w:pPr>
        <w:pStyle w:val="IJTechText"/>
        <w:ind w:firstLine="283"/>
      </w:pPr>
      <w:r>
        <w:t>Google merilis MediaPipe pada 2019 (Lugaresi et al., 2019), melacak 21 titik skeletal per tangan pada CPU tanpa GPU (Gbr. 1). Bensaadallah et al. (Bensaadallah, 2023) menggunakan landmark MediaPipe untuk mengendalikan lengan robot R12 dengan terminal berbiaya rendah. Kwolek (Kwolek, 1999)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pStyle w:val="IJTechSubheading"/>
      </w:pPr>
      <w:r>
        <w:t>Protokol Komunikasi PLC dan Modbus TCP</w:t>
      </w:r>
    </w:p>
    <w:p>
      <w:pPr>
        <w:pStyle w:val="IJTechText"/>
        <w:ind w:firstLine="283"/>
      </w:pPr>
      <w:r>
        <w:t>Modbus TCP digunakan sejak 1990-an pada sekitar tujuh juta node industri (Nikolajew, 2024), (Shaikh, 2023). Shaikh et al. (Shaikh, 2023) mensurvei protokol Industry 4.0 termasuk RS-485, PROFINET, EtherCAT, dan MQTT; Modbus masih mendominasi di pabrik legacy karena integrasi sederhana. Tapia et al. (Tapia, 2023) membandingkan OPC-UA, Modbus, dan Ethernet/IP pada tiga machine tool; Modbus memiliki latensi terendah. Protokol ini menggunakan model polling: master mengirim query, slave membalas, thread terblokir. Nikolajew dan Eichelberger (Nikolajew, 2024) mengukur round-trip 1-15 ms pada LAN senggang, namun membengkak hingga ratusan milidetik di bawah beban. Wang et al. (Wang, 2022) mengukur pola serupa. Dalam paper ini, PC membaca coil PLC M100-M115 via FC1 dan menulis perintah gestur ke M200-M215 via FC15 pada Schneider Modicon M221 (Schneider, 2022). Kabel Cat-5e langsung digunakan tanpa switch untuk menghilangkan jitter.</w:t>
      </w:r>
    </w:p>
    <w:p>
      <w:pPr>
        <w:pStyle w:val="IJTechSubheading"/>
      </w:pPr>
      <w:r>
        <w:t>Antarmuka Manusia-Mesin Tanpa Sentuhan</w:t>
      </w:r>
    </w:p>
    <w:p>
      <w:pPr>
        <w:pStyle w:val="IJTechText"/>
        <w:ind w:firstLine="283"/>
      </w:pPr>
      <w:r>
        <w:t>Yashika et al. (Yashika, 2024) mengusulkan kontrol PLC berbasis gestur untuk lingkungan higienis. Sawarkar et al. (Sawarkar, 2024) membangun sistem gestur AI untuk aksesibilitas namun tanpa koneksi PLC industri. Benyezza et al. (Benyezza, 2023) menggabungkan OpenCV dengan Siemens S7-1200 untuk sortasi buah otomatis. Peral et al. (Peral, 2022) menggunakan pipeline ringan untuk gestur pada interaksi manusia-robot tanpa integrasi Modbus. Sebagian besar sistem menggunakan hardware depth RGB-D atau classifier GPU (Li, 2025), (Muhtadin, 2025). Masalah utama: panggilan Modbus berjalan di thread yang sama dengan loop kamera (Yashika, 2024), (Li, 2025), sehingga delay jaringan menghentikan penangkapan frame. Dalam paper ini, Modbus berjalan pada thread terpisah.</w:t>
      </w:r>
    </w:p>
    <w:p>
      <w:pPr>
        <w:pStyle w:val="IJTechHeadingSection"/>
      </w:pPr>
      <w:r>
        <w:t>METODOLOGI</w:t>
      </w:r>
    </w:p>
    <w:p>
      <w:pPr>
        <w:pStyle w:val="IJTechSubheading"/>
      </w:pPr>
      <w:r>
        <w:t>Arsitektur Tiga Thread</w:t>
      </w:r>
    </w:p>
    <w:p>
      <w:pPr>
        <w:pStyle w:val="IJTechText"/>
        <w:ind w:firstLine="283"/>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IJTechText"/>
        <w:ind w:firstLine="283"/>
      </w:pPr>
      <w:r>
        <w:t>Panggilan Modbus terblokir hingga 15 ms pada kondisi normal, dan ratusan milidetik saat CPU terbebani (Nikolajew, 2024).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IJTechText"/>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pPr>
        <w:pStyle w:val="IJTechText"/>
        <w:ind w:firstLine="283"/>
      </w:pPr>
      <w:r>
        <w:t>Di sini T_cap adalah waktu penangkapan kamera, T_inf waktu inferensi MediaPipe, T_modbus satu round-trip Modbus, dan T_queue overhead antar-thread. Dalam pengukuran kami, T_queue konsisten di bawah 0,5 ms. Karena ketiga thread tumpang tindih, total delay sama dengan thread paling lambat ditambah overhead queue. Ini hanya berlaku karena backend C++ melepas GIL.</w:t>
      </w:r>
    </w:p>
    <w:p>
      <w:pPr>
        <w:pStyle w:val="IJTechSubheading"/>
      </w:pPr>
      <w:r>
        <w:t>Konfigurasi Hardware dan Setup PC-PLC</w:t>
      </w:r>
    </w:p>
    <w:p>
      <w:pPr>
        <w:pStyle w:val="IJTechText"/>
        <w:ind w:firstLine="283"/>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IJTechText"/>
        <w:ind w:firstLine="283"/>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IJTechText"/>
        <w:ind w:firstLine="283"/>
      </w:pPr>
      <w:r>
        <w:t>Logika ladder (Gbr. 4): M200 M203 sebagai kontak normally-open menggerakkan coil output Q0 Q3.</w:t>
      </w:r>
    </w:p>
    <w:p>
      <w:pPr>
        <w:pStyle w:val="IJTechText"/>
        <w:ind w:firstLine="283"/>
      </w:pPr>
      <w:r>
        <w:t>Function block (Gbr. 5) membaca array coil M200 M203 setiap siklus scan dan meneruskan nilainya ke output Q0 Q3. Pada scan rate default (~1 ms), perintah gestur baru ditangkap dalam satu siklus dan output fisik langsung mengikuti.</w:t>
      </w:r>
    </w:p>
    <w:p>
      <w:pPr>
        <w:pStyle w:val="IJTechSubheading"/>
      </w:pPr>
      <w:r>
        <w:t>Pengenalan Gestur Geometris MediaPipe</w:t>
      </w:r>
    </w:p>
    <w:p>
      <w:pPr>
        <w:pStyle w:val="IJTechText"/>
        <w:ind w:firstLine="283"/>
      </w:pPr>
      <w:r>
        <w:t>Setiap frame RGB dari OpenCV dilewatkan ke model hand-landmark MediaPipe (Lugaresi et al., 2019), yang mengembalikan 21 titik per tangan: pergelangan tangan, sendi MCP, PIP, DIP untuk setiap jari, plus empat ujung jari.</w:t>
      </w:r>
    </w:p>
    <w:p>
      <w:pPr>
        <w:pStyle w:val="IJTechText"/>
        <w:ind w:firstLine="283"/>
      </w:pPr>
      <w:r>
        <w:t>Ke-21 landmark (bernomor 0 20) ditunjukkan pada Gbr. 6. Prototipe awal memverifikasi bahwa output MediaPipe stabil dalam kisaran ~30 derajat dari sumbu kamera.</w:t>
      </w:r>
    </w:p>
    <w:p>
      <w:pPr>
        <w:pStyle w:val="IJTechText"/>
        <w:ind w:firstLine="283"/>
      </w:pPr>
      <w:r>
        <w:t>Jendela diagnostik PyQt5 (Gbr. 7) menampilkan landmark dan garis penghubung pada feed webcam langsung, mengonfirmasi konsistensi output MediaPipe selama kemiringan dalam ~30 derajat. Setiap landmark berupa koordinat 3-D ternormalisasi:</w:t>
      </w:r>
    </w:p>
    <w:p>
      <w:pPr>
        <w:pStyle w:val="IJTechText"/>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pPr>
        <w:pStyle w:val="IJTechText"/>
        <w:ind w:firstLine="283"/>
      </w:pPr>
      <w:r>
        <w:t>Pada persamaan (2), x_i dan y_i berada dalam ([0]; Lugaresi et al., 2019) relatif terhadap dimensi gambar, z_i mengkodekan kedalaman relatif terhadap pergelangan tangan. Jarak Euclidean antara dua landmark:</w:t>
      </w:r>
    </w:p>
    <w:p>
      <w:pPr>
        <w:pStyle w:val="IJTechText"/>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pPr>
        <w:pStyle w:val="IJTechText"/>
        <w:ind w:firstLine="283"/>
      </w:pPr>
      <w:r>
        <w:t>Jarak piksel mentah berubah tergantung jarak tangan dari kamera. Untuk menghilangkan ketergantungan skala, dibagi dengan d₀,9 (jarak pergelangan tangan ke middle-MCP):</w:t>
      </w:r>
    </w:p>
    <w:p>
      <w:pPr>
        <w:pStyle w:val="IJTechText"/>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pPr>
        <w:pStyle w:val="IJTechText"/>
        <w:ind w:firstLine="283"/>
      </w:pPr>
      <w:r>
        <w:t>Setelah normalisasi, d_norm,ij mencerminkan bentuk tangan independen dari jarak kamera. Untuk ekstensi jari, dibutuhkan sudut sendi. Vektor arah:</w:t>
      </w:r>
    </w:p>
    <w:p>
      <w:pPr>
        <w:pStyle w:val="IJTechText"/>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pPr>
        <w:pStyle w:val="IJTechText"/>
        <w:ind w:firstLine="283"/>
      </w:pPr>
      <w:r>
        <w:t>Besarnya:</w:t>
      </w:r>
    </w:p>
    <w:p>
      <w:pPr>
        <w:pStyle w:val="IJTechText"/>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pPr>
        <w:pStyle w:val="IJTechText"/>
        <w:ind w:firstLine="283"/>
      </w:pPr>
      <w:r>
        <w:t>Dot product dari dua vektor segmen tulang yang bersebelahan:</w:t>
      </w:r>
    </w:p>
    <w:p>
      <w:pPr>
        <w:pStyle w:val="IJTechText"/>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pPr>
        <w:pStyle w:val="IJTechText"/>
        <w:ind w:firstLine="283"/>
      </w:pPr>
      <w:r>
        <w:t>Sudut antar-sendi, untuk tiga landmark berurutan (A = ujung jari, B = sendi tengah, C = pangkal):</w:t>
      </w:r>
    </w:p>
    <w:p>
      <w:pPr>
        <w:pStyle w:val="IJTechText"/>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pPr>
        <w:pStyle w:val="IJTechText"/>
        <w:ind w:firstLine="283"/>
      </w:pPr>
      <w:r>
        <w:t>Sudut θ menentukan apakah jari terektensi atau tertutup. Setelah kalibrasi, θ_open ≈ 160^° dan θ_close ≈ 140^°. Jika θ &gt; θ_open maka jari terektensi (f_i = 1); di bawah θ_close maka tertutup (f_i = 0):</w:t>
      </w:r>
    </w:p>
    <w:p>
      <w:pPr>
        <w:pStyle w:val="IJTechText"/>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pPr>
        <w:pStyle w:val="IJTechText"/>
        <w:ind w:firstLine="283"/>
      </w:pPr>
      <w:r>
        <w:t xml:space="preserve">Threshold tunggal menyebabkan toggling cepat di dekat batas saat tangan diputar. Diperbaiki dengan histeresis dua batas terpisah, </w:t>
        <w:tab/>
        <w:t xml:space="preserve">heta_high dan </w:t>
        <w:tab/>
        <w:t>heta_low:</w:t>
      </w:r>
    </w:p>
    <w:p>
      <w:pPr>
        <w:pStyle w:val="IJTechText"/>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pPr>
        <w:pStyle w:val="IJTechText"/>
        <w:ind w:firstLine="283"/>
      </w:pPr>
      <w:r>
        <w:t>Di atas histeresis, voting mayoritas sliding-window menghaluskan output di sepanjang N frame terakhir:</w:t>
      </w:r>
    </w:p>
    <w:p>
      <w:pPr>
        <w:pStyle w:val="IJTechText"/>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pPr>
        <w:pStyle w:val="IJTechText"/>
        <w:ind w:firstLine="283"/>
      </w:pPr>
      <w:r>
        <w:t>Output biner final f_i bernilai 1 hanya jika lebih dari fraksi T dari frame terbaru menyetujui bahwa jari terektensi:</w:t>
      </w:r>
    </w:p>
    <w:p>
      <w:pPr>
        <w:pStyle w:val="IJTechText"/>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pPr>
        <w:pStyle w:val="IJTechText"/>
        <w:ind w:firstLine="283"/>
      </w:pPr>
      <w: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pStyle w:val="IJTechSubheading"/>
      </w:pPr>
      <w:r>
        <w:t>Integrasi MediaPipe dan Pymodbus</w:t>
      </w:r>
    </w:p>
    <w:p>
      <w:pPr>
        <w:pStyle w:val="IJTechText"/>
        <w:ind w:firstLine="283"/>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Table 1 mencantumkan masing-masing.</w:t>
      </w:r>
    </w:p>
    <w:p>
      <w:pPr>
        <w:pStyle w:val="IJTechText"/>
        <w:jc w:val="center"/>
      </w:pPr>
      <w:r>
        <w:rPr>
          <w:b/>
        </w:rPr>
        <w:t>Table 1</w:t>
      </w:r>
      <w:r>
        <w:t>. Pemetaan Gestur ke Coil Modbus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Gestur</w:t>
            </w:r>
          </w:p>
        </w:tc>
        <w:tc>
          <w:tcPr>
            <w:tcW w:type="dxa" w:w="2436"/>
          </w:tcPr>
          <w:p>
            <w:pPr>
              <w:jc w:val="center"/>
            </w:pPr>
            <w:r/>
            <w:r>
              <w:rPr>
                <w:b/>
              </w:rPr>
              <w:t>Jumlah Jari</w:t>
            </w:r>
          </w:p>
        </w:tc>
        <w:tc>
          <w:tcPr>
            <w:tcW w:type="dxa" w:w="2436"/>
          </w:tcPr>
          <w:p>
            <w:pPr>
              <w:jc w:val="center"/>
            </w:pPr>
            <w:r/>
            <w:r>
              <w:rPr>
                <w:b/>
              </w:rPr>
              <w:t>State Coil Modbus</w:t>
            </w:r>
          </w:p>
        </w:tc>
        <w:tc>
          <w:tcPr>
            <w:tcW w:type="dxa" w:w="2436"/>
          </w:tcPr>
          <w:p>
            <w:pPr>
              <w:jc w:val="center"/>
            </w:pPr>
            <w:r/>
            <w:r>
              <w:rPr>
                <w:b/>
              </w:rPr>
              <w:t>Output PLC</w:t>
            </w:r>
          </w:p>
        </w:tc>
      </w:tr>
      <w:tr>
        <w:tc>
          <w:tcPr>
            <w:tcW w:type="dxa" w:w="2436"/>
          </w:tcPr>
          <w:p>
            <w:pPr>
              <w:jc w:val="center"/>
            </w:pPr>
            <w:r/>
            <w:r>
              <w:t>Kepalan Tangan</w:t>
            </w:r>
          </w:p>
        </w:tc>
        <w:tc>
          <w:tcPr>
            <w:tcW w:type="dxa" w:w="2436"/>
          </w:tcPr>
          <w:p>
            <w:pPr>
              <w:jc w:val="center"/>
            </w:pPr>
            <w:r/>
            <w:r>
              <w:t>0</w:t>
            </w:r>
          </w:p>
        </w:tc>
        <w:tc>
          <w:tcPr>
            <w:tcW w:type="dxa" w:w="2436"/>
          </w:tcPr>
          <w:p>
            <w:pPr>
              <w:jc w:val="center"/>
            </w:pPr>
            <w:r/>
            <w:r>
              <w:t>M200=0, M201=0, M202=0, M203=0</w:t>
            </w:r>
          </w:p>
        </w:tc>
        <w:tc>
          <w:tcPr>
            <w:tcW w:type="dxa" w:w="2436"/>
          </w:tcPr>
          <w:p>
            <w:pPr>
              <w:jc w:val="center"/>
            </w:pPr>
            <w:r/>
            <w:r>
              <w:t>Q0-Q3=OFF</w:t>
            </w:r>
          </w:p>
        </w:tc>
      </w:tr>
      <w:tr>
        <w:tc>
          <w:tcPr>
            <w:tcW w:type="dxa" w:w="2436"/>
          </w:tcPr>
          <w:p>
            <w:pPr>
              <w:jc w:val="center"/>
            </w:pPr>
            <w:r/>
            <w:r>
              <w:t>1 Jari (Telunjuk)</w:t>
            </w:r>
          </w:p>
        </w:tc>
        <w:tc>
          <w:tcPr>
            <w:tcW w:type="dxa" w:w="2436"/>
          </w:tcPr>
          <w:p>
            <w:pPr>
              <w:jc w:val="center"/>
            </w:pPr>
            <w:r/>
            <w:r>
              <w:t>1</w:t>
            </w:r>
          </w:p>
        </w:tc>
        <w:tc>
          <w:tcPr>
            <w:tcW w:type="dxa" w:w="2436"/>
          </w:tcPr>
          <w:p>
            <w:pPr>
              <w:jc w:val="center"/>
            </w:pPr>
            <w:r/>
            <w:r>
              <w:t>M200=1, M201=0, M202=0, M203=0</w:t>
            </w:r>
          </w:p>
        </w:tc>
        <w:tc>
          <w:tcPr>
            <w:tcW w:type="dxa" w:w="2436"/>
          </w:tcPr>
          <w:p>
            <w:pPr>
              <w:jc w:val="center"/>
            </w:pPr>
            <w:r/>
            <w:r>
              <w:t>Q0=ON</w:t>
            </w:r>
          </w:p>
        </w:tc>
      </w:tr>
      <w:tr>
        <w:tc>
          <w:tcPr>
            <w:tcW w:type="dxa" w:w="2436"/>
          </w:tcPr>
          <w:p>
            <w:pPr>
              <w:jc w:val="center"/>
            </w:pPr>
            <w:r/>
            <w:r>
              <w:t>2 Jari (Peace)</w:t>
            </w:r>
          </w:p>
        </w:tc>
        <w:tc>
          <w:tcPr>
            <w:tcW w:type="dxa" w:w="2436"/>
          </w:tcPr>
          <w:p>
            <w:pPr>
              <w:jc w:val="center"/>
            </w:pPr>
            <w:r/>
            <w:r>
              <w:t>2</w:t>
            </w:r>
          </w:p>
        </w:tc>
        <w:tc>
          <w:tcPr>
            <w:tcW w:type="dxa" w:w="2436"/>
          </w:tcPr>
          <w:p>
            <w:pPr>
              <w:jc w:val="center"/>
            </w:pPr>
            <w:r/>
            <w:r>
              <w:t>M200=1, M201=1, M202=0, M203=0</w:t>
            </w:r>
          </w:p>
        </w:tc>
        <w:tc>
          <w:tcPr>
            <w:tcW w:type="dxa" w:w="2436"/>
          </w:tcPr>
          <w:p>
            <w:pPr>
              <w:jc w:val="center"/>
            </w:pPr>
            <w:r/>
            <w:r>
              <w:t>Q0-Q1=ON</w:t>
            </w:r>
          </w:p>
        </w:tc>
      </w:tr>
      <w:tr>
        <w:tc>
          <w:tcPr>
            <w:tcW w:type="dxa" w:w="2436"/>
          </w:tcPr>
          <w:p>
            <w:pPr>
              <w:jc w:val="center"/>
            </w:pPr>
            <w:r/>
            <w:r>
              <w:t>3 Jari</w:t>
            </w:r>
          </w:p>
        </w:tc>
        <w:tc>
          <w:tcPr>
            <w:tcW w:type="dxa" w:w="2436"/>
          </w:tcPr>
          <w:p>
            <w:pPr>
              <w:jc w:val="center"/>
            </w:pPr>
            <w:r/>
            <w:r>
              <w:t>3</w:t>
            </w:r>
          </w:p>
        </w:tc>
        <w:tc>
          <w:tcPr>
            <w:tcW w:type="dxa" w:w="2436"/>
          </w:tcPr>
          <w:p>
            <w:pPr>
              <w:jc w:val="center"/>
            </w:pPr>
            <w:r/>
            <w:r>
              <w:t>M200=1, M201=1, M202=1, M203=0</w:t>
            </w:r>
          </w:p>
        </w:tc>
        <w:tc>
          <w:tcPr>
            <w:tcW w:type="dxa" w:w="2436"/>
          </w:tcPr>
          <w:p>
            <w:pPr>
              <w:jc w:val="center"/>
            </w:pPr>
            <w:r/>
            <w:r>
              <w:t>Q0-Q2=ON</w:t>
            </w:r>
          </w:p>
        </w:tc>
      </w:tr>
      <w:tr>
        <w:tc>
          <w:tcPr>
            <w:tcW w:type="dxa" w:w="2436"/>
          </w:tcPr>
          <w:p>
            <w:pPr>
              <w:jc w:val="center"/>
            </w:pPr>
            <w:r/>
            <w:r>
              <w:t>4 Jari</w:t>
            </w:r>
          </w:p>
        </w:tc>
        <w:tc>
          <w:tcPr>
            <w:tcW w:type="dxa" w:w="2436"/>
          </w:tcPr>
          <w:p>
            <w:pPr>
              <w:jc w:val="center"/>
            </w:pPr>
            <w:r/>
            <w:r>
              <w:t>4</w:t>
            </w:r>
          </w:p>
        </w:tc>
        <w:tc>
          <w:tcPr>
            <w:tcW w:type="dxa" w:w="2436"/>
          </w:tcPr>
          <w:p>
            <w:pPr>
              <w:jc w:val="center"/>
            </w:pPr>
            <w:r/>
            <w:r>
              <w:t>M200=1, M201=1, M202=1, M203=1</w:t>
            </w:r>
          </w:p>
        </w:tc>
        <w:tc>
          <w:tcPr>
            <w:tcW w:type="dxa" w:w="2436"/>
          </w:tcPr>
          <w:p>
            <w:pPr>
              <w:jc w:val="center"/>
            </w:pPr>
            <w:r/>
            <w:r>
              <w:t>Q0-Q3=ON</w:t>
            </w:r>
          </w:p>
        </w:tc>
      </w:tr>
      <w:tr>
        <w:tc>
          <w:tcPr>
            <w:tcW w:type="dxa" w:w="2436"/>
          </w:tcPr>
          <w:p>
            <w:pPr>
              <w:jc w:val="center"/>
            </w:pPr>
            <w:r/>
            <w:r>
              <w:t>5 Jari (Telapak)</w:t>
            </w:r>
          </w:p>
        </w:tc>
        <w:tc>
          <w:tcPr>
            <w:tcW w:type="dxa" w:w="2436"/>
          </w:tcPr>
          <w:p>
            <w:pPr>
              <w:jc w:val="center"/>
            </w:pPr>
            <w:r/>
            <w:r>
              <w:t>5</w:t>
            </w:r>
          </w:p>
        </w:tc>
        <w:tc>
          <w:tcPr>
            <w:tcW w:type="dxa" w:w="2436"/>
          </w:tcPr>
          <w:p>
            <w:pPr>
              <w:jc w:val="center"/>
            </w:pPr>
            <w:r/>
            <w:r>
              <w:t>M200=1, M201=1, M202=1, M203=1</w:t>
            </w:r>
          </w:p>
        </w:tc>
        <w:tc>
          <w:tcPr>
            <w:tcW w:type="dxa" w:w="2436"/>
          </w:tcPr>
          <w:p>
            <w:pPr>
              <w:jc w:val="center"/>
            </w:pPr>
            <w:r/>
            <w:r>
              <w:t>Q0-Q3=ON (Semua)</w:t>
            </w:r>
          </w:p>
        </w:tc>
      </w:tr>
    </w:tbl>
    <w:p>
      <w:pPr>
        <w:pStyle w:val="IJTechText"/>
        <w:ind w:firstLine="283"/>
      </w:pPr>
      <w:r>
        <w:t>PLCGui menjalankan ketiga thread. Saat gestur dikonfirmasi oleh filter debounce, pola coil ditulis ke PLC via PyModbus dan setiap hasil dicatat dalam log. LED panel depan PLC sesuai dengan indikator GUI setiap penulisan berhasil.</w:t>
      </w:r>
    </w:p>
    <w:p>
      <w:pPr>
        <w:pStyle w:val="IJTechText"/>
        <w:ind w:firstLine="283"/>
      </w:pPr>
      <w:r>
        <w:t>Rig pengujian terlihat pada Gbr. 8. Webcam pada tripod menghadap tangan operator, kabel Cat-5e langsung ke panel PLC.</w:t>
      </w:r>
    </w:p>
    <w:p>
      <w:pPr>
        <w:pStyle w:val="IJTechHeadingSection"/>
      </w:pPr>
      <w:r>
        <w:t>HASIL EKSPERIMEN</w:t>
      </w:r>
    </w:p>
    <w:p>
      <w:pPr>
        <w:pStyle w:val="IJTechSubheading"/>
      </w:pPr>
      <w:r>
        <w:t>Akurasi Deteksi Gestur</w:t>
      </w:r>
    </w:p>
    <w:p>
      <w:pPr>
        <w:pStyle w:val="IJTechText"/>
        <w:ind w:firstLine="283"/>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IJTechText"/>
        <w:jc w:val="center"/>
      </w:pPr>
      <w:r>
        <w:rPr>
          <w:b/>
        </w:rPr>
        <w:t>Table 2</w:t>
      </w:r>
      <w:r>
        <w:t>. Performa Klasifikasi Gestur pada 300 Lux</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624"/>
        <w:gridCol w:w="1624"/>
        <w:gridCol w:w="1624"/>
        <w:gridCol w:w="1624"/>
        <w:gridCol w:w="1624"/>
        <w:gridCol w:w="1624"/>
      </w:tblGrid>
      <w:tr>
        <w:tc>
          <w:tcPr>
            <w:tcW w:type="dxa" w:w="1624"/>
          </w:tcPr>
          <w:p>
            <w:pPr>
              <w:jc w:val="center"/>
            </w:pPr>
            <w:r/>
            <w:r>
              <w:rPr>
                <w:b/>
              </w:rPr>
              <w:t>Gestur</w:t>
            </w:r>
          </w:p>
        </w:tc>
        <w:tc>
          <w:tcPr>
            <w:tcW w:type="dxa" w:w="1624"/>
          </w:tcPr>
          <w:p>
            <w:pPr>
              <w:jc w:val="center"/>
            </w:pPr>
            <w:r/>
            <w:r>
              <w:rPr>
                <w:b/>
              </w:rPr>
              <w:t>Sampel</w:t>
            </w:r>
          </w:p>
        </w:tc>
        <w:tc>
          <w:tcPr>
            <w:tcW w:type="dxa" w:w="1624"/>
          </w:tcPr>
          <w:p>
            <w:pPr>
              <w:jc w:val="center"/>
            </w:pPr>
            <w:r/>
            <w:r>
              <w:rPr>
                <w:b/>
              </w:rPr>
              <w:t>Benar</w:t>
            </w:r>
          </w:p>
        </w:tc>
        <w:tc>
          <w:tcPr>
            <w:tcW w:type="dxa" w:w="1624"/>
          </w:tcPr>
          <w:p>
            <w:pPr>
              <w:jc w:val="center"/>
            </w:pPr>
            <w:r/>
            <w:r>
              <w:rPr>
                <w:b/>
              </w:rPr>
              <w:t>Presisi (%)</w:t>
            </w:r>
          </w:p>
        </w:tc>
        <w:tc>
          <w:tcPr>
            <w:tcW w:type="dxa" w:w="1624"/>
          </w:tcPr>
          <w:p>
            <w:pPr>
              <w:jc w:val="center"/>
            </w:pPr>
            <w:r/>
            <w:r>
              <w:rPr>
                <w:b/>
              </w:rPr>
              <w:t>Recall (%)</w:t>
            </w:r>
          </w:p>
        </w:tc>
        <w:tc>
          <w:tcPr>
            <w:tcW w:type="dxa" w:w="1624"/>
          </w:tcPr>
          <w:p>
            <w:pPr>
              <w:jc w:val="center"/>
            </w:pPr>
            <w:r/>
            <w:r>
              <w:rPr>
                <w:b/>
              </w:rPr>
              <w:t>Skor F1 (%)</w:t>
            </w:r>
          </w:p>
        </w:tc>
      </w:tr>
      <w:tr>
        <w:tc>
          <w:tcPr>
            <w:tcW w:type="dxa" w:w="1624"/>
          </w:tcPr>
          <w:p>
            <w:pPr>
              <w:jc w:val="center"/>
            </w:pPr>
            <w:r/>
            <w:r>
              <w:t>0 jari (Kepalan)</w:t>
            </w:r>
          </w:p>
        </w:tc>
        <w:tc>
          <w:tcPr>
            <w:tcW w:type="dxa" w:w="1624"/>
          </w:tcPr>
          <w:p>
            <w:pPr>
              <w:jc w:val="center"/>
            </w:pPr>
            <w:r/>
            <w:r>
              <w:t>100</w:t>
            </w:r>
          </w:p>
        </w:tc>
        <w:tc>
          <w:tcPr>
            <w:tcW w:type="dxa" w:w="1624"/>
          </w:tcPr>
          <w:p>
            <w:pPr>
              <w:jc w:val="center"/>
            </w:pPr>
            <w:r/>
            <w:r>
              <w:t>97</w:t>
            </w:r>
          </w:p>
        </w:tc>
        <w:tc>
          <w:tcPr>
            <w:tcW w:type="dxa" w:w="1624"/>
          </w:tcPr>
          <w:p>
            <w:pPr>
              <w:jc w:val="center"/>
            </w:pPr>
            <w:r/>
            <w:r>
              <w:t>98,0</w:t>
            </w:r>
          </w:p>
        </w:tc>
        <w:tc>
          <w:tcPr>
            <w:tcW w:type="dxa" w:w="1624"/>
          </w:tcPr>
          <w:p>
            <w:pPr>
              <w:jc w:val="center"/>
            </w:pPr>
            <w:r/>
            <w:r>
              <w:t>97,0</w:t>
            </w:r>
          </w:p>
        </w:tc>
        <w:tc>
          <w:tcPr>
            <w:tcW w:type="dxa" w:w="1624"/>
          </w:tcPr>
          <w:p>
            <w:pPr>
              <w:jc w:val="center"/>
            </w:pPr>
            <w:r/>
            <w:r>
              <w:t>97,5</w:t>
            </w:r>
          </w:p>
        </w:tc>
      </w:tr>
      <w:tr>
        <w:tc>
          <w:tcPr>
            <w:tcW w:type="dxa" w:w="1624"/>
          </w:tcPr>
          <w:p>
            <w:pPr>
              <w:jc w:val="center"/>
            </w:pPr>
            <w:r/>
            <w:r>
              <w:t>1 jari (Telunjuk)</w:t>
            </w:r>
          </w:p>
        </w:tc>
        <w:tc>
          <w:tcPr>
            <w:tcW w:type="dxa" w:w="1624"/>
          </w:tcPr>
          <w:p>
            <w:pPr>
              <w:jc w:val="center"/>
            </w:pPr>
            <w:r/>
            <w:r>
              <w:t>100</w:t>
            </w:r>
          </w:p>
        </w:tc>
        <w:tc>
          <w:tcPr>
            <w:tcW w:type="dxa" w:w="1624"/>
          </w:tcPr>
          <w:p>
            <w:pPr>
              <w:jc w:val="center"/>
            </w:pPr>
            <w:r/>
            <w:r>
              <w:t>95</w:t>
            </w:r>
          </w:p>
        </w:tc>
        <w:tc>
          <w:tcPr>
            <w:tcW w:type="dxa" w:w="1624"/>
          </w:tcPr>
          <w:p>
            <w:pPr>
              <w:jc w:val="center"/>
            </w:pPr>
            <w:r/>
            <w:r>
              <w:t>96,9</w:t>
            </w:r>
          </w:p>
        </w:tc>
        <w:tc>
          <w:tcPr>
            <w:tcW w:type="dxa" w:w="1624"/>
          </w:tcPr>
          <w:p>
            <w:pPr>
              <w:jc w:val="center"/>
            </w:pPr>
            <w:r/>
            <w:r>
              <w:t>95,0</w:t>
            </w:r>
          </w:p>
        </w:tc>
        <w:tc>
          <w:tcPr>
            <w:tcW w:type="dxa" w:w="1624"/>
          </w:tcPr>
          <w:p>
            <w:pPr>
              <w:jc w:val="center"/>
            </w:pPr>
            <w:r/>
            <w:r>
              <w:t>95,9</w:t>
            </w:r>
          </w:p>
        </w:tc>
      </w:tr>
      <w:tr>
        <w:tc>
          <w:tcPr>
            <w:tcW w:type="dxa" w:w="1624"/>
          </w:tcPr>
          <w:p>
            <w:pPr>
              <w:jc w:val="center"/>
            </w:pPr>
            <w:r/>
            <w:r>
              <w:t>2 jari (Peace)</w:t>
            </w:r>
          </w:p>
        </w:tc>
        <w:tc>
          <w:tcPr>
            <w:tcW w:type="dxa" w:w="1624"/>
          </w:tcPr>
          <w:p>
            <w:pPr>
              <w:jc w:val="center"/>
            </w:pPr>
            <w:r/>
            <w:r>
              <w:t>100</w:t>
            </w:r>
          </w:p>
        </w:tc>
        <w:tc>
          <w:tcPr>
            <w:tcW w:type="dxa" w:w="1624"/>
          </w:tcPr>
          <w:p>
            <w:pPr>
              <w:jc w:val="center"/>
            </w:pPr>
            <w:r/>
            <w:r>
              <w:t>94</w:t>
            </w:r>
          </w:p>
        </w:tc>
        <w:tc>
          <w:tcPr>
            <w:tcW w:type="dxa" w:w="1624"/>
          </w:tcPr>
          <w:p>
            <w:pPr>
              <w:jc w:val="center"/>
            </w:pPr>
            <w:r/>
            <w:r>
              <w:t>95,9</w:t>
            </w:r>
          </w:p>
        </w:tc>
        <w:tc>
          <w:tcPr>
            <w:tcW w:type="dxa" w:w="1624"/>
          </w:tcPr>
          <w:p>
            <w:pPr>
              <w:jc w:val="center"/>
            </w:pPr>
            <w:r/>
            <w:r>
              <w:t>94,0</w:t>
            </w:r>
          </w:p>
        </w:tc>
        <w:tc>
          <w:tcPr>
            <w:tcW w:type="dxa" w:w="1624"/>
          </w:tcPr>
          <w:p>
            <w:pPr>
              <w:jc w:val="center"/>
            </w:pPr>
            <w:r/>
            <w:r>
              <w:t>94,9</w:t>
            </w:r>
          </w:p>
        </w:tc>
      </w:tr>
      <w:tr>
        <w:tc>
          <w:tcPr>
            <w:tcW w:type="dxa" w:w="1624"/>
          </w:tcPr>
          <w:p>
            <w:pPr>
              <w:jc w:val="center"/>
            </w:pPr>
            <w:r/>
            <w:r>
              <w:t>3 jari</w:t>
            </w:r>
          </w:p>
        </w:tc>
        <w:tc>
          <w:tcPr>
            <w:tcW w:type="dxa" w:w="1624"/>
          </w:tcPr>
          <w:p>
            <w:pPr>
              <w:jc w:val="center"/>
            </w:pPr>
            <w:r/>
            <w:r>
              <w:t>100</w:t>
            </w:r>
          </w:p>
        </w:tc>
        <w:tc>
          <w:tcPr>
            <w:tcW w:type="dxa" w:w="1624"/>
          </w:tcPr>
          <w:p>
            <w:pPr>
              <w:jc w:val="center"/>
            </w:pPr>
            <w:r/>
            <w:r>
              <w:t>93</w:t>
            </w:r>
          </w:p>
        </w:tc>
        <w:tc>
          <w:tcPr>
            <w:tcW w:type="dxa" w:w="1624"/>
          </w:tcPr>
          <w:p>
            <w:pPr>
              <w:jc w:val="center"/>
            </w:pPr>
            <w:r/>
            <w:r>
              <w:t>94,9</w:t>
            </w:r>
          </w:p>
        </w:tc>
        <w:tc>
          <w:tcPr>
            <w:tcW w:type="dxa" w:w="1624"/>
          </w:tcPr>
          <w:p>
            <w:pPr>
              <w:jc w:val="center"/>
            </w:pPr>
            <w:r/>
            <w:r>
              <w:t>93,0</w:t>
            </w:r>
          </w:p>
        </w:tc>
        <w:tc>
          <w:tcPr>
            <w:tcW w:type="dxa" w:w="1624"/>
          </w:tcPr>
          <w:p>
            <w:pPr>
              <w:jc w:val="center"/>
            </w:pPr>
            <w:r/>
            <w:r>
              <w:t>93,9</w:t>
            </w:r>
          </w:p>
        </w:tc>
      </w:tr>
      <w:tr>
        <w:tc>
          <w:tcPr>
            <w:tcW w:type="dxa" w:w="1624"/>
          </w:tcPr>
          <w:p>
            <w:pPr>
              <w:jc w:val="center"/>
            </w:pPr>
            <w:r/>
            <w:r>
              <w:t>4 jari</w:t>
            </w:r>
          </w:p>
        </w:tc>
        <w:tc>
          <w:tcPr>
            <w:tcW w:type="dxa" w:w="1624"/>
          </w:tcPr>
          <w:p>
            <w:pPr>
              <w:jc w:val="center"/>
            </w:pPr>
            <w:r/>
            <w:r>
              <w:t>100</w:t>
            </w:r>
          </w:p>
        </w:tc>
        <w:tc>
          <w:tcPr>
            <w:tcW w:type="dxa" w:w="1624"/>
          </w:tcPr>
          <w:p>
            <w:pPr>
              <w:jc w:val="center"/>
            </w:pPr>
            <w:r/>
            <w:r>
              <w:t>92</w:t>
            </w:r>
          </w:p>
        </w:tc>
        <w:tc>
          <w:tcPr>
            <w:tcW w:type="dxa" w:w="1624"/>
          </w:tcPr>
          <w:p>
            <w:pPr>
              <w:jc w:val="center"/>
            </w:pPr>
            <w:r/>
            <w:r>
              <w:t>93,9</w:t>
            </w:r>
          </w:p>
        </w:tc>
        <w:tc>
          <w:tcPr>
            <w:tcW w:type="dxa" w:w="1624"/>
          </w:tcPr>
          <w:p>
            <w:pPr>
              <w:jc w:val="center"/>
            </w:pPr>
            <w:r/>
            <w:r>
              <w:t>92,0</w:t>
            </w:r>
          </w:p>
        </w:tc>
        <w:tc>
          <w:tcPr>
            <w:tcW w:type="dxa" w:w="1624"/>
          </w:tcPr>
          <w:p>
            <w:pPr>
              <w:jc w:val="center"/>
            </w:pPr>
            <w:r/>
            <w:r>
              <w:t>92,9</w:t>
            </w:r>
          </w:p>
        </w:tc>
      </w:tr>
      <w:tr>
        <w:tc>
          <w:tcPr>
            <w:tcW w:type="dxa" w:w="1624"/>
          </w:tcPr>
          <w:p>
            <w:pPr>
              <w:jc w:val="center"/>
            </w:pPr>
            <w:r/>
            <w:r>
              <w:t>5 jari (Telapak Terbuka)</w:t>
            </w:r>
          </w:p>
        </w:tc>
        <w:tc>
          <w:tcPr>
            <w:tcW w:type="dxa" w:w="1624"/>
          </w:tcPr>
          <w:p>
            <w:pPr>
              <w:jc w:val="center"/>
            </w:pPr>
            <w:r/>
            <w:r>
              <w:t>100</w:t>
            </w:r>
          </w:p>
        </w:tc>
        <w:tc>
          <w:tcPr>
            <w:tcW w:type="dxa" w:w="1624"/>
          </w:tcPr>
          <w:p>
            <w:pPr>
              <w:jc w:val="center"/>
            </w:pPr>
            <w:r/>
            <w:r>
              <w:t>98</w:t>
            </w:r>
          </w:p>
        </w:tc>
        <w:tc>
          <w:tcPr>
            <w:tcW w:type="dxa" w:w="1624"/>
          </w:tcPr>
          <w:p>
            <w:pPr>
              <w:jc w:val="center"/>
            </w:pPr>
            <w:r/>
            <w:r>
              <w:t>97,0</w:t>
            </w:r>
          </w:p>
        </w:tc>
        <w:tc>
          <w:tcPr>
            <w:tcW w:type="dxa" w:w="1624"/>
          </w:tcPr>
          <w:p>
            <w:pPr>
              <w:jc w:val="center"/>
            </w:pPr>
            <w:r/>
            <w:r>
              <w:t>98,0</w:t>
            </w:r>
          </w:p>
        </w:tc>
        <w:tc>
          <w:tcPr>
            <w:tcW w:type="dxa" w:w="1624"/>
          </w:tcPr>
          <w:p>
            <w:pPr>
              <w:jc w:val="center"/>
            </w:pPr>
            <w:r/>
            <w:r>
              <w:t>97,5</w:t>
            </w:r>
          </w:p>
        </w:tc>
      </w:tr>
      <w:tr>
        <w:tc>
          <w:tcPr>
            <w:tcW w:type="dxa" w:w="1624"/>
          </w:tcPr>
          <w:p>
            <w:pPr>
              <w:jc w:val="center"/>
            </w:pPr>
            <w:r/>
            <w:r>
              <w:t>\bRata-rata Keseluruhan (Makro)\b</w:t>
            </w:r>
          </w:p>
        </w:tc>
        <w:tc>
          <w:tcPr>
            <w:tcW w:type="dxa" w:w="1624"/>
          </w:tcPr>
          <w:p>
            <w:pPr>
              <w:jc w:val="center"/>
            </w:pPr>
            <w:r/>
            <w:r>
              <w:t>600</w:t>
            </w:r>
          </w:p>
        </w:tc>
        <w:tc>
          <w:tcPr>
            <w:tcW w:type="dxa" w:w="1624"/>
          </w:tcPr>
          <w:p>
            <w:pPr>
              <w:jc w:val="center"/>
            </w:pPr>
            <w:r/>
            <w:r>
              <w:t>569</w:t>
            </w:r>
          </w:p>
        </w:tc>
        <w:tc>
          <w:tcPr>
            <w:tcW w:type="dxa" w:w="1624"/>
          </w:tcPr>
          <w:p>
            <w:pPr>
              <w:jc w:val="center"/>
            </w:pPr>
            <w:r/>
            <w:r>
              <w:t>\b96,1\b</w:t>
            </w:r>
          </w:p>
        </w:tc>
        <w:tc>
          <w:tcPr>
            <w:tcW w:type="dxa" w:w="1624"/>
          </w:tcPr>
          <w:p>
            <w:pPr>
              <w:jc w:val="center"/>
            </w:pPr>
            <w:r/>
            <w:r>
              <w:t>\b94,8\b</w:t>
            </w:r>
          </w:p>
        </w:tc>
        <w:tc>
          <w:tcPr>
            <w:tcW w:type="dxa" w:w="1624"/>
          </w:tcPr>
          <w:p>
            <w:pPr>
              <w:jc w:val="center"/>
            </w:pPr>
            <w:r/>
            <w:r>
              <w:t>\b95,4\b</w:t>
            </w:r>
          </w:p>
        </w:tc>
      </w:tr>
    </w:tbl>
    <w:p>
      <w:pPr>
        <w:pStyle w:val="IJTechText"/>
        <w:ind w:firstLine="283"/>
      </w:pPr>
      <w:r>
        <w:t>Pada 300 lux yang merupakan pencahayaan kantor standar, skor F1 makro mencapai 95,4% (Table 2).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IJTechText"/>
        <w:jc w:val="center"/>
      </w:pPr>
      <w:r>
        <w:rPr>
          <w:b/>
        </w:rPr>
        <w:t>Table 3</w:t>
      </w:r>
      <w:r>
        <w:t>. Matriks Konfusi pada 300 Lux (n=100 per kelas)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392"/>
        <w:gridCol w:w="1392"/>
        <w:gridCol w:w="1392"/>
        <w:gridCol w:w="1392"/>
        <w:gridCol w:w="1392"/>
        <w:gridCol w:w="1392"/>
        <w:gridCol w:w="1392"/>
      </w:tblGrid>
      <w:tr>
        <w:tc>
          <w:tcPr>
            <w:tcW w:type="dxa" w:w="1392"/>
          </w:tcPr>
          <w:p>
            <w:pPr>
              <w:jc w:val="center"/>
            </w:pPr>
            <w:r/>
            <w:r>
              <w:rPr>
                <w:b/>
              </w:rPr>
              <w:t>Aktual \ Prediksi</w:t>
            </w:r>
          </w:p>
        </w:tc>
        <w:tc>
          <w:tcPr>
            <w:tcW w:type="dxa" w:w="1392"/>
          </w:tcPr>
          <w:p>
            <w:pPr>
              <w:jc w:val="center"/>
            </w:pPr>
            <w:r/>
            <w:r>
              <w:rPr>
                <w:b/>
              </w:rPr>
              <w:t>0 (Kepalan)</w:t>
            </w:r>
          </w:p>
        </w:tc>
        <w:tc>
          <w:tcPr>
            <w:tcW w:type="dxa" w:w="1392"/>
          </w:tcPr>
          <w:p>
            <w:pPr>
              <w:jc w:val="center"/>
            </w:pPr>
            <w:r/>
            <w:r>
              <w:rPr>
                <w:b/>
              </w:rPr>
              <w:t>1 (Telunjuk)</w:t>
            </w:r>
          </w:p>
        </w:tc>
        <w:tc>
          <w:tcPr>
            <w:tcW w:type="dxa" w:w="1392"/>
          </w:tcPr>
          <w:p>
            <w:pPr>
              <w:jc w:val="center"/>
            </w:pPr>
            <w:r/>
            <w:r>
              <w:rPr>
                <w:b/>
              </w:rPr>
              <w:t>2 (Peace)</w:t>
            </w:r>
          </w:p>
        </w:tc>
        <w:tc>
          <w:tcPr>
            <w:tcW w:type="dxa" w:w="1392"/>
          </w:tcPr>
          <w:p>
            <w:pPr>
              <w:jc w:val="center"/>
            </w:pPr>
            <w:r/>
            <w:r>
              <w:rPr>
                <w:b/>
              </w:rPr>
              <w:t>3</w:t>
            </w:r>
          </w:p>
        </w:tc>
        <w:tc>
          <w:tcPr>
            <w:tcW w:type="dxa" w:w="1392"/>
          </w:tcPr>
          <w:p>
            <w:pPr>
              <w:jc w:val="center"/>
            </w:pPr>
            <w:r/>
            <w:r>
              <w:rPr>
                <w:b/>
              </w:rPr>
              <w:t>4</w:t>
            </w:r>
          </w:p>
        </w:tc>
        <w:tc>
          <w:tcPr>
            <w:tcW w:type="dxa" w:w="1392"/>
          </w:tcPr>
          <w:p>
            <w:pPr>
              <w:jc w:val="center"/>
            </w:pPr>
            <w:r/>
            <w:r>
              <w:rPr>
                <w:b/>
              </w:rPr>
              <w:t>5 (Telapak)</w:t>
            </w:r>
          </w:p>
        </w:tc>
      </w:tr>
      <w:tr>
        <w:tc>
          <w:tcPr>
            <w:tcW w:type="dxa" w:w="1392"/>
          </w:tcPr>
          <w:p>
            <w:pPr>
              <w:jc w:val="center"/>
            </w:pPr>
            <w:r/>
            <w:r>
              <w:t>0 (Kepalan)</w:t>
            </w:r>
          </w:p>
        </w:tc>
        <w:tc>
          <w:tcPr>
            <w:tcW w:type="dxa" w:w="1392"/>
          </w:tcPr>
          <w:p>
            <w:pPr>
              <w:jc w:val="center"/>
            </w:pPr>
            <w:r/>
            <w:r>
              <w:t>97</w:t>
            </w:r>
          </w:p>
        </w:tc>
        <w:tc>
          <w:tcPr>
            <w:tcW w:type="dxa" w:w="1392"/>
          </w:tcPr>
          <w:p>
            <w:pPr>
              <w:jc w:val="center"/>
            </w:pPr>
            <w:r/>
            <w:r>
              <w:t>0</w:t>
            </w:r>
          </w:p>
        </w:tc>
        <w:tc>
          <w:tcPr>
            <w:tcW w:type="dxa" w:w="1392"/>
          </w:tcPr>
          <w:p>
            <w:pPr>
              <w:jc w:val="center"/>
            </w:pPr>
            <w:r/>
            <w:r>
              <w:t>0</w:t>
            </w:r>
          </w:p>
        </w:tc>
        <w:tc>
          <w:tcPr>
            <w:tcW w:type="dxa" w:w="1392"/>
          </w:tcPr>
          <w:p>
            <w:pPr>
              <w:jc w:val="center"/>
            </w:pPr>
            <w:r/>
            <w:r>
              <w:t>0</w:t>
            </w:r>
          </w:p>
        </w:tc>
        <w:tc>
          <w:tcPr>
            <w:tcW w:type="dxa" w:w="1392"/>
          </w:tcPr>
          <w:p>
            <w:pPr>
              <w:jc w:val="center"/>
            </w:pPr>
            <w:r/>
            <w:r>
              <w:t>0</w:t>
            </w:r>
          </w:p>
        </w:tc>
        <w:tc>
          <w:tcPr>
            <w:tcW w:type="dxa" w:w="1392"/>
          </w:tcPr>
          <w:p>
            <w:pPr>
              <w:jc w:val="center"/>
            </w:pPr>
            <w:r/>
            <w:r>
              <w:t>3</w:t>
            </w:r>
          </w:p>
        </w:tc>
      </w:tr>
      <w:tr>
        <w:tc>
          <w:tcPr>
            <w:tcW w:type="dxa" w:w="1392"/>
          </w:tcPr>
          <w:p>
            <w:pPr>
              <w:jc w:val="center"/>
            </w:pPr>
            <w:r/>
            <w:r>
              <w:t>1 (Telunjuk)</w:t>
            </w:r>
          </w:p>
        </w:tc>
        <w:tc>
          <w:tcPr>
            <w:tcW w:type="dxa" w:w="1392"/>
          </w:tcPr>
          <w:p>
            <w:pPr>
              <w:jc w:val="center"/>
            </w:pPr>
            <w:r/>
            <w:r>
              <w:t>0</w:t>
            </w:r>
          </w:p>
        </w:tc>
        <w:tc>
          <w:tcPr>
            <w:tcW w:type="dxa" w:w="1392"/>
          </w:tcPr>
          <w:p>
            <w:pPr>
              <w:jc w:val="center"/>
            </w:pPr>
            <w:r/>
            <w:r>
              <w:t>95</w:t>
            </w:r>
          </w:p>
        </w:tc>
        <w:tc>
          <w:tcPr>
            <w:tcW w:type="dxa" w:w="1392"/>
          </w:tcPr>
          <w:p>
            <w:pPr>
              <w:jc w:val="center"/>
            </w:pPr>
            <w:r/>
            <w:r>
              <w:t>2</w:t>
            </w:r>
          </w:p>
        </w:tc>
        <w:tc>
          <w:tcPr>
            <w:tcW w:type="dxa" w:w="1392"/>
          </w:tcPr>
          <w:p>
            <w:pPr>
              <w:jc w:val="center"/>
            </w:pPr>
            <w:r/>
            <w:r>
              <w:t>0</w:t>
            </w:r>
          </w:p>
        </w:tc>
        <w:tc>
          <w:tcPr>
            <w:tcW w:type="dxa" w:w="1392"/>
          </w:tcPr>
          <w:p>
            <w:pPr>
              <w:jc w:val="center"/>
            </w:pPr>
            <w:r/>
            <w:r>
              <w:t>0</w:t>
            </w:r>
          </w:p>
        </w:tc>
        <w:tc>
          <w:tcPr>
            <w:tcW w:type="dxa" w:w="1392"/>
          </w:tcPr>
          <w:p>
            <w:pPr>
              <w:jc w:val="center"/>
            </w:pPr>
            <w:r/>
            <w:r>
              <w:t>3</w:t>
            </w:r>
          </w:p>
        </w:tc>
      </w:tr>
      <w:tr>
        <w:tc>
          <w:tcPr>
            <w:tcW w:type="dxa" w:w="1392"/>
          </w:tcPr>
          <w:p>
            <w:pPr>
              <w:jc w:val="center"/>
            </w:pPr>
            <w:r/>
            <w:r>
              <w:t>2 (Peace)</w:t>
            </w:r>
          </w:p>
        </w:tc>
        <w:tc>
          <w:tcPr>
            <w:tcW w:type="dxa" w:w="1392"/>
          </w:tcPr>
          <w:p>
            <w:pPr>
              <w:jc w:val="center"/>
            </w:pPr>
            <w:r/>
            <w:r>
              <w:t>0</w:t>
            </w:r>
          </w:p>
        </w:tc>
        <w:tc>
          <w:tcPr>
            <w:tcW w:type="dxa" w:w="1392"/>
          </w:tcPr>
          <w:p>
            <w:pPr>
              <w:jc w:val="center"/>
            </w:pPr>
            <w:r/>
            <w:r>
              <w:t>1</w:t>
            </w:r>
          </w:p>
        </w:tc>
        <w:tc>
          <w:tcPr>
            <w:tcW w:type="dxa" w:w="1392"/>
          </w:tcPr>
          <w:p>
            <w:pPr>
              <w:jc w:val="center"/>
            </w:pPr>
            <w:r/>
            <w:r>
              <w:t>94</w:t>
            </w:r>
          </w:p>
        </w:tc>
        <w:tc>
          <w:tcPr>
            <w:tcW w:type="dxa" w:w="1392"/>
          </w:tcPr>
          <w:p>
            <w:pPr>
              <w:jc w:val="center"/>
            </w:pPr>
            <w:r/>
            <w:r>
              <w:t>5</w:t>
            </w:r>
          </w:p>
        </w:tc>
        <w:tc>
          <w:tcPr>
            <w:tcW w:type="dxa" w:w="1392"/>
          </w:tcPr>
          <w:p>
            <w:pPr>
              <w:jc w:val="center"/>
            </w:pPr>
            <w:r/>
            <w:r>
              <w:t>0</w:t>
            </w:r>
          </w:p>
        </w:tc>
        <w:tc>
          <w:tcPr>
            <w:tcW w:type="dxa" w:w="1392"/>
          </w:tcPr>
          <w:p>
            <w:pPr>
              <w:jc w:val="center"/>
            </w:pPr>
            <w:r/>
            <w:r>
              <w:t>0</w:t>
            </w:r>
          </w:p>
        </w:tc>
      </w:tr>
      <w:tr>
        <w:tc>
          <w:tcPr>
            <w:tcW w:type="dxa" w:w="1392"/>
          </w:tcPr>
          <w:p>
            <w:pPr>
              <w:jc w:val="center"/>
            </w:pPr>
            <w:r/>
            <w:r>
              <w:t>3</w:t>
            </w:r>
          </w:p>
        </w:tc>
        <w:tc>
          <w:tcPr>
            <w:tcW w:type="dxa" w:w="1392"/>
          </w:tcPr>
          <w:p>
            <w:pPr>
              <w:jc w:val="center"/>
            </w:pPr>
            <w:r/>
            <w:r>
              <w:t>0</w:t>
            </w:r>
          </w:p>
        </w:tc>
        <w:tc>
          <w:tcPr>
            <w:tcW w:type="dxa" w:w="1392"/>
          </w:tcPr>
          <w:p>
            <w:pPr>
              <w:jc w:val="center"/>
            </w:pPr>
            <w:r/>
            <w:r>
              <w:t>0</w:t>
            </w:r>
          </w:p>
        </w:tc>
        <w:tc>
          <w:tcPr>
            <w:tcW w:type="dxa" w:w="1392"/>
          </w:tcPr>
          <w:p>
            <w:pPr>
              <w:jc w:val="center"/>
            </w:pPr>
            <w:r/>
            <w:r>
              <w:t>4</w:t>
            </w:r>
          </w:p>
        </w:tc>
        <w:tc>
          <w:tcPr>
            <w:tcW w:type="dxa" w:w="1392"/>
          </w:tcPr>
          <w:p>
            <w:pPr>
              <w:jc w:val="center"/>
            </w:pPr>
            <w:r/>
            <w:r>
              <w:t>93</w:t>
            </w:r>
          </w:p>
        </w:tc>
        <w:tc>
          <w:tcPr>
            <w:tcW w:type="dxa" w:w="1392"/>
          </w:tcPr>
          <w:p>
            <w:pPr>
              <w:jc w:val="center"/>
            </w:pPr>
            <w:r/>
            <w:r>
              <w:t>3</w:t>
            </w:r>
          </w:p>
        </w:tc>
        <w:tc>
          <w:tcPr>
            <w:tcW w:type="dxa" w:w="1392"/>
          </w:tcPr>
          <w:p>
            <w:pPr>
              <w:jc w:val="center"/>
            </w:pPr>
            <w:r/>
            <w:r>
              <w:t>0</w:t>
            </w:r>
          </w:p>
        </w:tc>
      </w:tr>
      <w:tr>
        <w:tc>
          <w:tcPr>
            <w:tcW w:type="dxa" w:w="1392"/>
          </w:tcPr>
          <w:p>
            <w:pPr>
              <w:jc w:val="center"/>
            </w:pPr>
            <w:r/>
            <w:r>
              <w:t>4</w:t>
            </w:r>
          </w:p>
        </w:tc>
        <w:tc>
          <w:tcPr>
            <w:tcW w:type="dxa" w:w="1392"/>
          </w:tcPr>
          <w:p>
            <w:pPr>
              <w:jc w:val="center"/>
            </w:pPr>
            <w:r/>
            <w:r>
              <w:t>0</w:t>
            </w:r>
          </w:p>
        </w:tc>
        <w:tc>
          <w:tcPr>
            <w:tcW w:type="dxa" w:w="1392"/>
          </w:tcPr>
          <w:p>
            <w:pPr>
              <w:jc w:val="center"/>
            </w:pPr>
            <w:r/>
            <w:r>
              <w:t>0</w:t>
            </w:r>
          </w:p>
        </w:tc>
        <w:tc>
          <w:tcPr>
            <w:tcW w:type="dxa" w:w="1392"/>
          </w:tcPr>
          <w:p>
            <w:pPr>
              <w:jc w:val="center"/>
            </w:pPr>
            <w:r/>
            <w:r>
              <w:t>0</w:t>
            </w:r>
          </w:p>
        </w:tc>
        <w:tc>
          <w:tcPr>
            <w:tcW w:type="dxa" w:w="1392"/>
          </w:tcPr>
          <w:p>
            <w:pPr>
              <w:jc w:val="center"/>
            </w:pPr>
            <w:r/>
            <w:r>
              <w:t>2</w:t>
            </w:r>
          </w:p>
        </w:tc>
        <w:tc>
          <w:tcPr>
            <w:tcW w:type="dxa" w:w="1392"/>
          </w:tcPr>
          <w:p>
            <w:pPr>
              <w:jc w:val="center"/>
            </w:pPr>
            <w:r/>
            <w:r>
              <w:t>92</w:t>
            </w:r>
          </w:p>
        </w:tc>
        <w:tc>
          <w:tcPr>
            <w:tcW w:type="dxa" w:w="1392"/>
          </w:tcPr>
          <w:p>
            <w:pPr>
              <w:jc w:val="center"/>
            </w:pPr>
            <w:r/>
            <w:r>
              <w:t>6</w:t>
            </w:r>
          </w:p>
        </w:tc>
      </w:tr>
      <w:tr>
        <w:tc>
          <w:tcPr>
            <w:tcW w:type="dxa" w:w="1392"/>
          </w:tcPr>
          <w:p>
            <w:pPr>
              <w:jc w:val="center"/>
            </w:pPr>
            <w:r/>
            <w:r>
              <w:t>5 (Telapak)</w:t>
            </w:r>
          </w:p>
        </w:tc>
        <w:tc>
          <w:tcPr>
            <w:tcW w:type="dxa" w:w="1392"/>
          </w:tcPr>
          <w:p>
            <w:pPr>
              <w:jc w:val="center"/>
            </w:pPr>
            <w:r/>
            <w:r>
              <w:t>2</w:t>
            </w:r>
          </w:p>
        </w:tc>
        <w:tc>
          <w:tcPr>
            <w:tcW w:type="dxa" w:w="1392"/>
          </w:tcPr>
          <w:p>
            <w:pPr>
              <w:jc w:val="center"/>
            </w:pPr>
            <w:r/>
            <w:r>
              <w:t>0</w:t>
            </w:r>
          </w:p>
        </w:tc>
        <w:tc>
          <w:tcPr>
            <w:tcW w:type="dxa" w:w="1392"/>
          </w:tcPr>
          <w:p>
            <w:pPr>
              <w:jc w:val="center"/>
            </w:pPr>
            <w:r/>
            <w:r>
              <w:t>0</w:t>
            </w:r>
          </w:p>
        </w:tc>
        <w:tc>
          <w:tcPr>
            <w:tcW w:type="dxa" w:w="1392"/>
          </w:tcPr>
          <w:p>
            <w:pPr>
              <w:jc w:val="center"/>
            </w:pPr>
            <w:r/>
            <w:r>
              <w:t>0</w:t>
            </w:r>
          </w:p>
        </w:tc>
        <w:tc>
          <w:tcPr>
            <w:tcW w:type="dxa" w:w="1392"/>
          </w:tcPr>
          <w:p>
            <w:pPr>
              <w:jc w:val="center"/>
            </w:pPr>
            <w:r/>
            <w:r>
              <w:t>0</w:t>
            </w:r>
          </w:p>
        </w:tc>
        <w:tc>
          <w:tcPr>
            <w:tcW w:type="dxa" w:w="1392"/>
          </w:tcPr>
          <w:p>
            <w:pPr>
              <w:jc w:val="center"/>
            </w:pPr>
            <w:r/>
            <w:r>
              <w:t>98</w:t>
            </w:r>
          </w:p>
        </w:tc>
      </w:tr>
    </w:tbl>
    <w:p>
      <w:pPr>
        <w:pStyle w:val="IJTechText"/>
        <w:ind w:firstLine="283"/>
      </w:pPr>
      <w:r>
        <w:t>Dari matriks konfusi (Table 3),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IJTechText"/>
        <w:ind w:firstLine="283"/>
      </w:pPr>
      <w:r>
        <w:t>Heatmap dari data Table 3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IJTechText"/>
        <w:ind w:firstLine="283"/>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IJTechText"/>
        <w:ind w:firstLine="283"/>
      </w:pPr>
      <w:r>
        <w:t>Presisi dan recall pada 300 lux (Gbr. 11) saling berdekatan untuk keenam kelas. Kepalan dan telapak terbuka tertinggi karena keduanya paling berbeda dalam proyeksi 2-D. Akurasi keseluruhan:</w:t>
      </w:r>
    </w:p>
    <w:p>
      <w:pPr>
        <w:pStyle w:val="IJTechText"/>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pPr>
        <w:pStyle w:val="IJTechText"/>
        <w:ind w:firstLine="283"/>
      </w:pPr>
      <w:r>
        <w:t>Pada persamaan (13), TP_k adalah true-positive dan FN_k false-negative untuk kelas k. F1 makro digunakan sebagai metrik utama karena semua kelas terwakili merata. Pada 300 lux, classifier bekerja andal di bawah pencahayaan indoor standar.</w:t>
      </w:r>
    </w:p>
    <w:p>
      <w:pPr>
        <w:pStyle w:val="IJTechSubheading"/>
      </w:pPr>
      <w:r>
        <w:t>Latensi Komunikasi Modbus TCP</w:t>
      </w:r>
    </w:p>
    <w:p>
      <w:pPr>
        <w:pStyle w:val="IJTechText"/>
        <w:ind w:firstLine="283"/>
      </w:pPr>
      <w:r>
        <w:t>Thread 3 mencatat wall-clock start dan end dari setiap permintaan Modbus pada 10.000 sampel per kondisi. Beban CPU divariasikan menggunakan tugas video-encoding paralel dalam proses terpisah.</w:t>
      </w:r>
    </w:p>
    <w:p>
      <w:pPr>
        <w:pStyle w:val="IJTechText"/>
        <w:jc w:val="center"/>
      </w:pPr>
      <w:r>
        <w:rPr>
          <w:b/>
        </w:rPr>
        <w:t>Table 4</w:t>
      </w:r>
      <w:r>
        <w:t>. Distribusi Latensi Modbus TCP (n=10.000 per kondisi)</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218"/>
        <w:gridCol w:w="1218"/>
        <w:gridCol w:w="1218"/>
        <w:gridCol w:w="1218"/>
        <w:gridCol w:w="1218"/>
        <w:gridCol w:w="1218"/>
        <w:gridCol w:w="1218"/>
        <w:gridCol w:w="1218"/>
      </w:tblGrid>
      <w:tr>
        <w:tc>
          <w:tcPr>
            <w:tcW w:type="dxa" w:w="1218"/>
          </w:tcPr>
          <w:p>
            <w:pPr>
              <w:jc w:val="center"/>
            </w:pPr>
            <w:r/>
            <w:r>
              <w:rPr>
                <w:b/>
              </w:rPr>
              <w:t>Beban CPU (%)</w:t>
            </w:r>
          </w:p>
        </w:tc>
        <w:tc>
          <w:tcPr>
            <w:tcW w:type="dxa" w:w="1218"/>
          </w:tcPr>
          <w:p>
            <w:pPr>
              <w:jc w:val="center"/>
            </w:pPr>
            <w:r/>
            <w:r>
              <w:rPr>
                <w:b/>
              </w:rPr>
              <w:t>Min (ms)</w:t>
            </w:r>
          </w:p>
        </w:tc>
        <w:tc>
          <w:tcPr>
            <w:tcW w:type="dxa" w:w="1218"/>
          </w:tcPr>
          <w:p>
            <w:pPr>
              <w:jc w:val="center"/>
            </w:pPr>
            <w:r/>
            <w:r>
              <w:rPr>
                <w:b/>
              </w:rPr>
              <w:t>Median (ms)</w:t>
            </w:r>
          </w:p>
        </w:tc>
        <w:tc>
          <w:tcPr>
            <w:tcW w:type="dxa" w:w="1218"/>
          </w:tcPr>
          <w:p>
            <w:pPr>
              <w:jc w:val="center"/>
            </w:pPr>
            <w:r/>
            <w:r>
              <w:rPr>
                <w:b/>
              </w:rPr>
              <w:t>Mean (ms)</w:t>
            </w:r>
          </w:p>
        </w:tc>
        <w:tc>
          <w:tcPr>
            <w:tcW w:type="dxa" w:w="1218"/>
          </w:tcPr>
          <w:p>
            <w:pPr>
              <w:jc w:val="center"/>
            </w:pPr>
            <w:r/>
            <w:r>
              <w:rPr>
                <w:b/>
              </w:rPr>
              <w:t>P95 (ms)</w:t>
            </w:r>
          </w:p>
        </w:tc>
        <w:tc>
          <w:tcPr>
            <w:tcW w:type="dxa" w:w="1218"/>
          </w:tcPr>
          <w:p>
            <w:pPr>
              <w:jc w:val="center"/>
            </w:pPr>
            <w:r/>
            <w:r>
              <w:rPr>
                <w:b/>
              </w:rPr>
              <w:t>P99 (ms)</w:t>
            </w:r>
          </w:p>
        </w:tc>
        <w:tc>
          <w:tcPr>
            <w:tcW w:type="dxa" w:w="1218"/>
          </w:tcPr>
          <w:p>
            <w:pPr>
              <w:jc w:val="center"/>
            </w:pPr>
            <w:r/>
            <w:r>
              <w:rPr>
                <w:b/>
              </w:rPr>
              <w:t>Maks (ms)</w:t>
            </w:r>
          </w:p>
        </w:tc>
        <w:tc>
          <w:tcPr>
            <w:tcW w:type="dxa" w:w="1218"/>
          </w:tcPr>
          <w:p>
            <w:pPr>
              <w:jc w:val="center"/>
            </w:pPr>
            <w:r/>
            <w:r>
              <w:rPr>
                <w:b/>
              </w:rPr>
              <w:t>Std Dev (ms)</w:t>
            </w:r>
          </w:p>
        </w:tc>
      </w:tr>
      <w:tr>
        <w:tc>
          <w:tcPr>
            <w:tcW w:type="dxa" w:w="1218"/>
          </w:tcPr>
          <w:p>
            <w:pPr>
              <w:jc w:val="center"/>
            </w:pPr>
            <w:r/>
            <w:r>
              <w:t>Idle (0-10%)</w:t>
            </w:r>
          </w:p>
        </w:tc>
        <w:tc>
          <w:tcPr>
            <w:tcW w:type="dxa" w:w="1218"/>
          </w:tcPr>
          <w:p>
            <w:pPr>
              <w:jc w:val="center"/>
            </w:pPr>
            <w:r/>
            <w:r>
              <w:t>1,2</w:t>
            </w:r>
          </w:p>
        </w:tc>
        <w:tc>
          <w:tcPr>
            <w:tcW w:type="dxa" w:w="1218"/>
          </w:tcPr>
          <w:p>
            <w:pPr>
              <w:jc w:val="center"/>
            </w:pPr>
            <w:r/>
            <w:r>
              <w:t>8,4</w:t>
            </w:r>
          </w:p>
        </w:tc>
        <w:tc>
          <w:tcPr>
            <w:tcW w:type="dxa" w:w="1218"/>
          </w:tcPr>
          <w:p>
            <w:pPr>
              <w:jc w:val="center"/>
            </w:pPr>
            <w:r/>
            <w:r>
              <w:t>9,1</w:t>
            </w:r>
          </w:p>
        </w:tc>
        <w:tc>
          <w:tcPr>
            <w:tcW w:type="dxa" w:w="1218"/>
          </w:tcPr>
          <w:p>
            <w:pPr>
              <w:jc w:val="center"/>
            </w:pPr>
            <w:r/>
            <w:r>
              <w:t>18,7</w:t>
            </w:r>
          </w:p>
        </w:tc>
        <w:tc>
          <w:tcPr>
            <w:tcW w:type="dxa" w:w="1218"/>
          </w:tcPr>
          <w:p>
            <w:pPr>
              <w:jc w:val="center"/>
            </w:pPr>
            <w:r/>
            <w:r>
              <w:t>27,3</w:t>
            </w:r>
          </w:p>
        </w:tc>
        <w:tc>
          <w:tcPr>
            <w:tcW w:type="dxa" w:w="1218"/>
          </w:tcPr>
          <w:p>
            <w:pPr>
              <w:jc w:val="center"/>
            </w:pPr>
            <w:r/>
            <w:r>
              <w:t>42,1</w:t>
            </w:r>
          </w:p>
        </w:tc>
        <w:tc>
          <w:tcPr>
            <w:tcW w:type="dxa" w:w="1218"/>
          </w:tcPr>
          <w:p>
            <w:pPr>
              <w:jc w:val="center"/>
            </w:pPr>
            <w:r/>
            <w:r>
              <w:t>5,8</w:t>
            </w:r>
          </w:p>
        </w:tc>
      </w:tr>
      <w:tr>
        <w:tc>
          <w:tcPr>
            <w:tcW w:type="dxa" w:w="1218"/>
          </w:tcPr>
          <w:p>
            <w:pPr>
              <w:jc w:val="center"/>
            </w:pPr>
            <w:r/>
            <w:r>
              <w:t>Moderat (45-55%)</w:t>
            </w:r>
          </w:p>
        </w:tc>
        <w:tc>
          <w:tcPr>
            <w:tcW w:type="dxa" w:w="1218"/>
          </w:tcPr>
          <w:p>
            <w:pPr>
              <w:jc w:val="center"/>
            </w:pPr>
            <w:r/>
            <w:r>
              <w:t>1,8</w:t>
            </w:r>
          </w:p>
        </w:tc>
        <w:tc>
          <w:tcPr>
            <w:tcW w:type="dxa" w:w="1218"/>
          </w:tcPr>
          <w:p>
            <w:pPr>
              <w:jc w:val="center"/>
            </w:pPr>
            <w:r/>
            <w:r>
              <w:t>10,2</w:t>
            </w:r>
          </w:p>
        </w:tc>
        <w:tc>
          <w:tcPr>
            <w:tcW w:type="dxa" w:w="1218"/>
          </w:tcPr>
          <w:p>
            <w:pPr>
              <w:jc w:val="center"/>
            </w:pPr>
            <w:r/>
            <w:r>
              <w:t>12,3</w:t>
            </w:r>
          </w:p>
        </w:tc>
        <w:tc>
          <w:tcPr>
            <w:tcW w:type="dxa" w:w="1218"/>
          </w:tcPr>
          <w:p>
            <w:pPr>
              <w:jc w:val="center"/>
            </w:pPr>
            <w:r/>
            <w:r>
              <w:t>24,9</w:t>
            </w:r>
          </w:p>
        </w:tc>
        <w:tc>
          <w:tcPr>
            <w:tcW w:type="dxa" w:w="1218"/>
          </w:tcPr>
          <w:p>
            <w:pPr>
              <w:jc w:val="center"/>
            </w:pPr>
            <w:r/>
            <w:r>
              <w:t>38,6</w:t>
            </w:r>
          </w:p>
        </w:tc>
        <w:tc>
          <w:tcPr>
            <w:tcW w:type="dxa" w:w="1218"/>
          </w:tcPr>
          <w:p>
            <w:pPr>
              <w:jc w:val="center"/>
            </w:pPr>
            <w:r/>
            <w:r>
              <w:t>67,4</w:t>
            </w:r>
          </w:p>
        </w:tc>
        <w:tc>
          <w:tcPr>
            <w:tcW w:type="dxa" w:w="1218"/>
          </w:tcPr>
          <w:p>
            <w:pPr>
              <w:jc w:val="center"/>
            </w:pPr>
            <w:r/>
            <w:r>
              <w:t>8,4</w:t>
            </w:r>
          </w:p>
        </w:tc>
      </w:tr>
      <w:tr>
        <w:tc>
          <w:tcPr>
            <w:tcW w:type="dxa" w:w="1218"/>
          </w:tcPr>
          <w:p>
            <w:pPr>
              <w:jc w:val="center"/>
            </w:pPr>
            <w:r/>
            <w:r>
              <w:t>Intensif (75-85%)</w:t>
            </w:r>
          </w:p>
        </w:tc>
        <w:tc>
          <w:tcPr>
            <w:tcW w:type="dxa" w:w="1218"/>
          </w:tcPr>
          <w:p>
            <w:pPr>
              <w:jc w:val="center"/>
            </w:pPr>
            <w:r/>
            <w:r>
              <w:t>2,1</w:t>
            </w:r>
          </w:p>
        </w:tc>
        <w:tc>
          <w:tcPr>
            <w:tcW w:type="dxa" w:w="1218"/>
          </w:tcPr>
          <w:p>
            <w:pPr>
              <w:jc w:val="center"/>
            </w:pPr>
            <w:r/>
            <w:r>
              <w:t>14,7</w:t>
            </w:r>
          </w:p>
        </w:tc>
        <w:tc>
          <w:tcPr>
            <w:tcW w:type="dxa" w:w="1218"/>
          </w:tcPr>
          <w:p>
            <w:pPr>
              <w:jc w:val="center"/>
            </w:pPr>
            <w:r/>
            <w:r>
              <w:t>17,8</w:t>
            </w:r>
          </w:p>
        </w:tc>
        <w:tc>
          <w:tcPr>
            <w:tcW w:type="dxa" w:w="1218"/>
          </w:tcPr>
          <w:p>
            <w:pPr>
              <w:jc w:val="center"/>
            </w:pPr>
            <w:r/>
            <w:r>
              <w:t>41,2</w:t>
            </w:r>
          </w:p>
        </w:tc>
        <w:tc>
          <w:tcPr>
            <w:tcW w:type="dxa" w:w="1218"/>
          </w:tcPr>
          <w:p>
            <w:pPr>
              <w:jc w:val="center"/>
            </w:pPr>
            <w:r/>
            <w:r>
              <w:t>78,9</w:t>
            </w:r>
          </w:p>
        </w:tc>
        <w:tc>
          <w:tcPr>
            <w:tcW w:type="dxa" w:w="1218"/>
          </w:tcPr>
          <w:p>
            <w:pPr>
              <w:jc w:val="center"/>
            </w:pPr>
            <w:r/>
            <w:r>
              <w:t>312,4</w:t>
            </w:r>
          </w:p>
        </w:tc>
        <w:tc>
          <w:tcPr>
            <w:tcW w:type="dxa" w:w="1218"/>
          </w:tcPr>
          <w:p>
            <w:pPr>
              <w:jc w:val="center"/>
            </w:pPr>
            <w:r/>
            <w:r>
              <w:t>19,7</w:t>
            </w:r>
          </w:p>
        </w:tc>
      </w:tr>
    </w:tbl>
    <w:p>
      <w:pPr>
        <w:pStyle w:val="IJTechText"/>
        <w:ind w:firstLine="283"/>
      </w:pPr>
      <w:r>
        <w:t>Pada beban moderat yang mendekati kondisi operasi normal pabrik, median round-trip 10,2 ms dan rata-rata 12,3 ms (Table 4). Stack Modbus industri biasanya timeout pada 100 ms (Nikolajew, 2024),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IJTechText"/>
        <w:ind w:firstLine="283"/>
      </w:pPr>
      <w:r>
        <w:t>Kurva idle dan moderat (Gbr. 12) mengelompok di bawah 40 ms. Kurva beban intensif mencapai 312,4 ms, namun 99% sampel masih di bawah 78,9 ms. Komponen delay pipeline: penangkapan kamera T_cap ≈ 3,2 ms, inferensi MediaPipe T_inf ≈ 18,4 ms, jendela debounce T_deb ≈ 83,3 ms, round-trip Modbus T_modbus ≈ 12,3 ms.</w:t>
      </w:r>
    </w:p>
    <w:p>
      <w:pPr>
        <w:pStyle w:val="IJTechText"/>
        <w:ind w:firstLine="283"/>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IJTechSubheading"/>
      </w:pPr>
      <w:r>
        <w:t>Uji Ketahanan 24 Jam</w:t>
      </w:r>
    </w:p>
    <w:p>
      <w:pPr>
        <w:pStyle w:val="IJTechText"/>
        <w:ind w:firstLine="283"/>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IJTechText"/>
        <w:jc w:val="center"/>
      </w:pPr>
      <w:r>
        <w:rPr>
          <w:b/>
        </w:rPr>
        <w:t>Table 5</w:t>
      </w:r>
      <w:r>
        <w:t>. Hasil Uji Ketahanan 24 Jam</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873"/>
        <w:gridCol w:w="4873"/>
      </w:tblGrid>
      <w:tr>
        <w:tc>
          <w:tcPr>
            <w:tcW w:type="dxa" w:w="4873"/>
          </w:tcPr>
          <w:p>
            <w:pPr>
              <w:jc w:val="center"/>
            </w:pPr>
            <w:r/>
            <w:r>
              <w:rPr>
                <w:b/>
              </w:rPr>
              <w:t>Metrik</w:t>
            </w:r>
          </w:p>
        </w:tc>
        <w:tc>
          <w:tcPr>
            <w:tcW w:type="dxa" w:w="4873"/>
          </w:tcPr>
          <w:p>
            <w:pPr>
              <w:jc w:val="center"/>
            </w:pPr>
            <w:r/>
            <w:r>
              <w:rPr>
                <w:b/>
              </w:rPr>
              <w:t>Hasil</w:t>
            </w:r>
          </w:p>
        </w:tc>
      </w:tr>
      <w:tr>
        <w:tc>
          <w:tcPr>
            <w:tcW w:type="dxa" w:w="4873"/>
          </w:tcPr>
          <w:p>
            <w:pPr>
              <w:jc w:val="center"/>
            </w:pPr>
            <w:r/>
            <w:r>
              <w:t>Total Transaksi Modbus (FC1 + FC15)</w:t>
            </w:r>
          </w:p>
        </w:tc>
        <w:tc>
          <w:tcPr>
            <w:tcW w:type="dxa" w:w="4873"/>
          </w:tcPr>
          <w:p>
            <w:pPr>
              <w:jc w:val="center"/>
            </w:pPr>
            <w:r/>
            <w:r>
              <w:t>872.640</w:t>
            </w:r>
          </w:p>
        </w:tc>
      </w:tr>
      <w:tr>
        <w:tc>
          <w:tcPr>
            <w:tcW w:type="dxa" w:w="4873"/>
          </w:tcPr>
          <w:p>
            <w:pPr>
              <w:jc w:val="center"/>
            </w:pPr>
            <w:r/>
            <w:r>
              <w:t>Transaksi Berhasil</w:t>
            </w:r>
          </w:p>
        </w:tc>
        <w:tc>
          <w:tcPr>
            <w:tcW w:type="dxa" w:w="4873"/>
          </w:tcPr>
          <w:p>
            <w:pPr>
              <w:jc w:val="center"/>
            </w:pPr>
            <w:r/>
            <w:r>
              <w:t>872.000</w:t>
            </w:r>
          </w:p>
        </w:tc>
      </w:tr>
      <w:tr>
        <w:tc>
          <w:tcPr>
            <w:tcW w:type="dxa" w:w="4873"/>
          </w:tcPr>
          <w:p>
            <w:pPr>
              <w:jc w:val="center"/>
            </w:pPr>
            <w:r/>
            <w:r>
              <w:t>Tingkat Keberhasilan Tulis FC15</w:t>
            </w:r>
          </w:p>
        </w:tc>
        <w:tc>
          <w:tcPr>
            <w:tcW w:type="dxa" w:w="4873"/>
          </w:tcPr>
          <w:p>
            <w:pPr>
              <w:jc w:val="center"/>
            </w:pPr>
            <w:r/>
            <w:r>
              <w:t>99,97%</w:t>
            </w:r>
          </w:p>
        </w:tc>
      </w:tr>
      <w:tr>
        <w:tc>
          <w:tcPr>
            <w:tcW w:type="dxa" w:w="4873"/>
          </w:tcPr>
          <w:p>
            <w:pPr>
              <w:jc w:val="center"/>
            </w:pPr>
            <w:r/>
            <w:r>
              <w:t>Tingkat Keberhasilan Baca FC1</w:t>
            </w:r>
          </w:p>
        </w:tc>
        <w:tc>
          <w:tcPr>
            <w:tcW w:type="dxa" w:w="4873"/>
          </w:tcPr>
          <w:p>
            <w:pPr>
              <w:jc w:val="center"/>
            </w:pPr>
            <w:r/>
            <w:r>
              <w:t>99,92%</w:t>
            </w:r>
          </w:p>
        </w:tc>
      </w:tr>
      <w:tr>
        <w:tc>
          <w:tcPr>
            <w:tcW w:type="dxa" w:w="4873"/>
          </w:tcPr>
          <w:p>
            <w:pPr>
              <w:jc w:val="center"/>
            </w:pPr>
            <w:r/>
            <w:r>
              <w:t>MTBF (Mean Time Between Failures)</w:t>
            </w:r>
          </w:p>
        </w:tc>
        <w:tc>
          <w:tcPr>
            <w:tcW w:type="dxa" w:w="4873"/>
          </w:tcPr>
          <w:p>
            <w:pPr>
              <w:jc w:val="center"/>
            </w:pPr>
            <w:r/>
            <w:r>
              <w:t>8,2 jam</w:t>
            </w:r>
          </w:p>
        </w:tc>
      </w:tr>
      <w:tr>
        <w:tc>
          <w:tcPr>
            <w:tcW w:type="dxa" w:w="4873"/>
          </w:tcPr>
          <w:p>
            <w:pPr>
              <w:jc w:val="center"/>
            </w:pPr>
            <w:r/>
            <w:r>
              <w:t>Pertumbuhan Memori</w:t>
            </w:r>
          </w:p>
        </w:tc>
        <w:tc>
          <w:tcPr>
            <w:tcW w:type="dxa" w:w="4873"/>
          </w:tcPr>
          <w:p>
            <w:pPr>
              <w:jc w:val="center"/>
            </w:pPr>
            <w:r/>
            <w:r>
              <w:t>12,4 MB</w:t>
            </w:r>
          </w:p>
        </w:tc>
      </w:tr>
      <w:tr>
        <w:tc>
          <w:tcPr>
            <w:tcW w:type="dxa" w:w="4873"/>
          </w:tcPr>
          <w:p>
            <w:pPr>
              <w:jc w:val="center"/>
            </w:pPr>
            <w:r/>
            <w:r>
              <w:t>Frame Rate (target 30 fps)</w:t>
            </w:r>
          </w:p>
        </w:tc>
        <w:tc>
          <w:tcPr>
            <w:tcW w:type="dxa" w:w="4873"/>
          </w:tcPr>
          <w:p>
            <w:pPr>
              <w:jc w:val="center"/>
            </w:pPr>
            <w:r/>
            <w:r>
              <w:t>29,7 fps</w:t>
            </w:r>
          </w:p>
        </w:tc>
      </w:tr>
    </w:tbl>
    <w:p>
      <w:pPr>
        <w:pStyle w:val="IJTechText"/>
        <w:ind w:firstLine="283"/>
      </w:pPr>
      <w:r>
        <w:t>Keberhasilan tulis FC15 mencapai 99,97% dan pembacaan FC1 99,92% dari 872.640 transaksi (Table 5).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IJTechText"/>
        <w:ind w:firstLine="283"/>
      </w:pPr>
      <w:r>
        <w:t>Tingkat keberhasilan (Gbr. 14) bertahan di atas 99,7% untuk FC1 maupun FC15, dengan penurunan di sekitar jam ke-7, 15, dan 22. Ketiga penurunan sesuai dengan tiga kegagalan komunikasi dalam log, konsisten dengan MTBF 8,2 jam.</w:t>
      </w:r>
    </w:p>
    <w:p>
      <w:pPr>
        <w:pStyle w:val="IJTechHeadingSection"/>
      </w:pPr>
      <w:r>
        <w:t>KESIMPULAN</w:t>
      </w:r>
    </w:p>
    <w:p>
      <w:pPr>
        <w:pStyle w:val="IJTechHeadingSection"/>
      </w:pPr>
      <w:r>
        <w:t>REFERENCES</w:t>
      </w:r>
    </w:p>
    <w:p>
      <w:pPr>
        <w:pStyle w:val="IJTechText"/>
      </w:pPr>
      <w:r>
        <w:rPr>
          <w:i/>
        </w:rPr>
        <w:t>[⚠️ Note: Only 20 references provided. IJT requires minimum 36 references for Regular Article. Add 16 more references to comply with template requirements.]</w:t>
      </w:r>
    </w:p>
    <w:p>
      <w:pPr>
        <w:pStyle w:val="IJTechText"/>
      </w:pPr>
      <w:r>
        <w:t>Bensaadallah, M. and Ghoggali, N. (2023) 'Deep Learning-Based Real-Time Hand Landmark Recognition with MediaPipe for R12 Robot Control' in Proc. Int. Conf. Elect. Eng. Adv. Technol. (ICEEAT), 2023, pp. 1–6 doi: 10.1109/ICEEAT60471.2023.10426264.</w:t>
      </w:r>
    </w:p>
    <w:p>
      <w:pPr>
        <w:pStyle w:val="IJTechText"/>
      </w:pPr>
      <w:r>
        <w:t>Benyezza, H. and Bouhedda, M. (2023) 'Automated Fruits Inspection and Sorting Smart System for Industry 4.0 Based on OpenCV and PLC' in Proc. 2nd Int. Conf. Electron. Energy Meas. (IC2EM), 2023, pp. 1–6 doi: 10.1109/IC2EM59347.2023.10419533.</w:t>
      </w:r>
    </w:p>
    <w:p>
      <w:pPr>
        <w:pStyle w:val="IJTechText"/>
      </w:pPr>
      <w:r>
        <w:t>Jamage, M. and Rane, S. (2025) 'Real-Time Hand Gesture Recognition Using CNN-LSTM for Gesture-to-Voice and Device Control' in Proc. 9th Int. Conf. Comput. Commun. Control Autom. (ICCUBEA), 2025, pp. 1–7 doi: 10.1109/ICCUBEA65967.2025.11284053.</w:t>
      </w:r>
    </w:p>
    <w:p>
      <w:pPr>
        <w:pStyle w:val="IJTechText"/>
      </w:pPr>
      <w:r>
        <w:t>Kwolek, B. (1999) 'Continuous Hand Gesture Recognition for Human-Robot Collaborative Assembly' in Proc. IEEE/CVF Int. Conf. Comput. Vis. Workshops (ICCVW), 2023, pp. 1992– doi: 10.1109/ICCVW60793.2023.00214.</w:t>
      </w:r>
    </w:p>
    <w:p>
      <w:pPr>
        <w:pStyle w:val="IJTechText"/>
      </w:pPr>
      <w:r>
        <w:t>Li, Y. and Zhang, J. (2025) 'Design of Industrial Equipment Remote Control System Based on Python' in Proc. 8th Int. Conf. Electron. Technol. (ICET), 2025, pp. 1–6 doi: 10.1109/ICET64964.2025.11103226.</w:t>
      </w:r>
    </w:p>
    <w:p>
      <w:pPr>
        <w:pStyle w:val="IJTechText"/>
      </w:pPr>
      <w:r>
        <w:t>Lugaresi, C. et al. (2019) 'MediaPipe: A Framework for Building Perception Pipelines' preprint arXiv:1906.08172, Jun.</w:t>
      </w:r>
    </w:p>
    <w:p>
      <w:pPr>
        <w:pStyle w:val="IJTechText"/>
      </w:pPr>
      <w:r>
        <w:t>Muhtadin, I. W. A. Darmawan, M. H. Rusydiansyah, I. K. E. Purnama, C. Fatichah, and M. H. Purnomo (2025) 'Hand Gesture Recognition for Collaborative Robots Using Lightweight Deep Learning in Real-Time Robotic Systems' in Proc. Int. Seminar Intell. Technol. Its Appl. (ISITIA), 2025, pp. 1–6 doi: 10.1109/ISITIA66279.2025.11137561.</w:t>
      </w:r>
    </w:p>
    <w:p>
      <w:pPr>
        <w:pStyle w:val="IJTechText"/>
      </w:pPr>
      <w:r>
        <w:t>Nguyen, P. (2021) 'Hand Gesture Recognition Algorithm Using SVM and HOG Model for Control of Robotic System' J. Robot., vol. 2021, art. 3986497 doi: 10.1155/2021/3986497.</w:t>
      </w:r>
    </w:p>
    <w:p>
      <w:pPr>
        <w:pStyle w:val="IJTechText"/>
      </w:pPr>
      <w:r>
        <w:t>Nikolajew, C. and Eichelberger, H. (2024) 'Industry 4.0 Connectors – A Performance Experiment with Modbus/TCP' preprint arXiv:2410.15813, Oct.</w:t>
      </w:r>
    </w:p>
    <w:p>
      <w:pPr>
        <w:pStyle w:val="IJTechText"/>
      </w:pPr>
      <w:r>
        <w:t>Peral, M. and Sanfeliu, A. (2022) 'Efficient Hand Gesture Recognition for Human-Robot Interaction' IEEE Robot. Autom. Lett., vol. 7, no. 4, pp. 10272–10279, Oct doi: 10.1109/LRA.2022.3193251.</w:t>
      </w:r>
    </w:p>
    <w:p>
      <w:pPr>
        <w:pStyle w:val="IJTechText"/>
      </w:pPr>
      <w:r>
        <w:t>Qurrat-ul-Ain, S. N. Talpur, N. U. Z. Laghari, and M. S. Rattar (2020) 'Machine Control Using Hand Gesture Recognition' Gyancity J. Electron. Comput. Sci., vol. 5, no. 1, pp. 19–28, Mar doi: 10.21058/gjecs.2020.51003.</w:t>
      </w:r>
    </w:p>
    <w:p>
      <w:pPr>
        <w:pStyle w:val="IJTechText"/>
      </w:pPr>
      <w:r>
        <w:t>Sawarkar, C. D. and Vaidya, V. (2024) 'AI Based Real Time Hand Gesture Recognition System' Int. Res. J. Modernization Eng. Technol. Sci., vol. 6, no. 1, pp. 1–8, Jan doi: 10.56726/IRJMETS48782.</w:t>
      </w:r>
    </w:p>
    <w:p>
      <w:pPr>
        <w:pStyle w:val="IJTechText"/>
      </w:pPr>
      <w:r>
        <w:t>Schneider Electric (2022) 'Modicon M221 Logic Controller – Programming Guide' Tech. Rep., ver. 1.7, 2022. [Online]. Available: https://www.schneider-electric.com.</w:t>
      </w:r>
    </w:p>
    <w:p>
      <w:pPr>
        <w:pStyle w:val="IJTechText"/>
      </w:pPr>
      <w:r>
        <w:t>Shaikh, M. and Shah, P. (2023) 'Communication Protocols in Industry 4.0' in Proc. Int. Conf. Sustain. Emerg. Innov. Eng. Technol. (ICSEIET), 2023, pp. 1–6 doi: 10.1109/ICSEIET58677.2023.10303397.</w:t>
      </w:r>
    </w:p>
    <w:p>
      <w:pPr>
        <w:pStyle w:val="IJTechText"/>
      </w:pPr>
      <w:r>
        <w:t>Tapia, E. and Sastoque, L. (2023) 'Assessing Industrial Communication Protocols to Bridge the Gap between Machine Tools and Software Monitoring' Sensors, vol. 23, no. 12, art. 5694 doi: 10.3390/s23125694.</w:t>
      </w:r>
    </w:p>
    <w:p>
      <w:pPr>
        <w:pStyle w:val="IJTechText"/>
      </w:pPr>
      <w:r>
        <w:t>Tchantchane, R. and Zhou, H. (2023) 'A Review of Hand Gesture Recognition Systems Based on Noninvasive Wearable Sensors' Adv. Intell. Syst., vol. 5, no. 2, art. 2300207 doi: 10.1002/aisy.202300207.</w:t>
      </w:r>
    </w:p>
    <w:p>
      <w:pPr>
        <w:pStyle w:val="IJTechText"/>
      </w:pPr>
      <w:r>
        <w:t>Vijayachitra, S. and Prabhu, K. (2025) 'Advanced PLC-based Automation for Converging System and Warehousing' in Proc. 5th Int. Conf. Trends Mater. Sci. Invent. Mater. (ICTMIM), 2025, pp. 1–6 doi: 10.1109/ICTMIM65579.2025.10988042.</w:t>
      </w:r>
    </w:p>
    <w:p>
      <w:pPr>
        <w:pStyle w:val="IJTechText"/>
      </w:pPr>
      <w:r>
        <w:t>Wang, Y. and Peng, D. (2022) 'Modbus/TCP Data Acquisition System Based on Industrial Ethernet Technology' in Proc. 4th IEEE Int. Conf. Elect. Eng. Control Technol. (CEECT), 2022, pp. 1–5 doi: 10.1109/CEECT55960.2022.10030131.</w:t>
      </w:r>
    </w:p>
    <w:p>
      <w:pPr>
        <w:pStyle w:val="IJTechText"/>
      </w:pPr>
      <w:r>
        <w:t>Yashika, A. Patra, and N. S. Das (2024) 'Human-Machine Interaction in Industrial Automation: Gesture-Based PLC Control' in Proc. 15th Int. Conf. Comput. Commun. Netw. Technol. (ICCCNT), 2024, pp. 1–7 doi: 10.1109/ICCCNT61001.2024.10726180.</w:t>
      </w:r>
    </w:p>
    <w:p>
      <w:pPr>
        <w:pStyle w:val="IJTechText"/>
      </w:pPr>
      <w:r>
        <w:t>Yep, Y. K. and Goh, Y. H. (2025) 'AI-Driven Hand Gesture Recognition for Robotic Arm Control' in Proc. 5th Int. Conf. Artif. Intell. Robot. Commun. (ICAIRC), 2025, pp. 1–5 doi: 10.1109/ICAIRC68035.2025.11384947.</w:t>
      </w:r>
    </w:p>
    <w:p>
      <w:pPr>
        <w:pStyle w:val="IJTechHeadingSection"/>
      </w:pPr>
      <w:r>
        <w:t>ACKNOWLEDGEMENTS</w:t>
      </w:r>
    </w:p>
    <w:p>
      <w:pPr>
        <w:pStyle w:val="IJTechText"/>
      </w:pPr>
      <w:r>
        <w:t>The authors would like to express their gratitude to [institution/funding body] for their support in this research.</w:t>
      </w:r>
    </w:p>
    <w:p>
      <w:pPr>
        <w:pStyle w:val="IJTechHeadingSection"/>
      </w:pPr>
      <w:r>
        <w:t>AUTHOR CONTRIBUTIONS</w:t>
      </w:r>
    </w:p>
    <w:p>
      <w:pPr>
        <w:pStyle w:val="IJTechText"/>
      </w:pPr>
      <w:r>
        <w:t>Author 1 contributed to conceptualization, methodology, and writing – original draft. Author 2 contributed to data curation, formal analysis, and visualization. All authors have read and agreed to the published version of the manuscript.</w:t>
      </w:r>
    </w:p>
    <w:p>
      <w:pPr>
        <w:pStyle w:val="IJTechHeadingSection"/>
      </w:pPr>
      <w:r>
        <w:t>CONFLICT OF INTEREST</w:t>
      </w:r>
    </w:p>
    <w:p>
      <w:pPr>
        <w:pStyle w:val="IJTechText"/>
      </w:pPr>
      <w:r>
        <w:t>The authors declare no conflict of interest.</w:t>
      </w:r>
    </w:p>
    <w:p>
      <w:pPr>
        <w:pStyle w:val="IJTechHeadingSection"/>
      </w:pPr>
      <w:r>
        <w:t>SUPPLEMENTARY MATERIALS</w:t>
      </w:r>
    </w:p>
    <w:p>
      <w:pPr>
        <w:pStyle w:val="IJTechText"/>
      </w:pPr>
      <w:r>
        <w:t>Not applicable.</w:t>
      </w:r>
    </w:p>
    <w:p>
      <w:pPr>
        <w:pStyle w:val="IJTechHeadingSection"/>
      </w:pPr>
      <w:r>
        <w:t>DECLARATION OF AI</w:t>
      </w:r>
    </w:p>
    <w:p>
      <w:pPr>
        <w:pStyle w:val="IJTechText"/>
      </w:pPr>
      <w:r>
        <w:t>The authors declare that no generative AI or AI-assisted technologies were used in the writing of this manuscript.</w:t>
      </w:r>
    </w:p>
    <w:sectPr w:rsidR="00E702D9" w:rsidSect="00A557E4">
      <w:headerReference w:type="default" r:id="rId10"/>
      <w:footerReference w:type="default" r:id="rId11"/>
      <w:headerReference w:type="first" r:id="rId12"/>
      <w:footerReference w:type="first" r:id="rId13"/>
      <w:pgSz w:w="11906" w:h="16838"/>
      <w:pgMar w:top="1440" w:right="1080" w:bottom="1440" w:left="1080" w:header="454" w:footer="454" w:gutter="0"/>
      <w:lnNumType w:countBy="1" w:restart="newSecti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FF0" w14:textId="77777777" w:rsidR="007E1E14" w:rsidRDefault="007E1E14" w:rsidP="0031456B">
      <w:pPr>
        <w:spacing w:after="0"/>
      </w:pPr>
      <w:r>
        <w:separator/>
      </w:r>
    </w:p>
  </w:endnote>
  <w:endnote w:type="continuationSeparator" w:id="0">
    <w:p w14:paraId="7CB04F09" w14:textId="77777777" w:rsidR="007E1E14" w:rsidRDefault="007E1E14" w:rsidP="00314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entin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aford">
    <w:altName w:val="Seaford"/>
    <w:panose1 w:val="020B0502030303020204"/>
    <w:charset w:val="00"/>
    <w:family w:val="swiss"/>
    <w:pitch w:val="variable"/>
    <w:sig w:usb0="80000003" w:usb1="00000001"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altName w:val="Segoe UI Historic"/>
    <w:panose1 w:val="02040502050505030304"/>
    <w:charset w:val="00"/>
    <w:family w:val="roman"/>
    <w:pitch w:val="variable"/>
    <w:sig w:usb0="00000007" w:usb1="00000000" w:usb2="00000000" w:usb3="00000000" w:csb0="00000093" w:csb1="00000000"/>
  </w:font>
  <w:font w:name="TimesNewRomanPSMT">
    <w:altName w:val="MS Mincho"/>
    <w:panose1 w:val="00000000000000000000"/>
    <w:charset w:val="80"/>
    <w:family w:val="auto"/>
    <w:notTrueType/>
    <w:pitch w:val="default"/>
    <w:sig w:usb0="00000003"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897E" w14:textId="307FE6D2" w:rsidR="00FC7237" w:rsidRDefault="00FC7237">
    <w:pPr>
      <w:pStyle w:val="Footer"/>
    </w:pPr>
  </w:p>
  <w:p w14:paraId="70D79484" w14:textId="77777777" w:rsidR="00FC7237" w:rsidRDefault="00FC7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CEFD" w14:textId="2CFD6DA7" w:rsidR="00D31C5E" w:rsidRPr="00EE2EFE" w:rsidRDefault="00FC7237" w:rsidP="00517DA1">
    <w:pPr>
      <w:pStyle w:val="Footer"/>
      <w:ind w:left="142" w:right="2800"/>
      <w:rPr>
        <w:rFonts w:ascii="Seaford" w:hAnsi="Seaford"/>
        <w:sz w:val="18"/>
        <w:szCs w:val="18"/>
        <w:lang w:val="en-US"/>
      </w:rPr>
    </w:pPr>
    <w:r w:rsidRPr="00D01860">
      <w:rPr>
        <w:rFonts w:ascii="Seaford" w:hAnsi="Seaford"/>
        <w:noProof/>
        <w:sz w:val="18"/>
        <w:szCs w:val="18"/>
        <w14:ligatures w14:val="standardContextual"/>
      </w:rPr>
      <mc:AlternateContent>
        <mc:Choice Requires="wps">
          <w:drawing>
            <wp:anchor distT="0" distB="0" distL="114300" distR="114300" simplePos="0" relativeHeight="251671552" behindDoc="0" locked="0" layoutInCell="1" allowOverlap="1" wp14:anchorId="42256AD5" wp14:editId="0B91607A">
              <wp:simplePos x="0" y="0"/>
              <wp:positionH relativeFrom="column">
                <wp:posOffset>88265</wp:posOffset>
              </wp:positionH>
              <wp:positionV relativeFrom="paragraph">
                <wp:posOffset>82550</wp:posOffset>
              </wp:positionV>
              <wp:extent cx="1625600" cy="0"/>
              <wp:effectExtent l="0" t="19050" r="31750" b="19050"/>
              <wp:wrapNone/>
              <wp:docPr id="679298031" name="Straight Connector 11"/>
              <wp:cNvGraphicFramePr/>
              <a:graphic xmlns:a="http://schemas.openxmlformats.org/drawingml/2006/main">
                <a:graphicData uri="http://schemas.microsoft.com/office/word/2010/wordprocessingShape">
                  <wps:wsp>
                    <wps:cNvCnPr/>
                    <wps:spPr>
                      <a:xfrm>
                        <a:off x="0" y="0"/>
                        <a:ext cx="16256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C0501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5pt,6.5pt" to="134.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" strokecolor="black [3213]" strokeweight="2.25pt">
              <v:stroke joinstyle="miter"/>
            </v:line>
          </w:pict>
        </mc:Fallback>
      </mc:AlternateContent>
    </w:r>
    <w:r>
      <w:rPr>
        <w:rFonts w:ascii="Seaford" w:hAnsi="Seaford"/>
        <w:sz w:val="18"/>
        <w:szCs w:val="18"/>
      </w:rPr>
      <w:br/>
    </w:r>
    <w:r w:rsidR="00474286" w:rsidRPr="00474286">
      <w:rPr>
        <w:rFonts w:ascii="Seaford" w:hAnsi="Seaford"/>
        <w:sz w:val="18"/>
        <w:szCs w:val="18"/>
      </w:rPr>
      <w:t xml:space="preserve">For grants, please provide the grant number and the year it was received. </w:t>
    </w:r>
    <w:r w:rsidR="00474286">
      <w:rPr>
        <w:rFonts w:ascii="Seaford" w:hAnsi="Seaford"/>
        <w:sz w:val="18"/>
        <w:szCs w:val="18"/>
      </w:rPr>
      <w:t xml:space="preserve"> Write it as follows: “</w:t>
    </w:r>
    <w:r w:rsidR="00D31C5E" w:rsidRPr="00EE2EFE">
      <w:rPr>
        <w:rFonts w:ascii="Seaford" w:hAnsi="Seaford"/>
        <w:sz w:val="18"/>
        <w:szCs w:val="18"/>
      </w:rPr>
      <w:t xml:space="preserve">This work was supported by the </w:t>
    </w:r>
    <w:r w:rsidR="0062178B">
      <w:rPr>
        <w:rFonts w:ascii="Seaford" w:hAnsi="Seaford"/>
        <w:sz w:val="18"/>
        <w:szCs w:val="18"/>
      </w:rPr>
      <w:t>‘Name of organization’</w:t>
    </w:r>
    <w:r w:rsidR="00D31C5E" w:rsidRPr="00EE2EFE">
      <w:rPr>
        <w:rFonts w:ascii="Seaford" w:hAnsi="Seaford"/>
        <w:sz w:val="18"/>
        <w:szCs w:val="18"/>
      </w:rPr>
      <w:t xml:space="preserve"> funded by</w:t>
    </w:r>
    <w:r w:rsidR="00BF69E2">
      <w:rPr>
        <w:rFonts w:ascii="Seaford" w:hAnsi="Seaford"/>
        <w:sz w:val="18"/>
        <w:szCs w:val="18"/>
      </w:rPr>
      <w:t xml:space="preserve"> ’Name of Grant and number</w:t>
    </w:r>
    <w:proofErr w:type="gramStart"/>
    <w:r w:rsidR="00BF69E2">
      <w:rPr>
        <w:rFonts w:ascii="Seaford" w:hAnsi="Seaford"/>
        <w:sz w:val="18"/>
        <w:szCs w:val="18"/>
      </w:rPr>
      <w:t xml:space="preserve">’ </w:t>
    </w:r>
    <w:r w:rsidR="00474286">
      <w:rPr>
        <w:rFonts w:ascii="Seaford" w:hAnsi="Seaford"/>
        <w:sz w:val="18"/>
        <w:szCs w:val="18"/>
      </w:rPr>
      <w:t>”</w:t>
    </w:r>
    <w:proofErr w:type="gramEnd"/>
  </w:p>
  <w:p w14:paraId="5646E483" w14:textId="2C07AB5C" w:rsidR="00FC7237" w:rsidRPr="00D01860" w:rsidRDefault="00FC7237" w:rsidP="00D31C5E">
    <w:pPr>
      <w:pStyle w:val="Footer"/>
      <w:ind w:left="426"/>
      <w:rPr>
        <w:rFonts w:ascii="Seaford" w:hAnsi="Seaford"/>
        <w:color w:val="0070C0"/>
        <w:sz w:val="18"/>
        <w:szCs w:val="18"/>
        <w:lang w:val="en-US"/>
      </w:rPr>
    </w:pPr>
  </w:p>
  <w:p w14:paraId="78B958B8" w14:textId="430D3819" w:rsidR="00FC7237" w:rsidRPr="00DB372C" w:rsidRDefault="00FC7237" w:rsidP="00517DA1">
    <w:pPr>
      <w:pStyle w:val="EndnoteText"/>
      <w:ind w:left="142"/>
      <w:rPr>
        <w:rFonts w:ascii="Seaford" w:hAnsi="Seaford"/>
        <w:color w:val="0B769F" w:themeColor="accent4" w:themeShade="BF"/>
        <w:sz w:val="18"/>
        <w:szCs w:val="18"/>
        <w:lang w:val="en-US"/>
      </w:rPr>
    </w:pPr>
    <w:r w:rsidRPr="00DB372C">
      <w:rPr>
        <w:rFonts w:ascii="Seaford" w:hAnsi="Seaford"/>
        <w:color w:val="0B769F" w:themeColor="accent4" w:themeShade="BF"/>
        <w:sz w:val="18"/>
        <w:szCs w:val="18"/>
      </w:rPr>
      <w:t>https://doi.org/</w:t>
    </w:r>
    <w:r w:rsidR="00AB024E">
      <w:rPr>
        <w:rFonts w:ascii="Seaford" w:hAnsi="Seaford"/>
        <w:color w:val="0B769F" w:themeColor="accent4" w:themeShade="BF"/>
        <w:sz w:val="18"/>
        <w:szCs w:val="18"/>
      </w:rPr>
      <w:t>xx</w:t>
    </w:r>
    <w:r w:rsidRPr="00DB372C">
      <w:rPr>
        <w:rFonts w:ascii="Seaford" w:hAnsi="Seaford"/>
        <w:color w:val="0B769F" w:themeColor="accent4" w:themeShade="BF"/>
        <w:sz w:val="18"/>
        <w:szCs w:val="18"/>
      </w:rPr>
      <w:t>/ijtech.</w:t>
    </w:r>
    <w:r w:rsidR="00AB024E">
      <w:rPr>
        <w:rFonts w:ascii="Seaford" w:hAnsi="Seaford"/>
        <w:color w:val="0B769F" w:themeColor="accent4" w:themeShade="BF"/>
        <w:sz w:val="18"/>
        <w:szCs w:val="18"/>
      </w:rPr>
      <w:t>xx</w:t>
    </w:r>
  </w:p>
  <w:p w14:paraId="798D7098" w14:textId="77777777" w:rsidR="00FC7237" w:rsidRPr="00D01860" w:rsidRDefault="00FC7237" w:rsidP="00517DA1">
    <w:pPr>
      <w:pStyle w:val="EndnoteText"/>
      <w:ind w:left="142"/>
      <w:rPr>
        <w:rFonts w:ascii="Seaford" w:hAnsi="Seaford"/>
        <w:sz w:val="18"/>
        <w:szCs w:val="18"/>
        <w:lang w:val="en-US"/>
      </w:rPr>
    </w:pPr>
    <w:r w:rsidRPr="00D01860">
      <w:rPr>
        <w:rFonts w:ascii="Seaford" w:hAnsi="Seaford"/>
        <w:sz w:val="18"/>
        <w:szCs w:val="18"/>
        <w:lang w:val="en-US"/>
      </w:rPr>
      <w:t xml:space="preserve">Received </w:t>
    </w:r>
    <w:r>
      <w:rPr>
        <w:rFonts w:ascii="Seaford" w:hAnsi="Seaford"/>
        <w:sz w:val="18"/>
        <w:szCs w:val="18"/>
        <w:lang w:val="en-US"/>
      </w:rPr>
      <w:t>date</w:t>
    </w:r>
    <w:r w:rsidRPr="00D01860">
      <w:rPr>
        <w:rFonts w:ascii="Seaford" w:hAnsi="Seaford"/>
        <w:sz w:val="18"/>
        <w:szCs w:val="18"/>
        <w:lang w:val="en-US"/>
      </w:rPr>
      <w:t xml:space="preserve">; Revised </w:t>
    </w:r>
    <w:r>
      <w:rPr>
        <w:rFonts w:ascii="Seaford" w:hAnsi="Seaford"/>
        <w:sz w:val="18"/>
        <w:szCs w:val="18"/>
        <w:lang w:val="en-US"/>
      </w:rPr>
      <w:t>date</w:t>
    </w:r>
    <w:r w:rsidRPr="00D01860">
      <w:rPr>
        <w:rFonts w:ascii="Seaford" w:hAnsi="Seaford"/>
        <w:sz w:val="18"/>
        <w:szCs w:val="18"/>
        <w:lang w:val="en-US"/>
      </w:rPr>
      <w:t xml:space="preserve">; Accepted </w:t>
    </w:r>
    <w:r>
      <w:rPr>
        <w:rFonts w:ascii="Seaford" w:hAnsi="Seaford"/>
        <w:sz w:val="18"/>
        <w:szCs w:val="18"/>
        <w:lang w:val="en-US"/>
      </w:rPr>
      <w:t>date</w:t>
    </w:r>
  </w:p>
  <w:p w14:paraId="533FBA81" w14:textId="7789985B" w:rsidR="00FC7237" w:rsidRPr="00FC7237" w:rsidRDefault="00BA3DA5" w:rsidP="00BA3DA5">
    <w:pPr>
      <w:pStyle w:val="Footer"/>
      <w:tabs>
        <w:tab w:val="clear" w:pos="4513"/>
        <w:tab w:val="clear" w:pos="9026"/>
        <w:tab w:val="left" w:pos="3036"/>
      </w:tabs>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9FA5" w14:textId="77777777" w:rsidR="007E1E14" w:rsidRDefault="007E1E14" w:rsidP="0031456B">
      <w:pPr>
        <w:spacing w:after="0"/>
      </w:pPr>
      <w:r>
        <w:separator/>
      </w:r>
    </w:p>
  </w:footnote>
  <w:footnote w:type="continuationSeparator" w:id="0">
    <w:p w14:paraId="075E86C8" w14:textId="77777777" w:rsidR="007E1E14" w:rsidRDefault="007E1E14" w:rsidP="003145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90466"/>
      <w:docPartObj>
        <w:docPartGallery w:val="Page Numbers (Top of Page)"/>
        <w:docPartUnique/>
      </w:docPartObj>
    </w:sdtPr>
    <w:sdtEndPr>
      <w:rPr>
        <w:noProof/>
      </w:rPr>
    </w:sdtEndPr>
    <w:sdtContent>
      <w:p w14:paraId="148F511A" w14:textId="7BA0D29D" w:rsidR="007F1508" w:rsidRDefault="007F1508">
        <w:pPr>
          <w:pStyle w:val="Header"/>
          <w:jc w:val="right"/>
        </w:pPr>
        <w:r w:rsidRPr="008D19AE">
          <w:rPr>
            <w:sz w:val="20"/>
          </w:rPr>
          <w:fldChar w:fldCharType="begin"/>
        </w:r>
        <w:r w:rsidRPr="008D19AE">
          <w:rPr>
            <w:sz w:val="20"/>
          </w:rPr>
          <w:instrText xml:space="preserve"> PAGE   \* MERGEFORMAT </w:instrText>
        </w:r>
        <w:r w:rsidRPr="008D19AE">
          <w:rPr>
            <w:sz w:val="20"/>
          </w:rPr>
          <w:fldChar w:fldCharType="separate"/>
        </w:r>
        <w:r w:rsidRPr="008D19AE">
          <w:rPr>
            <w:noProof/>
            <w:sz w:val="20"/>
          </w:rPr>
          <w:t>2</w:t>
        </w:r>
        <w:r w:rsidRPr="008D19AE">
          <w:rPr>
            <w:noProof/>
            <w:sz w:val="20"/>
          </w:rPr>
          <w:fldChar w:fldCharType="end"/>
        </w:r>
      </w:p>
    </w:sdtContent>
  </w:sdt>
  <w:p w14:paraId="08616805" w14:textId="64662F38" w:rsidR="007F1508" w:rsidRPr="001C67D6" w:rsidRDefault="007F1508" w:rsidP="007F1508">
    <w:pPr>
      <w:pStyle w:val="Header"/>
      <w:jc w:val="left"/>
      <w:rPr>
        <w:rFonts w:ascii="Georgia" w:hAnsi="Georgia"/>
        <w:color w:val="292929"/>
        <w:sz w:val="20"/>
        <w:szCs w:val="20"/>
      </w:rPr>
    </w:pPr>
    <w:r w:rsidRPr="001C67D6">
      <w:rPr>
        <w:rFonts w:ascii="Georgia" w:hAnsi="Georgia"/>
        <w:noProof/>
        <w:color w:val="292929"/>
        <w:sz w:val="20"/>
        <w:szCs w:val="20"/>
      </w:rPr>
      <mc:AlternateContent>
        <mc:Choice Requires="wps">
          <w:drawing>
            <wp:anchor distT="0" distB="0" distL="114300" distR="114300" simplePos="0" relativeHeight="251669504" behindDoc="0" locked="0" layoutInCell="1" allowOverlap="1" wp14:anchorId="1BE03FF1" wp14:editId="28611F11">
              <wp:simplePos x="0" y="0"/>
              <wp:positionH relativeFrom="column">
                <wp:posOffset>0</wp:posOffset>
              </wp:positionH>
              <wp:positionV relativeFrom="paragraph">
                <wp:posOffset>231684</wp:posOffset>
              </wp:positionV>
              <wp:extent cx="6181725" cy="0"/>
              <wp:effectExtent l="0" t="0" r="0" b="0"/>
              <wp:wrapNone/>
              <wp:docPr id="1260326909" name="Straight Connector 5"/>
              <wp:cNvGraphicFramePr/>
              <a:graphic xmlns:a="http://schemas.openxmlformats.org/drawingml/2006/main">
                <a:graphicData uri="http://schemas.microsoft.com/office/word/2010/wordprocessingShape">
                  <wps:wsp>
                    <wps:cNvCnPr/>
                    <wps:spPr>
                      <a:xfrm>
                        <a:off x="0" y="0"/>
                        <a:ext cx="61817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23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25pt" to="48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" strokecolor="black [3213]" strokeweight="1pt">
              <v:stroke joinstyle="miter"/>
            </v:line>
          </w:pict>
        </mc:Fallback>
      </mc:AlternateContent>
    </w:r>
    <w:r w:rsidR="00D47818" w:rsidRPr="001C67D6">
      <w:rPr>
        <w:rFonts w:ascii="Georgia" w:hAnsi="Georgia"/>
        <w:color w:val="292929"/>
        <w:sz w:val="20"/>
        <w:szCs w:val="20"/>
      </w:rPr>
      <w:t>International Journal of Technology v(</w:t>
    </w:r>
    <w:proofErr w:type="spellStart"/>
    <w:r w:rsidR="00D47818" w:rsidRPr="001C67D6">
      <w:rPr>
        <w:rFonts w:ascii="Georgia" w:hAnsi="Georgia"/>
        <w:color w:val="292929"/>
        <w:sz w:val="20"/>
        <w:szCs w:val="20"/>
      </w:rPr>
      <w:t>i</w:t>
    </w:r>
    <w:proofErr w:type="spellEnd"/>
    <w:r w:rsidR="00D47818" w:rsidRPr="001C67D6">
      <w:rPr>
        <w:rFonts w:ascii="Georgia" w:hAnsi="Georgia"/>
        <w:color w:val="292929"/>
        <w:sz w:val="20"/>
        <w:szCs w:val="20"/>
      </w:rPr>
      <w:t>) pp-pp (YYYY)</w:t>
    </w:r>
    <w:r w:rsidRPr="001C67D6">
      <w:rPr>
        <w:rFonts w:ascii="Georgia" w:hAnsi="Georgia"/>
        <w:noProof/>
        <w:color w:val="292929"/>
        <w:sz w:val="20"/>
        <w:szCs w:val="20"/>
      </w:rPr>
      <w:t xml:space="preserve"> </w:t>
    </w:r>
  </w:p>
  <w:p w14:paraId="6EDD4448" w14:textId="7AD36C0A" w:rsidR="0031456B" w:rsidRDefault="003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BAD6" w14:textId="77777777" w:rsidR="00357E34" w:rsidRPr="004E635E" w:rsidRDefault="00357E34" w:rsidP="00357E34">
    <w:pPr>
      <w:pStyle w:val="Header"/>
      <w:ind w:right="248"/>
      <w:jc w:val="center"/>
      <w:rPr>
        <w:rFonts w:ascii="Georgia" w:hAnsi="Georgia"/>
        <w:color w:val="292929"/>
      </w:rPr>
    </w:pPr>
    <w:r w:rsidRPr="004E635E">
      <w:rPr>
        <w:rFonts w:ascii="Georgia" w:hAnsi="Georgia"/>
        <w:color w:val="292929"/>
      </w:rPr>
      <w:t>International Journal of Technology 15(4) 812-823 (2024)</w:t>
    </w:r>
  </w:p>
  <w:p w14:paraId="69B4466F" w14:textId="77777777" w:rsidR="00357E34" w:rsidRPr="0039141B" w:rsidRDefault="00357E34" w:rsidP="00357E34">
    <w:pPr>
      <w:pStyle w:val="Header"/>
      <w:ind w:right="248"/>
      <w:jc w:val="center"/>
    </w:pPr>
  </w:p>
  <w:p w14:paraId="43FEEDFD" w14:textId="77777777" w:rsidR="00357E34" w:rsidRPr="0039141B" w:rsidRDefault="00357E34" w:rsidP="00357E34">
    <w:pPr>
      <w:pStyle w:val="Header"/>
      <w:ind w:right="2091"/>
      <w:jc w:val="center"/>
      <w:rPr>
        <w:sz w:val="6"/>
        <w:szCs w:val="8"/>
      </w:rPr>
    </w:pPr>
    <w:r w:rsidRPr="0039141B">
      <w:rPr>
        <w:rFonts w:asciiTheme="majorHAnsi" w:hAnsiTheme="majorHAnsi"/>
        <w:noProof/>
        <w:lang w:val="ru-RU" w:eastAsia="ru-RU"/>
        <w14:ligatures w14:val="standardContextual"/>
      </w:rPr>
      <mc:AlternateContent>
        <mc:Choice Requires="wps">
          <w:drawing>
            <wp:anchor distT="0" distB="0" distL="114300" distR="114300" simplePos="0" relativeHeight="251673600" behindDoc="1" locked="0" layoutInCell="1" allowOverlap="1" wp14:anchorId="305B9532" wp14:editId="44777734">
              <wp:simplePos x="0" y="0"/>
              <wp:positionH relativeFrom="column">
                <wp:posOffset>34290</wp:posOffset>
              </wp:positionH>
              <wp:positionV relativeFrom="paragraph">
                <wp:posOffset>15875</wp:posOffset>
              </wp:positionV>
              <wp:extent cx="4603750" cy="822325"/>
              <wp:effectExtent l="0" t="0" r="0" b="0"/>
              <wp:wrapNone/>
              <wp:docPr id="193042584" name="Rectangle 7"/>
              <wp:cNvGraphicFramePr/>
              <a:graphic xmlns:a="http://schemas.openxmlformats.org/drawingml/2006/main">
                <a:graphicData uri="http://schemas.microsoft.com/office/word/2010/wordprocessingShape">
                  <wps:wsp>
                    <wps:cNvSpPr/>
                    <wps:spPr>
                      <a:xfrm>
                        <a:off x="0" y="0"/>
                        <a:ext cx="4603750" cy="822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D8EDD" id="Rectangle 7" o:spid="_x0000_s1026" style="position:absolute;margin-left:2.7pt;margin-top:1.25pt;width:362.5pt;height:6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" filled="f" stroked="f" strokeweight="1pt"/>
          </w:pict>
        </mc:Fallback>
      </mc:AlternateContent>
    </w:r>
  </w:p>
  <w:p w14:paraId="25FCCF57" w14:textId="77777777" w:rsidR="00357E34" w:rsidRPr="0039141B" w:rsidRDefault="00357E34" w:rsidP="00357E34">
    <w:pPr>
      <w:pStyle w:val="Header"/>
      <w:ind w:right="2516"/>
      <w:jc w:val="center"/>
      <w:rPr>
        <w:rFonts w:ascii="Georgia" w:hAnsi="Georgia"/>
        <w:noProof/>
        <w:sz w:val="32"/>
        <w:szCs w:val="36"/>
        <w:lang w:val="en-US" w:eastAsia="ru-RU"/>
      </w:rPr>
    </w:pPr>
    <w:r w:rsidRPr="0039141B">
      <w:rPr>
        <w:rFonts w:asciiTheme="majorHAnsi" w:hAnsiTheme="majorHAnsi"/>
        <w:noProof/>
        <w:lang w:val="ru-RU" w:eastAsia="ru-RU"/>
      </w:rPr>
      <w:drawing>
        <wp:anchor distT="0" distB="0" distL="114300" distR="114300" simplePos="0" relativeHeight="251674624" behindDoc="0" locked="0" layoutInCell="1" allowOverlap="1" wp14:anchorId="3624F024" wp14:editId="6BFD234B">
          <wp:simplePos x="0" y="0"/>
          <wp:positionH relativeFrom="column">
            <wp:posOffset>4638675</wp:posOffset>
          </wp:positionH>
          <wp:positionV relativeFrom="paragraph">
            <wp:posOffset>30480</wp:posOffset>
          </wp:positionV>
          <wp:extent cx="1359916" cy="764540"/>
          <wp:effectExtent l="0" t="0" r="0" b="0"/>
          <wp:wrapNone/>
          <wp:docPr id="1222023642" name="Picture 122202364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642" name="Picture 122202364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6251" b="6251"/>
                  <a:stretch>
                    <a:fillRect/>
                  </a:stretch>
                </pic:blipFill>
                <pic:spPr bwMode="auto">
                  <a:xfrm>
                    <a:off x="0" y="0"/>
                    <a:ext cx="1360297" cy="7647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141B">
      <w:rPr>
        <w:rFonts w:ascii="Georgia" w:hAnsi="Georgia"/>
        <w:sz w:val="40"/>
        <w:szCs w:val="40"/>
      </w:rPr>
      <w:t>International Journal of Technology</w:t>
    </w:r>
    <w:r w:rsidRPr="0039141B">
      <w:rPr>
        <w:rFonts w:ascii="Georgia" w:hAnsi="Georgia"/>
        <w:noProof/>
        <w:sz w:val="32"/>
        <w:szCs w:val="36"/>
        <w:lang w:val="ru-RU" w:eastAsia="ru-RU"/>
      </w:rPr>
      <w:t xml:space="preserve"> </w:t>
    </w:r>
  </w:p>
  <w:p w14:paraId="6EAAFA92" w14:textId="77777777" w:rsidR="00357E34" w:rsidRPr="0039141B" w:rsidRDefault="00357E34" w:rsidP="00357E34">
    <w:pPr>
      <w:pStyle w:val="Header"/>
      <w:tabs>
        <w:tab w:val="left" w:pos="7371"/>
      </w:tabs>
      <w:ind w:right="1949"/>
      <w:jc w:val="center"/>
      <w:rPr>
        <w:rFonts w:ascii="Georgia" w:hAnsi="Georgia"/>
      </w:rPr>
    </w:pPr>
    <w:r w:rsidRPr="0039141B">
      <w:rPr>
        <w:rFonts w:ascii="Georgia" w:hAnsi="Georgia"/>
        <w:noProof/>
        <w:sz w:val="32"/>
        <w:szCs w:val="36"/>
        <w:lang w:val="en-US" w:eastAsia="ru-RU"/>
      </w:rPr>
      <w:br/>
    </w:r>
    <w:r w:rsidRPr="0039141B">
      <w:rPr>
        <w:rFonts w:ascii="Georgia" w:hAnsi="Georgia"/>
      </w:rPr>
      <w:t>http://ijtech.eng.ui.ac.id</w:t>
    </w:r>
  </w:p>
  <w:p w14:paraId="26704850" w14:textId="4C825DFD" w:rsidR="000C728C" w:rsidRDefault="00AA0418">
    <w:pPr>
      <w:pStyle w:val="Header"/>
    </w:pPr>
    <w:r w:rsidRPr="003B1BB2">
      <w:rPr>
        <w:rFonts w:ascii="Palatino" w:hAnsi="Palatino" w:cs="Palatino"/>
        <w:noProof/>
      </w:rPr>
      <mc:AlternateContent>
        <mc:Choice Requires="wps">
          <w:drawing>
            <wp:anchor distT="0" distB="0" distL="114300" distR="114300" simplePos="0" relativeHeight="251667456" behindDoc="0" locked="0" layoutInCell="1" allowOverlap="1" wp14:anchorId="1F858DEB" wp14:editId="43D07803">
              <wp:simplePos x="0" y="0"/>
              <wp:positionH relativeFrom="column">
                <wp:posOffset>0</wp:posOffset>
              </wp:positionH>
              <wp:positionV relativeFrom="paragraph">
                <wp:posOffset>206102</wp:posOffset>
              </wp:positionV>
              <wp:extent cx="6030142" cy="0"/>
              <wp:effectExtent l="0" t="19050" r="27940" b="19050"/>
              <wp:wrapNone/>
              <wp:docPr id="1687341760" name="Straight Connector 5"/>
              <wp:cNvGraphicFramePr/>
              <a:graphic xmlns:a="http://schemas.openxmlformats.org/drawingml/2006/main">
                <a:graphicData uri="http://schemas.microsoft.com/office/word/2010/wordprocessingShape">
                  <wps:wsp>
                    <wps:cNvCnPr/>
                    <wps:spPr>
                      <a:xfrm flipV="1">
                        <a:off x="0" y="0"/>
                        <a:ext cx="6030142"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2B4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25pt" to="474.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" strokecolor="black [3213]"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91"/>
    <w:multiLevelType w:val="multilevel"/>
    <w:tmpl w:val="20A26F36"/>
    <w:lvl w:ilvl="0">
      <w:start w:val="1"/>
      <w:numFmt w:val="none"/>
      <w:pStyle w:val="IJTechSubheading"/>
      <w:lvlText w:val="2."/>
      <w:lvlJc w:val="left"/>
      <w:pPr>
        <w:ind w:left="720" w:hanging="360"/>
      </w:pPr>
      <w:rPr>
        <w:rFonts w:ascii="Palentino" w:hAnsi="Palentino" w:hint="default"/>
        <w:sz w:val="24"/>
      </w:rPr>
    </w:lvl>
    <w:lvl w:ilvl="1">
      <w:start w:val="2"/>
      <w:numFmt w:val="none"/>
      <w:isLgl/>
      <w:lvlText w:val="2.1.1"/>
      <w:lvlJc w:val="left"/>
      <w:pPr>
        <w:ind w:left="1080" w:hanging="720"/>
      </w:pPr>
      <w:rPr>
        <w:rFonts w:ascii="Cambria" w:hAnsi="Cambria" w:hint="default"/>
        <w:color w:val="000000" w:themeColor="text1"/>
        <w:sz w:val="24"/>
      </w:rPr>
    </w:lvl>
    <w:lvl w:ilvl="2">
      <w:start w:val="1"/>
      <w:numFmt w:val="none"/>
      <w:isLgl/>
      <w:lvlText w:val=""/>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1" w15:restartNumberingAfterBreak="0">
    <w:nsid w:val="075A431E"/>
    <w:multiLevelType w:val="multilevel"/>
    <w:tmpl w:val="0A9437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Cambria" w:hAnsi="Cambria" w:hint="default"/>
        <w:color w:val="000000" w:themeColor="text1"/>
        <w:sz w:val="24"/>
      </w:rPr>
    </w:lvl>
    <w:lvl w:ilvl="2">
      <w:start w:val="1"/>
      <w:numFmt w:val="decimal"/>
      <w:isLgl/>
      <w:lvlText w:val="%1.%2.%3."/>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2" w15:restartNumberingAfterBreak="0">
    <w:nsid w:val="4AD1656B"/>
    <w:multiLevelType w:val="hybridMultilevel"/>
    <w:tmpl w:val="27647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A46082"/>
    <w:multiLevelType w:val="multilevel"/>
    <w:tmpl w:val="5C92C35E"/>
    <w:lvl w:ilvl="0">
      <w:start w:val="1"/>
      <w:numFmt w:val="decimal"/>
      <w:pStyle w:val="IJTechHeadingSection"/>
      <w:lvlText w:val="%1."/>
      <w:lvlJc w:val="left"/>
      <w:pPr>
        <w:ind w:left="720" w:hanging="360"/>
      </w:pPr>
      <w:rPr>
        <w:rFonts w:hint="default"/>
      </w:rPr>
    </w:lvl>
    <w:lvl w:ilvl="1">
      <w:start w:val="1"/>
      <w:numFmt w:val="decimal"/>
      <w:isLgl/>
      <w:lvlText w:val="%1.%2"/>
      <w:lvlJc w:val="left"/>
      <w:pPr>
        <w:ind w:left="1068" w:hanging="52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num w:numId="1" w16cid:durableId="1685014185">
    <w:abstractNumId w:val="3"/>
  </w:num>
  <w:num w:numId="2" w16cid:durableId="1993828026">
    <w:abstractNumId w:val="2"/>
  </w:num>
  <w:num w:numId="3" w16cid:durableId="1792477097">
    <w:abstractNumId w:val="1"/>
  </w:num>
  <w:num w:numId="4" w16cid:durableId="179224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9"/>
    <w:rsid w:val="00001336"/>
    <w:rsid w:val="00097EFB"/>
    <w:rsid w:val="000B3987"/>
    <w:rsid w:val="000C08B0"/>
    <w:rsid w:val="000C11AA"/>
    <w:rsid w:val="000C728C"/>
    <w:rsid w:val="000D190C"/>
    <w:rsid w:val="000E6DD7"/>
    <w:rsid w:val="00101EAD"/>
    <w:rsid w:val="0010211C"/>
    <w:rsid w:val="00114A9F"/>
    <w:rsid w:val="0012694B"/>
    <w:rsid w:val="00193335"/>
    <w:rsid w:val="001C67D6"/>
    <w:rsid w:val="00247FCD"/>
    <w:rsid w:val="00266742"/>
    <w:rsid w:val="00266BE4"/>
    <w:rsid w:val="0028734A"/>
    <w:rsid w:val="002B0054"/>
    <w:rsid w:val="002B36AD"/>
    <w:rsid w:val="0030101E"/>
    <w:rsid w:val="0031456B"/>
    <w:rsid w:val="00314C0E"/>
    <w:rsid w:val="003255C3"/>
    <w:rsid w:val="00331A26"/>
    <w:rsid w:val="00357E34"/>
    <w:rsid w:val="00384B02"/>
    <w:rsid w:val="003A27CE"/>
    <w:rsid w:val="003B623F"/>
    <w:rsid w:val="003C019E"/>
    <w:rsid w:val="00462FAB"/>
    <w:rsid w:val="00474286"/>
    <w:rsid w:val="00482D9D"/>
    <w:rsid w:val="004B75EA"/>
    <w:rsid w:val="004C3B57"/>
    <w:rsid w:val="004E3480"/>
    <w:rsid w:val="004E635E"/>
    <w:rsid w:val="00517DA1"/>
    <w:rsid w:val="00545A04"/>
    <w:rsid w:val="00591312"/>
    <w:rsid w:val="005A7940"/>
    <w:rsid w:val="00613862"/>
    <w:rsid w:val="0062178B"/>
    <w:rsid w:val="0064040E"/>
    <w:rsid w:val="00647E6F"/>
    <w:rsid w:val="0067416D"/>
    <w:rsid w:val="006A47FE"/>
    <w:rsid w:val="006A74D9"/>
    <w:rsid w:val="006B58E0"/>
    <w:rsid w:val="006E21DF"/>
    <w:rsid w:val="00710EAA"/>
    <w:rsid w:val="00725672"/>
    <w:rsid w:val="00735D78"/>
    <w:rsid w:val="0074251D"/>
    <w:rsid w:val="007813A2"/>
    <w:rsid w:val="00793665"/>
    <w:rsid w:val="00796BE6"/>
    <w:rsid w:val="007C6AB3"/>
    <w:rsid w:val="007D34AA"/>
    <w:rsid w:val="007E1E14"/>
    <w:rsid w:val="007F1508"/>
    <w:rsid w:val="007F258D"/>
    <w:rsid w:val="007F536F"/>
    <w:rsid w:val="007F657F"/>
    <w:rsid w:val="0083244F"/>
    <w:rsid w:val="00853CF3"/>
    <w:rsid w:val="00867FF0"/>
    <w:rsid w:val="00887220"/>
    <w:rsid w:val="0089010B"/>
    <w:rsid w:val="008D19AE"/>
    <w:rsid w:val="008F1A11"/>
    <w:rsid w:val="00974BF9"/>
    <w:rsid w:val="009910CA"/>
    <w:rsid w:val="009B5C71"/>
    <w:rsid w:val="009C4F6F"/>
    <w:rsid w:val="009F4D52"/>
    <w:rsid w:val="00A009CC"/>
    <w:rsid w:val="00A144EC"/>
    <w:rsid w:val="00A154B2"/>
    <w:rsid w:val="00A23603"/>
    <w:rsid w:val="00A44421"/>
    <w:rsid w:val="00A46BF9"/>
    <w:rsid w:val="00A557E4"/>
    <w:rsid w:val="00A942D9"/>
    <w:rsid w:val="00AA0418"/>
    <w:rsid w:val="00AB024E"/>
    <w:rsid w:val="00B257D9"/>
    <w:rsid w:val="00B270B6"/>
    <w:rsid w:val="00B35C41"/>
    <w:rsid w:val="00B659A1"/>
    <w:rsid w:val="00B7215E"/>
    <w:rsid w:val="00B74AFF"/>
    <w:rsid w:val="00B752B1"/>
    <w:rsid w:val="00B7795B"/>
    <w:rsid w:val="00BA3DA5"/>
    <w:rsid w:val="00BD36C4"/>
    <w:rsid w:val="00BD55DA"/>
    <w:rsid w:val="00BE1CCD"/>
    <w:rsid w:val="00BE7B25"/>
    <w:rsid w:val="00BF69E2"/>
    <w:rsid w:val="00C2024E"/>
    <w:rsid w:val="00C563C9"/>
    <w:rsid w:val="00C7179A"/>
    <w:rsid w:val="00C83DCA"/>
    <w:rsid w:val="00CD18B1"/>
    <w:rsid w:val="00D31C5E"/>
    <w:rsid w:val="00D467FA"/>
    <w:rsid w:val="00D47818"/>
    <w:rsid w:val="00D52F1B"/>
    <w:rsid w:val="00D80292"/>
    <w:rsid w:val="00DD0856"/>
    <w:rsid w:val="00DE25E0"/>
    <w:rsid w:val="00DE2BE5"/>
    <w:rsid w:val="00E44D92"/>
    <w:rsid w:val="00E702D9"/>
    <w:rsid w:val="00EE2EFE"/>
    <w:rsid w:val="00EF3E94"/>
    <w:rsid w:val="00F062B3"/>
    <w:rsid w:val="00F508F3"/>
    <w:rsid w:val="00FC7237"/>
    <w:rsid w:val="00FF3198"/>
    <w:rsid w:val="00FF6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6D73"/>
  <w15:chartTrackingRefBased/>
  <w15:docId w15:val="{A02BC694-8F7D-44BA-964F-4BF37F85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6B"/>
    <w:pPr>
      <w:spacing w:after="120" w:line="240" w:lineRule="auto"/>
      <w:jc w:val="both"/>
    </w:pPr>
    <w:rPr>
      <w:rFonts w:ascii="Times New Roman" w:eastAsia="MS Mincho" w:hAnsi="Times New Roman" w:cs="Times New Roman"/>
      <w:kern w:val="0"/>
      <w:szCs w:val="24"/>
      <w:lang w:val="en-GB" w:eastAsia="de-DE"/>
      <w14:ligatures w14:val="none"/>
    </w:rPr>
  </w:style>
  <w:style w:type="paragraph" w:styleId="Heading1">
    <w:name w:val="heading 1"/>
    <w:basedOn w:val="Normal"/>
    <w:next w:val="Normal"/>
    <w:link w:val="Heading1Char"/>
    <w:uiPriority w:val="9"/>
    <w:qFormat/>
    <w:rsid w:val="00B2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9"/>
    <w:rPr>
      <w:rFonts w:eastAsiaTheme="majorEastAsia" w:cstheme="majorBidi"/>
      <w:color w:val="272727" w:themeColor="text1" w:themeTint="D8"/>
    </w:rPr>
  </w:style>
  <w:style w:type="paragraph" w:styleId="Title">
    <w:name w:val="Title"/>
    <w:basedOn w:val="Normal"/>
    <w:next w:val="Normal"/>
    <w:link w:val="TitleChar"/>
    <w:uiPriority w:val="10"/>
    <w:qFormat/>
    <w:rsid w:val="00B25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9"/>
    <w:rPr>
      <w:i/>
      <w:iCs/>
      <w:color w:val="404040" w:themeColor="text1" w:themeTint="BF"/>
    </w:rPr>
  </w:style>
  <w:style w:type="paragraph" w:styleId="ListParagraph">
    <w:name w:val="List Paragraph"/>
    <w:basedOn w:val="Normal"/>
    <w:uiPriority w:val="34"/>
    <w:qFormat/>
    <w:rsid w:val="00B257D9"/>
    <w:pPr>
      <w:ind w:left="720"/>
      <w:contextualSpacing/>
    </w:pPr>
  </w:style>
  <w:style w:type="character" w:styleId="IntenseEmphasis">
    <w:name w:val="Intense Emphasis"/>
    <w:basedOn w:val="DefaultParagraphFont"/>
    <w:uiPriority w:val="21"/>
    <w:qFormat/>
    <w:rsid w:val="00B257D9"/>
    <w:rPr>
      <w:i/>
      <w:iCs/>
      <w:color w:val="0F4761" w:themeColor="accent1" w:themeShade="BF"/>
    </w:rPr>
  </w:style>
  <w:style w:type="paragraph" w:styleId="IntenseQuote">
    <w:name w:val="Intense Quote"/>
    <w:basedOn w:val="Normal"/>
    <w:next w:val="Normal"/>
    <w:link w:val="IntenseQuoteChar"/>
    <w:uiPriority w:val="30"/>
    <w:qFormat/>
    <w:rsid w:val="00B2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9"/>
    <w:rPr>
      <w:i/>
      <w:iCs/>
      <w:color w:val="0F4761" w:themeColor="accent1" w:themeShade="BF"/>
    </w:rPr>
  </w:style>
  <w:style w:type="character" w:styleId="IntenseReference">
    <w:name w:val="Intense Reference"/>
    <w:basedOn w:val="DefaultParagraphFont"/>
    <w:uiPriority w:val="32"/>
    <w:qFormat/>
    <w:rsid w:val="00B257D9"/>
    <w:rPr>
      <w:b/>
      <w:bCs/>
      <w:smallCaps/>
      <w:color w:val="0F4761" w:themeColor="accent1" w:themeShade="BF"/>
      <w:spacing w:val="5"/>
    </w:rPr>
  </w:style>
  <w:style w:type="paragraph" w:styleId="Header">
    <w:name w:val="header"/>
    <w:basedOn w:val="Normal"/>
    <w:link w:val="HeaderChar"/>
    <w:uiPriority w:val="99"/>
    <w:unhideWhenUsed/>
    <w:rsid w:val="0031456B"/>
    <w:pPr>
      <w:tabs>
        <w:tab w:val="center" w:pos="4513"/>
        <w:tab w:val="right" w:pos="9026"/>
      </w:tabs>
      <w:spacing w:after="0"/>
    </w:pPr>
  </w:style>
  <w:style w:type="character" w:customStyle="1" w:styleId="HeaderChar">
    <w:name w:val="Header Char"/>
    <w:basedOn w:val="DefaultParagraphFont"/>
    <w:link w:val="Header"/>
    <w:uiPriority w:val="99"/>
    <w:rsid w:val="0031456B"/>
  </w:style>
  <w:style w:type="paragraph" w:styleId="Footer">
    <w:name w:val="footer"/>
    <w:basedOn w:val="Normal"/>
    <w:link w:val="FooterChar"/>
    <w:uiPriority w:val="99"/>
    <w:unhideWhenUsed/>
    <w:rsid w:val="0031456B"/>
    <w:pPr>
      <w:tabs>
        <w:tab w:val="center" w:pos="4513"/>
        <w:tab w:val="right" w:pos="9026"/>
      </w:tabs>
      <w:spacing w:after="0"/>
    </w:pPr>
  </w:style>
  <w:style w:type="character" w:customStyle="1" w:styleId="FooterChar">
    <w:name w:val="Footer Char"/>
    <w:basedOn w:val="DefaultParagraphFont"/>
    <w:link w:val="Footer"/>
    <w:uiPriority w:val="99"/>
    <w:rsid w:val="0031456B"/>
  </w:style>
  <w:style w:type="paragraph" w:customStyle="1" w:styleId="IJTechaffiliation">
    <w:name w:val="IJTech_affiliation"/>
    <w:next w:val="Normal"/>
    <w:link w:val="IJTechaffiliationChar"/>
    <w:qFormat/>
    <w:rsid w:val="002B36AD"/>
    <w:pPr>
      <w:adjustRightInd w:val="0"/>
      <w:snapToGrid w:val="0"/>
      <w:spacing w:after="0" w:line="240" w:lineRule="auto"/>
    </w:pPr>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IJTECHaffiliation0">
    <w:name w:val="IJTECH_affiliation"/>
    <w:rsid w:val="0031456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IJTechAuthors">
    <w:name w:val="IJTech_Authors"/>
    <w:basedOn w:val="Normal"/>
    <w:link w:val="IJTechAuthorsChar"/>
    <w:qFormat/>
    <w:rsid w:val="0031456B"/>
    <w:pPr>
      <w:adjustRightInd w:val="0"/>
      <w:snapToGrid w:val="0"/>
      <w:spacing w:after="360" w:line="260" w:lineRule="atLeast"/>
      <w:jc w:val="left"/>
    </w:pPr>
    <w:rPr>
      <w:rFonts w:ascii="Seaford" w:eastAsia="Times New Roman" w:hAnsi="Seaford"/>
      <w:b/>
      <w:color w:val="000000"/>
      <w:sz w:val="20"/>
      <w:szCs w:val="22"/>
      <w:lang w:val="en-US" w:bidi="en-US"/>
    </w:rPr>
  </w:style>
  <w:style w:type="character" w:customStyle="1" w:styleId="IJTechAuthorsChar">
    <w:name w:val="IJTech_Authors Char"/>
    <w:basedOn w:val="DefaultParagraphFont"/>
    <w:link w:val="IJTechAuthors"/>
    <w:rsid w:val="0031456B"/>
    <w:rPr>
      <w:rFonts w:ascii="Seaford" w:eastAsia="Times New Roman" w:hAnsi="Seaford" w:cs="Times New Roman"/>
      <w:b/>
      <w:color w:val="000000"/>
      <w:kern w:val="0"/>
      <w:sz w:val="20"/>
      <w:lang w:val="en-US" w:eastAsia="de-DE" w:bidi="en-US"/>
      <w14:ligatures w14:val="none"/>
    </w:rPr>
  </w:style>
  <w:style w:type="paragraph" w:customStyle="1" w:styleId="IJTechTITLE">
    <w:name w:val="IJTech_TITLE"/>
    <w:basedOn w:val="Normal"/>
    <w:link w:val="IJTechTITLEChar"/>
    <w:qFormat/>
    <w:rsid w:val="0031456B"/>
    <w:pPr>
      <w:jc w:val="left"/>
    </w:pPr>
    <w:rPr>
      <w:rFonts w:ascii="Seaford" w:hAnsi="Seaford"/>
      <w:b/>
      <w:bCs/>
      <w:sz w:val="40"/>
      <w:szCs w:val="44"/>
      <w:lang w:val="en-US"/>
    </w:rPr>
  </w:style>
  <w:style w:type="character" w:customStyle="1" w:styleId="IJTechTITLEChar">
    <w:name w:val="IJTech_TITLE Char"/>
    <w:basedOn w:val="DefaultParagraphFont"/>
    <w:link w:val="IJTechTITLE"/>
    <w:rsid w:val="0031456B"/>
    <w:rPr>
      <w:rFonts w:ascii="Seaford" w:eastAsia="MS Mincho" w:hAnsi="Seaford" w:cs="Times New Roman"/>
      <w:b/>
      <w:bCs/>
      <w:kern w:val="0"/>
      <w:sz w:val="40"/>
      <w:szCs w:val="44"/>
      <w:lang w:val="en-US" w:eastAsia="de-DE"/>
      <w14:ligatures w14:val="none"/>
    </w:rPr>
  </w:style>
  <w:style w:type="paragraph" w:customStyle="1" w:styleId="IJTechTypeofPaper">
    <w:name w:val="IJTech_Type of Paper"/>
    <w:basedOn w:val="IJTechaffiliation"/>
    <w:link w:val="IJTechTypeofPaperChar"/>
    <w:qFormat/>
    <w:rsid w:val="004B75EA"/>
  </w:style>
  <w:style w:type="character" w:customStyle="1" w:styleId="IJTechaffiliationChar">
    <w:name w:val="IJTech_affiliation Char"/>
    <w:basedOn w:val="DefaultParagraphFont"/>
    <w:link w:val="IJTechaffiliation"/>
    <w:rsid w:val="002B36AD"/>
    <w:rPr>
      <w:rFonts w:ascii="Seaford" w:eastAsia="Times New Roman" w:hAnsi="Seaford" w:cs="Times New Roman"/>
      <w:i/>
      <w:snapToGrid w:val="0"/>
      <w:color w:val="000000"/>
      <w:kern w:val="0"/>
      <w:sz w:val="20"/>
      <w:szCs w:val="20"/>
      <w:lang w:val="en-US" w:eastAsia="de-DE" w:bidi="en-US"/>
      <w14:ligatures w14:val="none"/>
    </w:rPr>
  </w:style>
  <w:style w:type="character" w:customStyle="1" w:styleId="IJTechTypeofPaperChar">
    <w:name w:val="IJTech_Type of Paper Char"/>
    <w:basedOn w:val="IJTechaffiliationChar"/>
    <w:link w:val="IJTechTypeofPaper"/>
    <w:rsid w:val="004B75EA"/>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MDPI18keywords">
    <w:name w:val="MDPI_1.8_keywords"/>
    <w:next w:val="Normal"/>
    <w:link w:val="MDPI18keywordsChar"/>
    <w:rsid w:val="004B75EA"/>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lang w:val="en-US" w:eastAsia="de-DE" w:bidi="en-US"/>
      <w14:ligatures w14:val="none"/>
    </w:rPr>
  </w:style>
  <w:style w:type="paragraph" w:customStyle="1" w:styleId="MDPI17abstract">
    <w:name w:val="MDPI_1.7_abstract"/>
    <w:next w:val="Normal"/>
    <w:rsid w:val="004B75EA"/>
    <w:pPr>
      <w:adjustRightInd w:val="0"/>
      <w:snapToGrid w:val="0"/>
      <w:spacing w:before="240" w:after="0" w:line="280" w:lineRule="atLeast"/>
      <w:ind w:left="2608"/>
      <w:jc w:val="both"/>
    </w:pPr>
    <w:rPr>
      <w:rFonts w:ascii="Palatino Linotype" w:eastAsia="Times New Roman" w:hAnsi="Palatino Linotype" w:cs="Times New Roman"/>
      <w:color w:val="000000"/>
      <w:kern w:val="0"/>
      <w:sz w:val="20"/>
      <w:lang w:val="en-US" w:eastAsia="de-DE" w:bidi="en-US"/>
      <w14:ligatures w14:val="none"/>
    </w:rPr>
  </w:style>
  <w:style w:type="paragraph" w:customStyle="1" w:styleId="IJTECHAbstract">
    <w:name w:val="IJTECH_Abstract"/>
    <w:basedOn w:val="Normal"/>
    <w:link w:val="IJTECHAbstractChar"/>
    <w:qFormat/>
    <w:rsid w:val="004B75EA"/>
    <w:pPr>
      <w:spacing w:after="0"/>
    </w:pPr>
    <w:rPr>
      <w:rFonts w:ascii="Palatino" w:hAnsi="Palatino" w:cs="Palatino"/>
      <w:bCs/>
      <w:sz w:val="20"/>
      <w:szCs w:val="20"/>
    </w:rPr>
  </w:style>
  <w:style w:type="character" w:customStyle="1" w:styleId="IJTECHAbstractChar">
    <w:name w:val="IJTECH_Abstract Char"/>
    <w:basedOn w:val="DefaultParagraphFont"/>
    <w:link w:val="IJTECHAbstract"/>
    <w:rsid w:val="004B75EA"/>
    <w:rPr>
      <w:rFonts w:ascii="Palatino" w:eastAsia="MS Mincho" w:hAnsi="Palatino" w:cs="Palatino"/>
      <w:bCs/>
      <w:kern w:val="0"/>
      <w:sz w:val="20"/>
      <w:szCs w:val="20"/>
      <w:lang w:val="en-GB" w:eastAsia="de-DE"/>
      <w14:ligatures w14:val="none"/>
    </w:rPr>
  </w:style>
  <w:style w:type="paragraph" w:customStyle="1" w:styleId="IJTechKeyword">
    <w:name w:val="IJTech_Keyword"/>
    <w:basedOn w:val="MDPI18keywords"/>
    <w:link w:val="IJTechKeywordChar"/>
    <w:qFormat/>
    <w:rsid w:val="004B75EA"/>
    <w:pPr>
      <w:ind w:left="0"/>
    </w:pPr>
    <w:rPr>
      <w:rFonts w:ascii="Palatino" w:hAnsi="Palatino" w:cs="Palatino"/>
      <w:color w:val="auto"/>
      <w:sz w:val="20"/>
      <w:szCs w:val="20"/>
    </w:rPr>
  </w:style>
  <w:style w:type="character" w:customStyle="1" w:styleId="MDPI18keywordsChar">
    <w:name w:val="MDPI_1.8_keywords Char"/>
    <w:basedOn w:val="DefaultParagraphFont"/>
    <w:link w:val="MDPI18keywords"/>
    <w:rsid w:val="004B75EA"/>
    <w:rPr>
      <w:rFonts w:ascii="Palatino Linotype" w:eastAsia="Times New Roman" w:hAnsi="Palatino Linotype" w:cs="Times New Roman"/>
      <w:snapToGrid w:val="0"/>
      <w:color w:val="000000"/>
      <w:kern w:val="0"/>
      <w:sz w:val="18"/>
      <w:lang w:val="en-US" w:eastAsia="de-DE" w:bidi="en-US"/>
      <w14:ligatures w14:val="none"/>
    </w:rPr>
  </w:style>
  <w:style w:type="character" w:customStyle="1" w:styleId="IJTechKeywordChar">
    <w:name w:val="IJTech_Keyword Char"/>
    <w:basedOn w:val="MDPI18keywordsChar"/>
    <w:link w:val="IJTechKeyword"/>
    <w:rsid w:val="004B75EA"/>
    <w:rPr>
      <w:rFonts w:ascii="Palatino" w:eastAsia="Times New Roman" w:hAnsi="Palatino" w:cs="Palatino"/>
      <w:snapToGrid w:val="0"/>
      <w:color w:val="000000"/>
      <w:kern w:val="0"/>
      <w:sz w:val="20"/>
      <w:szCs w:val="20"/>
      <w:lang w:val="en-US" w:eastAsia="de-DE" w:bidi="en-US"/>
      <w14:ligatures w14:val="none"/>
    </w:rPr>
  </w:style>
  <w:style w:type="paragraph" w:customStyle="1" w:styleId="MDPI21heading1">
    <w:name w:val="MDPI_2.1_heading1"/>
    <w:link w:val="MDPI21heading1Char"/>
    <w:rsid w:val="004B75E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val="en-US" w:eastAsia="de-DE" w:bidi="en-US"/>
      <w14:ligatures w14:val="none"/>
    </w:rPr>
  </w:style>
  <w:style w:type="paragraph" w:customStyle="1" w:styleId="IJTECHHeading">
    <w:name w:val="IJTECH_Heading"/>
    <w:basedOn w:val="MDPI21heading1"/>
    <w:link w:val="IJTECHHeadingChar"/>
    <w:rsid w:val="004B75EA"/>
    <w:pPr>
      <w:ind w:left="0"/>
    </w:pPr>
    <w:rPr>
      <w:rFonts w:ascii="Palentino" w:hAnsi="Palentino"/>
    </w:rPr>
  </w:style>
  <w:style w:type="character" w:customStyle="1" w:styleId="MDPI21heading1Char">
    <w:name w:val="MDPI_2.1_heading1 Char"/>
    <w:basedOn w:val="DefaultParagraphFont"/>
    <w:link w:val="MDPI21heading1"/>
    <w:rsid w:val="004B75EA"/>
    <w:rPr>
      <w:rFonts w:ascii="Palatino Linotype" w:eastAsia="Times New Roman" w:hAnsi="Palatino Linotype" w:cs="Times New Roman"/>
      <w:b/>
      <w:snapToGrid w:val="0"/>
      <w:color w:val="000000"/>
      <w:kern w:val="0"/>
      <w:sz w:val="24"/>
      <w:lang w:val="en-US" w:eastAsia="de-DE" w:bidi="en-US"/>
      <w14:ligatures w14:val="none"/>
    </w:rPr>
  </w:style>
  <w:style w:type="character" w:customStyle="1" w:styleId="IJTECHHeadingChar">
    <w:name w:val="IJTECH_Heading Char"/>
    <w:basedOn w:val="MDPI21heading1Char"/>
    <w:link w:val="IJTECHHeading"/>
    <w:rsid w:val="004B75EA"/>
    <w:rPr>
      <w:rFonts w:ascii="Palentino" w:eastAsia="Times New Roman" w:hAnsi="Palentino" w:cs="Times New Roman"/>
      <w:b/>
      <w:snapToGrid w:val="0"/>
      <w:color w:val="000000"/>
      <w:kern w:val="0"/>
      <w:sz w:val="24"/>
      <w:lang w:val="en-US" w:eastAsia="de-DE" w:bidi="en-US"/>
      <w14:ligatures w14:val="none"/>
    </w:rPr>
  </w:style>
  <w:style w:type="paragraph" w:customStyle="1" w:styleId="IJTechHeadingSection">
    <w:name w:val="IJTech_Heading_Section"/>
    <w:basedOn w:val="IJTECHHeading"/>
    <w:link w:val="IJTechHeadingSectionChar"/>
    <w:qFormat/>
    <w:rsid w:val="00331A26"/>
    <w:pPr>
      <w:numPr>
        <w:numId w:val="1"/>
      </w:numPr>
      <w:ind w:left="426"/>
    </w:pPr>
    <w:rPr>
      <w:sz w:val="22"/>
    </w:rPr>
  </w:style>
  <w:style w:type="character" w:customStyle="1" w:styleId="IJTechHeadingSectionChar">
    <w:name w:val="IJTech_Heading_Section Char"/>
    <w:basedOn w:val="IJTECHHeadingChar"/>
    <w:link w:val="IJTechHeadingSection"/>
    <w:rsid w:val="00331A26"/>
    <w:rPr>
      <w:rFonts w:ascii="Palentino" w:eastAsia="Times New Roman" w:hAnsi="Palentino" w:cs="Times New Roman"/>
      <w:b/>
      <w:snapToGrid w:val="0"/>
      <w:color w:val="000000"/>
      <w:kern w:val="0"/>
      <w:sz w:val="24"/>
      <w:lang w:val="en-US" w:eastAsia="de-DE" w:bidi="en-US"/>
      <w14:ligatures w14:val="none"/>
    </w:rPr>
  </w:style>
  <w:style w:type="paragraph" w:customStyle="1" w:styleId="IJTechText">
    <w:name w:val="IJTech_Text"/>
    <w:basedOn w:val="Normal"/>
    <w:link w:val="IJTechTextChar"/>
    <w:qFormat/>
    <w:rsid w:val="003C019E"/>
    <w:pPr>
      <w:spacing w:after="0"/>
      <w:ind w:left="142" w:firstLine="308"/>
    </w:pPr>
    <w:rPr>
      <w:rFonts w:ascii="Palatino" w:hAnsi="Palatino" w:cs="Palatino"/>
      <w:szCs w:val="22"/>
      <w:shd w:val="clear" w:color="auto" w:fill="FFFFFF"/>
    </w:rPr>
  </w:style>
  <w:style w:type="character" w:customStyle="1" w:styleId="IJTechTextChar">
    <w:name w:val="IJTech_Text Char"/>
    <w:basedOn w:val="DefaultParagraphFont"/>
    <w:link w:val="IJTechText"/>
    <w:rsid w:val="003C019E"/>
    <w:rPr>
      <w:rFonts w:ascii="Palatino" w:eastAsia="MS Mincho" w:hAnsi="Palatino" w:cs="Palatino"/>
      <w:kern w:val="0"/>
      <w:lang w:val="en-GB" w:eastAsia="de-DE"/>
      <w14:ligatures w14:val="none"/>
    </w:rPr>
  </w:style>
  <w:style w:type="paragraph" w:customStyle="1" w:styleId="IJTechSubheading">
    <w:name w:val="IJTech_Subheading"/>
    <w:basedOn w:val="IJTechText"/>
    <w:link w:val="IJTechSubheadingChar"/>
    <w:qFormat/>
    <w:rsid w:val="00AA0418"/>
    <w:pPr>
      <w:numPr>
        <w:numId w:val="4"/>
      </w:numPr>
    </w:pPr>
    <w:rPr>
      <w:i/>
      <w:iCs/>
      <w:lang w:val="en-ID"/>
    </w:rPr>
  </w:style>
  <w:style w:type="character" w:customStyle="1" w:styleId="IJTechSubheadingChar">
    <w:name w:val="IJTech_Subheading Char"/>
    <w:basedOn w:val="IJTechTextChar"/>
    <w:link w:val="IJTechSubheading"/>
    <w:rsid w:val="00AA0418"/>
    <w:rPr>
      <w:rFonts w:ascii="Palatino" w:eastAsia="MS Mincho" w:hAnsi="Palatino" w:cs="Palatino"/>
      <w:i/>
      <w:iCs/>
      <w:kern w:val="0"/>
      <w:lang w:val="en-GB" w:eastAsia="de-DE"/>
      <w14:ligatures w14:val="none"/>
    </w:rPr>
  </w:style>
  <w:style w:type="paragraph" w:customStyle="1" w:styleId="IJTechSubsection">
    <w:name w:val="IJTech_Subsection"/>
    <w:basedOn w:val="IJTechSubheading"/>
    <w:link w:val="IJTechSubsectionChar"/>
    <w:qFormat/>
    <w:rsid w:val="00B659A1"/>
    <w:pPr>
      <w:numPr>
        <w:numId w:val="0"/>
      </w:numPr>
      <w:ind w:left="720"/>
    </w:pPr>
    <w:rPr>
      <w:rFonts w:ascii="Palentino" w:hAnsi="Palentino"/>
      <w:u w:val="single"/>
    </w:rPr>
  </w:style>
  <w:style w:type="character" w:customStyle="1" w:styleId="IJTechSubsectionChar">
    <w:name w:val="IJTech_Subsection Char"/>
    <w:basedOn w:val="IJTechSubheadingChar"/>
    <w:link w:val="IJTechSubsection"/>
    <w:rsid w:val="00B659A1"/>
    <w:rPr>
      <w:rFonts w:ascii="Palentino" w:eastAsia="MS Mincho" w:hAnsi="Palentino" w:cs="Palatino"/>
      <w:i/>
      <w:iCs/>
      <w:kern w:val="0"/>
      <w:u w:val="single"/>
      <w:lang w:val="en-GB" w:eastAsia="de-DE"/>
      <w14:ligatures w14:val="none"/>
    </w:rPr>
  </w:style>
  <w:style w:type="paragraph" w:customStyle="1" w:styleId="MDPI39equation">
    <w:name w:val="MDPI_3.9_equation"/>
    <w:rsid w:val="00A46BF9"/>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val="en-US" w:eastAsia="de-DE" w:bidi="en-US"/>
      <w14:ligatures w14:val="none"/>
    </w:rPr>
  </w:style>
  <w:style w:type="paragraph" w:customStyle="1" w:styleId="MDPI3aequationnumber">
    <w:name w:val="MDPI_3.a_equation_number"/>
    <w:rsid w:val="00A46BF9"/>
    <w:pPr>
      <w:spacing w:before="120" w:after="120" w:line="280" w:lineRule="atLeast"/>
      <w:jc w:val="right"/>
    </w:pPr>
    <w:rPr>
      <w:rFonts w:ascii="Palatino Linotype" w:eastAsia="Times New Roman" w:hAnsi="Palatino Linotype" w:cs="Times New Roman"/>
      <w:snapToGrid w:val="0"/>
      <w:color w:val="000000"/>
      <w:kern w:val="0"/>
      <w:sz w:val="20"/>
      <w:lang w:val="en-US" w:eastAsia="de-DE" w:bidi="en-US"/>
      <w14:ligatures w14:val="none"/>
    </w:rPr>
  </w:style>
  <w:style w:type="character" w:styleId="PlaceholderText">
    <w:name w:val="Placeholder Text"/>
    <w:basedOn w:val="DefaultParagraphFont"/>
    <w:uiPriority w:val="99"/>
    <w:semiHidden/>
    <w:rsid w:val="00A46BF9"/>
    <w:rPr>
      <w:color w:val="666666"/>
    </w:rPr>
  </w:style>
  <w:style w:type="character" w:customStyle="1" w:styleId="y2iqfc">
    <w:name w:val="y2iqfc"/>
    <w:basedOn w:val="DefaultParagraphFont"/>
    <w:rsid w:val="00B659A1"/>
  </w:style>
  <w:style w:type="table" w:styleId="TableGrid">
    <w:name w:val="Table Grid"/>
    <w:basedOn w:val="TableNormal"/>
    <w:uiPriority w:val="59"/>
    <w:qFormat/>
    <w:rsid w:val="000E6DD7"/>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TechTableCaption">
    <w:name w:val="IJTech_Table Caption"/>
    <w:basedOn w:val="Normal"/>
    <w:link w:val="IJTechTableCaptionChar"/>
    <w:qFormat/>
    <w:rsid w:val="000B3987"/>
    <w:pPr>
      <w:tabs>
        <w:tab w:val="left" w:pos="0"/>
        <w:tab w:val="left" w:pos="450"/>
      </w:tabs>
      <w:spacing w:before="120" w:after="0"/>
    </w:pPr>
    <w:rPr>
      <w:rFonts w:ascii="Palatino" w:hAnsi="Palatino" w:cs="Palatino"/>
      <w:sz w:val="24"/>
    </w:rPr>
  </w:style>
  <w:style w:type="character" w:customStyle="1" w:styleId="IJTechTableCaptionChar">
    <w:name w:val="IJTech_Table Caption Char"/>
    <w:basedOn w:val="DefaultParagraphFont"/>
    <w:link w:val="IJTechTableCaption"/>
    <w:rsid w:val="000B3987"/>
    <w:rPr>
      <w:rFonts w:ascii="Palatino" w:eastAsia="MS Mincho" w:hAnsi="Palatino" w:cs="Palatino"/>
      <w:kern w:val="0"/>
      <w:sz w:val="24"/>
      <w:szCs w:val="24"/>
      <w:lang w:val="en-GB" w:eastAsia="de-DE"/>
      <w14:ligatures w14:val="none"/>
    </w:rPr>
  </w:style>
  <w:style w:type="paragraph" w:customStyle="1" w:styleId="IJTechTableEntries">
    <w:name w:val="IJTech_Table Entries"/>
    <w:basedOn w:val="Normal"/>
    <w:link w:val="IJTechTableEntriesChar"/>
    <w:qFormat/>
    <w:rsid w:val="000B3987"/>
    <w:pPr>
      <w:tabs>
        <w:tab w:val="left" w:pos="0"/>
      </w:tabs>
      <w:spacing w:after="0"/>
      <w:jc w:val="center"/>
    </w:pPr>
    <w:rPr>
      <w:rFonts w:ascii="Palentino" w:eastAsia="TimesNewRomanPSMT" w:hAnsi="Palentino" w:cs="Palatino"/>
      <w:sz w:val="20"/>
      <w:szCs w:val="20"/>
      <w:lang w:val="en-US"/>
    </w:rPr>
  </w:style>
  <w:style w:type="character" w:customStyle="1" w:styleId="IJTechTableEntriesChar">
    <w:name w:val="IJTech_Table Entries Char"/>
    <w:basedOn w:val="DefaultParagraphFont"/>
    <w:link w:val="IJTechTableEntries"/>
    <w:rsid w:val="000B3987"/>
    <w:rPr>
      <w:rFonts w:ascii="Palentino" w:eastAsia="TimesNewRomanPSMT" w:hAnsi="Palentino" w:cs="Palatino"/>
      <w:kern w:val="0"/>
      <w:sz w:val="20"/>
      <w:szCs w:val="20"/>
      <w:lang w:val="en-US" w:eastAsia="de-DE"/>
      <w14:ligatures w14:val="none"/>
    </w:rPr>
  </w:style>
  <w:style w:type="paragraph" w:styleId="BodyText">
    <w:name w:val="Body Text"/>
    <w:basedOn w:val="Normal"/>
    <w:link w:val="BodyTextChar"/>
    <w:rsid w:val="00735D78"/>
    <w:pPr>
      <w:spacing w:after="0"/>
    </w:pPr>
    <w:rPr>
      <w:i/>
      <w:iCs/>
      <w:lang w:val="en-US" w:eastAsia="en-US"/>
    </w:rPr>
  </w:style>
  <w:style w:type="character" w:customStyle="1" w:styleId="BodyTextChar">
    <w:name w:val="Body Text Char"/>
    <w:basedOn w:val="DefaultParagraphFont"/>
    <w:link w:val="BodyText"/>
    <w:rsid w:val="00735D78"/>
    <w:rPr>
      <w:rFonts w:ascii="Times New Roman" w:eastAsia="MS Mincho" w:hAnsi="Times New Roman" w:cs="Times New Roman"/>
      <w:i/>
      <w:iCs/>
      <w:kern w:val="0"/>
      <w:szCs w:val="24"/>
      <w:lang w:val="en-US"/>
      <w14:ligatures w14:val="none"/>
    </w:rPr>
  </w:style>
  <w:style w:type="paragraph" w:customStyle="1" w:styleId="IJTechTheoremtitle">
    <w:name w:val="IJTech_Theorem title"/>
    <w:basedOn w:val="IJTechText"/>
    <w:link w:val="IJTechTheoremtitleChar"/>
    <w:qFormat/>
    <w:rsid w:val="00735D78"/>
    <w:rPr>
      <w:b/>
      <w:bCs/>
    </w:rPr>
  </w:style>
  <w:style w:type="character" w:customStyle="1" w:styleId="IJTechTheoremtitleChar">
    <w:name w:val="IJTech_Theorem title Char"/>
    <w:basedOn w:val="IJTechTextChar"/>
    <w:link w:val="IJTechTheoremtitle"/>
    <w:rsid w:val="00735D78"/>
    <w:rPr>
      <w:rFonts w:ascii="Palatino" w:eastAsia="MS Mincho" w:hAnsi="Palatino" w:cs="Palatino"/>
      <w:b/>
      <w:bCs/>
      <w:kern w:val="0"/>
      <w:lang w:val="en-GB" w:eastAsia="de-DE"/>
      <w14:ligatures w14:val="none"/>
    </w:rPr>
  </w:style>
  <w:style w:type="paragraph" w:customStyle="1" w:styleId="IJTechTheormstatement">
    <w:name w:val="IJTech_Theorm statement"/>
    <w:basedOn w:val="IJTechText"/>
    <w:link w:val="IJTechTheormstatementChar"/>
    <w:qFormat/>
    <w:rsid w:val="00331A26"/>
    <w:pPr>
      <w:spacing w:before="120" w:after="120"/>
    </w:pPr>
    <w:rPr>
      <w:i/>
      <w:iCs/>
    </w:rPr>
  </w:style>
  <w:style w:type="character" w:customStyle="1" w:styleId="IJTechTheormstatementChar">
    <w:name w:val="IJTech_Theorm statement Char"/>
    <w:basedOn w:val="IJTechTextChar"/>
    <w:link w:val="IJTechTheormstatement"/>
    <w:rsid w:val="00331A26"/>
    <w:rPr>
      <w:rFonts w:ascii="Palatino" w:eastAsia="MS Mincho" w:hAnsi="Palatino" w:cs="Palatino"/>
      <w:i/>
      <w:iCs/>
      <w:kern w:val="0"/>
      <w:lang w:val="en-GB" w:eastAsia="de-DE"/>
      <w14:ligatures w14:val="none"/>
    </w:rPr>
  </w:style>
  <w:style w:type="paragraph" w:customStyle="1" w:styleId="IJTechHeader">
    <w:name w:val="IJTech_Header"/>
    <w:basedOn w:val="Header"/>
    <w:link w:val="IJTechHeaderChar"/>
    <w:qFormat/>
    <w:rsid w:val="00331A26"/>
    <w:pPr>
      <w:tabs>
        <w:tab w:val="left" w:pos="7371"/>
      </w:tabs>
      <w:ind w:right="1949"/>
      <w:jc w:val="center"/>
    </w:pPr>
    <w:rPr>
      <w:rFonts w:ascii="Georgia" w:hAnsi="Georgia"/>
      <w:noProof/>
      <w:sz w:val="32"/>
      <w:szCs w:val="36"/>
      <w:lang w:val="en-US" w:eastAsia="ru-RU"/>
    </w:rPr>
  </w:style>
  <w:style w:type="character" w:customStyle="1" w:styleId="IJTechHeaderChar">
    <w:name w:val="IJTech_Header Char"/>
    <w:basedOn w:val="HeaderChar"/>
    <w:link w:val="IJTechHeader"/>
    <w:rsid w:val="00331A26"/>
    <w:rPr>
      <w:rFonts w:ascii="Georgia" w:eastAsia="MS Mincho" w:hAnsi="Georgia" w:cs="Times New Roman"/>
      <w:noProof/>
      <w:kern w:val="0"/>
      <w:sz w:val="32"/>
      <w:szCs w:val="36"/>
      <w:lang w:val="en-US" w:eastAsia="ru-RU"/>
      <w14:ligatures w14:val="none"/>
    </w:rPr>
  </w:style>
  <w:style w:type="paragraph" w:customStyle="1" w:styleId="IJTechReference">
    <w:name w:val="IJTech_Reference"/>
    <w:basedOn w:val="IJTechText"/>
    <w:link w:val="IJTechReferenceChar"/>
    <w:qFormat/>
    <w:rsid w:val="007813A2"/>
    <w:pPr>
      <w:ind w:firstLine="284"/>
    </w:pPr>
    <w:rPr>
      <w:sz w:val="20"/>
      <w:szCs w:val="20"/>
    </w:rPr>
  </w:style>
  <w:style w:type="character" w:customStyle="1" w:styleId="IJTechReferenceChar">
    <w:name w:val="IJTech_Reference Char"/>
    <w:basedOn w:val="IJTechTextChar"/>
    <w:link w:val="IJTechReference"/>
    <w:rsid w:val="007813A2"/>
    <w:rPr>
      <w:rFonts w:ascii="Palatino" w:eastAsia="MS Mincho" w:hAnsi="Palatino" w:cs="Palatino"/>
      <w:kern w:val="0"/>
      <w:sz w:val="20"/>
      <w:szCs w:val="20"/>
      <w:lang w:val="en-GB" w:eastAsia="de-DE"/>
      <w14:ligatures w14:val="none"/>
    </w:rPr>
  </w:style>
  <w:style w:type="paragraph" w:customStyle="1" w:styleId="IJTechConflictofInterest">
    <w:name w:val="IJTech_Conflict of Interest"/>
    <w:basedOn w:val="IJTechText"/>
    <w:link w:val="IJTechConflictofInterestChar"/>
    <w:qFormat/>
    <w:rsid w:val="00D47818"/>
    <w:pPr>
      <w:ind w:firstLine="0"/>
    </w:pPr>
    <w:rPr>
      <w:sz w:val="20"/>
    </w:rPr>
  </w:style>
  <w:style w:type="character" w:customStyle="1" w:styleId="IJTechConflictofInterestChar">
    <w:name w:val="IJTech_Conflict of Interest Char"/>
    <w:basedOn w:val="IJTechTextChar"/>
    <w:link w:val="IJTechConflictofInterest"/>
    <w:rsid w:val="00D47818"/>
    <w:rPr>
      <w:rFonts w:ascii="Palatino" w:eastAsia="MS Mincho" w:hAnsi="Palatino" w:cs="Palatino"/>
      <w:kern w:val="0"/>
      <w:sz w:val="20"/>
      <w:lang w:val="en-GB" w:eastAsia="de-DE"/>
      <w14:ligatures w14:val="none"/>
    </w:rPr>
  </w:style>
  <w:style w:type="paragraph" w:customStyle="1" w:styleId="IJTechConflictofInterestTitle">
    <w:name w:val="IJTech_Conflict of Interest Title"/>
    <w:basedOn w:val="IJTechHeadingSection"/>
    <w:link w:val="IJTechConflictofInterestTitleChar"/>
    <w:qFormat/>
    <w:rsid w:val="000C08B0"/>
    <w:pPr>
      <w:numPr>
        <w:numId w:val="0"/>
      </w:numPr>
      <w:ind w:left="142"/>
    </w:pPr>
    <w:rPr>
      <w:rFonts w:ascii="Palatino" w:hAnsi="Palatino" w:cs="Palatino"/>
      <w:lang w:val="en-GB"/>
    </w:rPr>
  </w:style>
  <w:style w:type="character" w:customStyle="1" w:styleId="IJTechConflictofInterestTitleChar">
    <w:name w:val="IJTech_Conflict of Interest Title Char"/>
    <w:basedOn w:val="IJTechHeadingSectionChar"/>
    <w:link w:val="IJTechConflictofInterestTitle"/>
    <w:rsid w:val="000C08B0"/>
    <w:rPr>
      <w:rFonts w:ascii="Palatino" w:eastAsia="Times New Roman" w:hAnsi="Palatino" w:cs="Palatino"/>
      <w:b/>
      <w:snapToGrid w:val="0"/>
      <w:color w:val="000000"/>
      <w:kern w:val="0"/>
      <w:sz w:val="24"/>
      <w:lang w:val="en-GB" w:eastAsia="de-DE" w:bidi="en-US"/>
      <w14:ligatures w14:val="none"/>
    </w:rPr>
  </w:style>
  <w:style w:type="paragraph" w:styleId="EndnoteText">
    <w:name w:val="endnote text"/>
    <w:basedOn w:val="Normal"/>
    <w:link w:val="EndnoteTextChar"/>
    <w:rsid w:val="00FC7237"/>
    <w:pPr>
      <w:spacing w:after="0"/>
    </w:pPr>
    <w:rPr>
      <w:sz w:val="20"/>
      <w:szCs w:val="20"/>
    </w:rPr>
  </w:style>
  <w:style w:type="character" w:customStyle="1" w:styleId="EndnoteTextChar">
    <w:name w:val="Endnote Text Char"/>
    <w:basedOn w:val="DefaultParagraphFont"/>
    <w:link w:val="EndnoteText"/>
    <w:rsid w:val="00FC7237"/>
    <w:rPr>
      <w:rFonts w:ascii="Times New Roman" w:eastAsia="MS Mincho" w:hAnsi="Times New Roman" w:cs="Times New Roman"/>
      <w:kern w:val="0"/>
      <w:sz w:val="20"/>
      <w:szCs w:val="20"/>
      <w:lang w:val="en-GB" w:eastAsia="de-DE"/>
      <w14:ligatures w14:val="none"/>
    </w:rPr>
  </w:style>
  <w:style w:type="character" w:styleId="Hyperlink">
    <w:name w:val="Hyperlink"/>
    <w:basedOn w:val="DefaultParagraphFont"/>
    <w:uiPriority w:val="99"/>
    <w:unhideWhenUsed/>
    <w:rsid w:val="00DE2BE5"/>
    <w:rPr>
      <w:color w:val="467886" w:themeColor="hyperlink"/>
      <w:u w:val="single"/>
    </w:rPr>
  </w:style>
  <w:style w:type="character" w:styleId="UnresolvedMention">
    <w:name w:val="Unresolved Mention"/>
    <w:basedOn w:val="DefaultParagraphFont"/>
    <w:uiPriority w:val="99"/>
    <w:semiHidden/>
    <w:unhideWhenUsed/>
    <w:rsid w:val="00DE2BE5"/>
    <w:rPr>
      <w:color w:val="605E5C"/>
      <w:shd w:val="clear" w:color="auto" w:fill="E1DFDD"/>
    </w:rPr>
  </w:style>
  <w:style w:type="character" w:styleId="CommentReference">
    <w:name w:val="annotation reference"/>
    <w:basedOn w:val="DefaultParagraphFont"/>
    <w:uiPriority w:val="99"/>
    <w:semiHidden/>
    <w:unhideWhenUsed/>
    <w:rsid w:val="00001336"/>
    <w:rPr>
      <w:sz w:val="16"/>
      <w:szCs w:val="16"/>
    </w:rPr>
  </w:style>
  <w:style w:type="paragraph" w:styleId="CommentText">
    <w:name w:val="annotation text"/>
    <w:basedOn w:val="Normal"/>
    <w:link w:val="CommentTextChar"/>
    <w:uiPriority w:val="99"/>
    <w:unhideWhenUsed/>
    <w:rsid w:val="00001336"/>
    <w:rPr>
      <w:sz w:val="20"/>
      <w:szCs w:val="20"/>
    </w:rPr>
  </w:style>
  <w:style w:type="character" w:customStyle="1" w:styleId="CommentTextChar">
    <w:name w:val="Comment Text Char"/>
    <w:basedOn w:val="DefaultParagraphFont"/>
    <w:link w:val="CommentText"/>
    <w:uiPriority w:val="99"/>
    <w:rsid w:val="00001336"/>
    <w:rPr>
      <w:rFonts w:ascii="Times New Roman" w:eastAsia="MS Mincho"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001336"/>
    <w:rPr>
      <w:b/>
      <w:bCs/>
    </w:rPr>
  </w:style>
  <w:style w:type="character" w:customStyle="1" w:styleId="CommentSubjectChar">
    <w:name w:val="Comment Subject Char"/>
    <w:basedOn w:val="CommentTextChar"/>
    <w:link w:val="CommentSubject"/>
    <w:uiPriority w:val="99"/>
    <w:semiHidden/>
    <w:rsid w:val="00001336"/>
    <w:rPr>
      <w:rFonts w:ascii="Times New Roman" w:eastAsia="MS Mincho" w:hAnsi="Times New Roman" w:cs="Times New Roman"/>
      <w:b/>
      <w:bCs/>
      <w:kern w:val="0"/>
      <w:sz w:val="20"/>
      <w:szCs w:val="20"/>
      <w:lang w:val="en-GB" w:eastAsia="de-DE"/>
      <w14:ligatures w14:val="none"/>
    </w:rPr>
  </w:style>
  <w:style w:type="character" w:styleId="LineNumber">
    <w:name w:val="line number"/>
    <w:basedOn w:val="DefaultParagraphFont"/>
    <w:uiPriority w:val="99"/>
    <w:semiHidden/>
    <w:unhideWhenUsed/>
    <w:rsid w:val="00A5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gitalcommons.cedarville.edu/musicalofferings/vol8/iss1/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1E15-C6EC-4234-9146-20756B6D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Ismi Rosyiana Fitri</dc:creator>
  <cp:keywords/>
  <dc:description/>
  <cp:lastModifiedBy>YuniarFirda85</cp:lastModifiedBy>
  <cp:revision>2</cp:revision>
  <cp:lastPrinted>2024-12-23T07:11:00Z</cp:lastPrinted>
  <dcterms:created xsi:type="dcterms:W3CDTF">2025-10-15T04:49:00Z</dcterms:created>
  <dcterms:modified xsi:type="dcterms:W3CDTF">2025-10-15T04:49:00Z</dcterms:modified>
</cp:coreProperties>
</file>