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b/>
          <w:sz w:val="36"/>
        </w:rPr>
        <w:t>GestPLC: Real-Time Hand Gesture Recognition for PLC Control using MediaPipe and Modbus TCP for Industry 4.0 Applications</w:t>
      </w:r>
    </w:p>
    <w:p>
      <w:pPr>
        <w:pStyle w:val="Author"/>
        <w:jc w:val="left"/>
      </w:pPr>
      <w:r>
        <w:rPr>
          <w:sz w:val="22"/>
        </w:rPr>
        <w:t>Rofiq Cahyo Prayogo^1 · Ahmad Ridlo Hanifudin Tahier^2 · Munadi^3</w:t>
      </w:r>
    </w:p>
    <w:p>
      <w:pPr>
        <w:pStyle w:val="Affiliation"/>
        <w:jc w:val="left"/>
      </w:pPr>
      <w:r>
        <w:rPr>
          <w:i/>
          <w:sz w:val="18"/>
        </w:rPr>
        <w:t>^1 Automation Engineering, Diponegoro University</w:t>
      </w:r>
    </w:p>
    <w:p>
      <w:pPr>
        <w:pStyle w:val="Affiliation"/>
        <w:jc w:val="left"/>
      </w:pPr>
      <w:r>
        <w:rPr>
          <w:i/>
          <w:sz w:val="18"/>
        </w:rPr>
        <w:t>^2 Automation Engineering, Diponegoro University</w:t>
      </w:r>
    </w:p>
    <w:p>
      <w:pPr>
        <w:pStyle w:val="Affiliation"/>
        <w:jc w:val="left"/>
      </w:pPr>
      <w:r>
        <w:rPr>
          <w:i/>
          <w:sz w:val="18"/>
        </w:rPr>
        <w:t>^3 Mechanical Engineering, Diponegoro University</w:t>
      </w:r>
    </w:p>
    <w:p>
      <w:pPr>
        <w:pStyle w:val="AbstractHeading"/>
        <w:spacing w:before="240"/>
      </w:pPr>
      <w:r>
        <w:rPr>
          <w:b/>
          <w:sz w:val="20"/>
        </w:rPr>
        <w:t>Abstract</w:t>
      </w:r>
    </w:p>
    <w:p>
      <w:pPr>
        <w:pStyle w:val="Abstract"/>
      </w:pPr>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spacing w:before="120"/>
      </w:pPr>
      <w:r>
        <w:rPr>
          <w:b/>
        </w:rPr>
        <w:t xml:space="preserve">Keywords: </w:t>
      </w:r>
      <w:r>
        <w:rPr>
          <w:b w:val="0"/>
          <w:i w:val="0"/>
          <w:u w:val="none"/>
        </w:rPr>
        <w:t>Hand Gesture Recognition · PLC Control · MediaPipe · Modbus TCP · Industry 4.0 · Threading</w:t>
      </w:r>
    </w:p>
    <w:p>
      <w:pPr>
        <w:pStyle w:val="Heading1"/>
      </w:pPr>
      <w:r>
        <w:t>I. 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II. TINJAUAN PUSTAKA</w:t>
      </w:r>
    </w:p>
    <w:p>
      <w:pPr>
        <w:pStyle w:val="Heading2"/>
      </w:pPr>
      <w:r>
        <w:t>A. 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w:t>
      </w:r>
      <w:r>
        <w:rPr>
          <w:b w:val="0"/>
          <w:i w:val="0"/>
          <w:u w:val="none"/>
        </w:rPr>
        <w:t xml:space="preserve"> diumpankan ke mesin aturan geometris yang berjalan di bawah satu milidetik tanpa data pelatihan. Perubahan set gestur hanya memerlukan penyesuaian threshold sudut.</w:t>
      </w:r>
    </w:p>
    <w:p>
      <w:pPr>
        <w:pStyle w:val="Heading2"/>
      </w:pPr>
      <w:r>
        <w:t>B. 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C. 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III. METODOLOGI</w:t>
      </w:r>
    </w:p>
    <w:p>
      <w:pPr>
        <w:pStyle w:val="Heading2"/>
      </w:pPr>
      <w:r>
        <w:t>A. 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tabs>
          <w:tab w:pos="4680" w:val="center"/>
          <w:tab w:pos="9360"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w:t>
      </w:r>
      <w:r>
        <w:tab/>
        <w:t>(1)</w:t>
      </w:r>
    </w:p>
    <w:p>
      <w:pPr>
        <w:pStyle w:val="BodyText"/>
      </w:pPr>
      <w:r>
        <w:rPr>
          <w:b w:val="0"/>
          <w:i w:val="0"/>
          <w:u w:val="none"/>
        </w:rPr>
        <w:t xml:space="preserve">Di sini </w:t>
      </w:r>
      <m:oMath xmlns:mml="http://www.w3.org/1998/Math/MathML">
        <m:sSub>
          <m:e>
            <m:r>
              <m:t>T</m:t>
            </m:r>
          </m:e>
          <m:sub>
            <m:r>
              <m:rPr>
                <m:sty m:val="p"/>
              </m:rPr>
              <m:t>cap</m:t>
            </m:r>
          </m:sub>
        </m:sSub>
      </m:oMath>
      <w:r>
        <w:t>​</w:t>
      </w:r>
      <w:r>
        <w:rPr>
          <w:b w:val="0"/>
          <w:i w:val="0"/>
          <w:u w:val="none"/>
        </w:rPr>
        <w:t xml:space="preserve"> adalah waktu penangkapan kamera, </w:t>
      </w:r>
      <m:oMath xmlns:mml="http://www.w3.org/1998/Math/MathML">
        <m:sSub>
          <m:e>
            <m:r>
              <m:t>T</m:t>
            </m:r>
          </m:e>
          <m:sub>
            <m:r>
              <m:rPr>
                <m:sty m:val="p"/>
              </m:rPr>
              <m:t>inf</m:t>
            </m:r>
          </m:sub>
        </m:sSub>
      </m:oMath>
      <w:r>
        <w:t>​</w:t>
      </w:r>
      <w:r>
        <w:rPr>
          <w:b w:val="0"/>
          <w:i w:val="0"/>
          <w:u w:val="none"/>
        </w:rPr>
        <w:t xml:space="preserve"> waktu inferensi MediaPipe, </w:t>
      </w:r>
      <m:oMath xmlns:mml="http://www.w3.org/1998/Math/MathML">
        <m:sSub>
          <m:e>
            <m:r>
              <m:t>T</m:t>
            </m:r>
          </m:e>
          <m:sub>
            <m:r>
              <m:rPr>
                <m:sty m:val="p"/>
              </m:rPr>
              <m:t>modbus</m:t>
            </m:r>
          </m:sub>
        </m:sSub>
      </m:oMath>
      <w:r>
        <w:t>​</w:t>
      </w:r>
      <w:r>
        <w:rPr>
          <w:b w:val="0"/>
          <w:i w:val="0"/>
          <w:u w:val="none"/>
        </w:rPr>
        <w:t xml:space="preserve"> satu round-trip Modbus, dan </w:t>
      </w:r>
      <m:oMath xmlns:mml="http://www.w3.org/1998/Math/MathML">
        <m:sSub>
          <m:e>
            <m:r>
              <m:t>T</m:t>
            </m:r>
          </m:e>
          <m:sub>
            <m:r>
              <m:rPr>
                <m:sty m:val="p"/>
              </m:rPr>
              <m:t>queue</m:t>
            </m:r>
          </m:sub>
        </m:sSub>
      </m:oMath>
      <w:r>
        <w:t>​</w:t>
      </w:r>
      <w:r>
        <w:rPr>
          <w:b w:val="0"/>
          <w:i w:val="0"/>
          <w:u w:val="none"/>
        </w:rPr>
        <w:t xml:space="preserve"> overhead antar-thread. Dalam pengukuran kami, </w:t>
      </w:r>
      <m:oMath xmlns:mml="http://www.w3.org/1998/Math/MathML">
        <m:sSub>
          <m:e>
            <m:r>
              <m:t>T</m:t>
            </m:r>
          </m:e>
          <m:sub>
            <m:r>
              <m:rPr>
                <m:sty m:val="p"/>
              </m:rPr>
              <m:t>queue</m:t>
            </m:r>
          </m:sub>
        </m:sSub>
      </m:oMath>
      <w:r>
        <w:t>​</w:t>
      </w:r>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t>B. 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rPr>
          <w:b w:val="0"/>
          <w:i w:val="0"/>
          <w:u w:val="none"/>
        </w:rPr>
        <w:t>Logika ladder (Gbr. 4): M200 M203 sebagai kontak normally-open menggerakkan coil output Q0 Q3.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t>C. 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p>
      <w:pPr>
        <w:pStyle w:val="BodyText"/>
      </w:pPr>
      <w:r>
        <w:rPr>
          <w:b w:val="0"/>
          <w:i w:val="0"/>
          <w:u w:val="none"/>
        </w:rPr>
        <w:t>Ke-21 landmark (bernomor 0 20) ditunjukkan pada Gbr. 6. Prototipe awal memverifikasi bahwa output MediaPipe stabil dalam kisaran ~30 derajat dari sumbu kamera.</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
        <w:tabs>
          <w:tab w:pos="4680" w:val="center"/>
          <w:tab w:pos="9360"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w:t>
      </w:r>
      <w:r>
        <w:tab/>
        <w:t>(2)</w:t>
      </w:r>
    </w:p>
    <w:p>
      <w:pPr>
        <w:pStyle w:val="BodyText"/>
      </w:pPr>
      <w:r>
        <w:rPr>
          <w:b w:val="0"/>
          <w:i w:val="0"/>
          <w:u w:val="none"/>
        </w:rPr>
        <w:t xml:space="preserve">Pada persamaan (2), </w:t>
      </w:r>
      <m:oMath xmlns:mml="http://www.w3.org/1998/Math/MathML">
        <m:sSub>
          <m:e>
            <m:r>
              <m:t>x</m:t>
            </m:r>
          </m:e>
          <m:sub>
            <m:r>
              <m:t>i</m:t>
            </m:r>
          </m:sub>
        </m:sSub>
      </m:oMath>
      <w:r>
        <w:t>​</w:t>
      </w:r>
      <w:r>
        <w:rPr>
          <w:b w:val="0"/>
          <w:i w:val="0"/>
          <w:u w:val="none"/>
        </w:rPr>
        <w:t xml:space="preserve"> dan </w:t>
      </w:r>
      <m:oMath xmlns:mml="http://www.w3.org/1998/Math/MathML">
        <m:sSub>
          <m:e>
            <m:r>
              <m:t>y</m:t>
            </m:r>
          </m:e>
          <m:sub>
            <m:r>
              <m:t>i</m:t>
            </m:r>
          </m:sub>
        </m:sSub>
      </m:oMath>
      <w:r>
        <w:t>​</w:t>
      </w:r>
      <w:r>
        <w:rPr>
          <w:b w:val="0"/>
          <w:i w:val="0"/>
          <w:u w:val="none"/>
        </w:rPr>
        <w:t xml:space="preserve"> berada dalam </w:t>
      </w:r>
      <m:oMath xmlns:mml="http://www.w3.org/1998/Math/MathML">
        <m:r>
          <m:t>[0,1]</m:t>
        </m:r>
      </m:oMath>
      <w:r>
        <w:t>​</w:t>
      </w:r>
      <w:r>
        <w:rPr>
          <w:b w:val="0"/>
          <w:i w:val="0"/>
          <w:u w:val="none"/>
        </w:rPr>
        <w:t xml:space="preserve"> relatif terhadap dimensi gambar, </w:t>
      </w:r>
      <m:oMath xmlns:mml="http://www.w3.org/1998/Math/MathML">
        <m:sSub>
          <m:e>
            <m:r>
              <m:t>z</m:t>
            </m:r>
          </m:e>
          <m:sub>
            <m:r>
              <m:t>i</m:t>
            </m:r>
          </m:sub>
        </m:sSub>
      </m:oMath>
      <w:r>
        <w:t>​</w:t>
      </w:r>
      <w:r>
        <w:rPr>
          <w:b w:val="0"/>
          <w:i w:val="0"/>
          <w:u w:val="none"/>
        </w:rPr>
        <w:t xml:space="preserve"> mengkodekan kedalaman relatif terhadap pergelangan tangan. Jarak Euclidean antara dua landmark:</w:t>
      </w:r>
    </w:p>
    <w:p>
      <w:pPr>
        <w:pStyle w:val="Equation"/>
        <w:tabs>
          <w:tab w:pos="4680" w:val="center"/>
          <w:tab w:pos="9360"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w:t>
      </w:r>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t>​</w:t>
      </w:r>
      <w:r>
        <w:rPr>
          <w:b w:val="0"/>
          <w:i w:val="0"/>
          <w:u w:val="none"/>
        </w:rPr>
        <w:t xml:space="preserve"> (jarak pergelangan tangan ke middle-MCP):</w:t>
      </w:r>
    </w:p>
    <w:p>
      <w:pPr>
        <w:pStyle w:val="Equation"/>
        <w:tabs>
          <w:tab w:pos="4680" w:val="center"/>
          <w:tab w:pos="9360"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w:t>
      </w:r>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t>​</w:t>
      </w:r>
      <w:r>
        <w:rPr>
          <w:b w:val="0"/>
          <w:i w:val="0"/>
          <w:u w:val="none"/>
        </w:rPr>
        <w:t xml:space="preserve"> mencerminkan bentuk tangan independen dari jarak kamera. Untuk ekstensi jari, dibutuhkan sudut sendi. Vektor arah:</w:t>
      </w:r>
    </w:p>
    <w:p>
      <w:pPr>
        <w:pStyle w:val="Equation"/>
        <w:tabs>
          <w:tab w:pos="4680" w:val="center"/>
          <w:tab w:pos="9360"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w:t>
      </w:r>
      <w:r>
        <w:tab/>
        <w:t>(5)</w:t>
      </w:r>
    </w:p>
    <w:p>
      <w:pPr>
        <w:pStyle w:val="BodyText"/>
      </w:pPr>
      <w:r>
        <w:rPr>
          <w:b w:val="0"/>
          <w:i w:val="0"/>
          <w:u w:val="none"/>
        </w:rPr>
        <w:t>Besarnya:</w:t>
      </w:r>
    </w:p>
    <w:p>
      <w:pPr>
        <w:pStyle w:val="Equation"/>
        <w:tabs>
          <w:tab w:pos="4680" w:val="center"/>
          <w:tab w:pos="9360"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w:t>
      </w:r>
      <w:r>
        <w:tab/>
        <w:t>(6)</w:t>
      </w:r>
    </w:p>
    <w:p>
      <w:pPr>
        <w:pStyle w:val="BodyText"/>
      </w:pPr>
      <w:r>
        <w:rPr>
          <w:b w:val="0"/>
          <w:i w:val="0"/>
          <w:u w:val="none"/>
        </w:rPr>
        <w:t>Dot product dari dua vektor segmen tulang yang bersebelahan:</w:t>
      </w:r>
    </w:p>
    <w:p>
      <w:pPr>
        <w:pStyle w:val="Equation"/>
        <w:tabs>
          <w:tab w:pos="4680" w:val="center"/>
          <w:tab w:pos="9360"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w:t>
      </w:r>
      <w:r>
        <w:tab/>
        <w:t>(7)</w:t>
      </w:r>
    </w:p>
    <w:p>
      <w:pPr>
        <w:pStyle w:val="BodyText"/>
      </w:pPr>
      <w:r>
        <w:rPr>
          <w:b w:val="0"/>
          <w:i w:val="0"/>
          <w:u w:val="none"/>
        </w:rPr>
        <w:t>Sudut antar-sendi, untuk tiga landmark berurutan (</w:t>
      </w:r>
      <m:oMath xmlns:mml="http://www.w3.org/1998/Math/MathML">
        <m:r>
          <m:t>A</m:t>
        </m:r>
      </m:oMath>
      <w:r>
        <w:t>​</w:t>
      </w:r>
      <w:r>
        <w:rPr>
          <w:b w:val="0"/>
          <w:i w:val="0"/>
          <w:u w:val="none"/>
        </w:rPr>
        <w:t xml:space="preserve"> = ujung jari, </w:t>
      </w:r>
      <m:oMath xmlns:mml="http://www.w3.org/1998/Math/MathML">
        <m:r>
          <m:t>B</m:t>
        </m:r>
      </m:oMath>
      <w:r>
        <w:t>​</w:t>
      </w:r>
      <w:r>
        <w:rPr>
          <w:b w:val="0"/>
          <w:i w:val="0"/>
          <w:u w:val="none"/>
        </w:rPr>
        <w:t xml:space="preserve"> = sendi tengah, </w:t>
      </w:r>
      <m:oMath xmlns:mml="http://www.w3.org/1998/Math/MathML">
        <m:r>
          <m:t>C</m:t>
        </m:r>
      </m:oMath>
      <w:r>
        <w:t>​</w:t>
      </w:r>
      <w:r>
        <w:rPr>
          <w:b w:val="0"/>
          <w:i w:val="0"/>
          <w:u w:val="none"/>
        </w:rPr>
        <w:t xml:space="preserve"> = pangkal):</w:t>
      </w:r>
    </w:p>
    <w:p>
      <w:pPr>
        <w:pStyle w:val="Equation"/>
        <w:tabs>
          <w:tab w:pos="4680" w:val="center"/>
          <w:tab w:pos="9360"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w:t>
      </w:r>
      <w:r>
        <w:tab/>
        <w:t>(8)</w:t>
      </w:r>
    </w:p>
    <w:p>
      <w:pPr>
        <w:pStyle w:val="BodyText"/>
      </w:pPr>
      <w:r>
        <w:rPr>
          <w:b w:val="0"/>
          <w:i w:val="0"/>
          <w:u w:val="none"/>
        </w:rPr>
        <w:t xml:space="preserve">Sudut </w:t>
      </w:r>
      <m:oMath xmlns:mml="http://www.w3.org/1998/Math/MathML">
        <m:r>
          <m:t>θ</m:t>
        </m:r>
      </m:oMath>
      <w:r>
        <w:t>​</w:t>
      </w:r>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w:t>
      </w:r>
      <w:r>
        <w:rPr>
          <w:b w:val="0"/>
          <w:i w:val="0"/>
          <w:u w:val="none"/>
        </w:rPr>
        <w:t xml:space="preserve"> dan </w:t>
      </w:r>
      <m:oMath xmlns:mml="http://www.w3.org/1998/Math/MathML">
        <m:sSub>
          <m:e>
            <m:r>
              <m:t>θ</m:t>
            </m:r>
          </m:e>
          <m:sub>
            <m:r>
              <m:rPr>
                <m:sty m:val="p"/>
              </m:rPr>
              <m:t>close</m:t>
            </m:r>
          </m:sub>
        </m:sSub>
        <m:r>
          <m:t>≈</m:t>
        </m:r>
        <m:sSup>
          <m:e>
            <m:r>
              <m:t>140</m:t>
            </m:r>
          </m:e>
          <m:sup>
            <m:r>
              <m:t>∘</m:t>
            </m:r>
          </m:sup>
        </m:sSup>
      </m:oMath>
      <w:r>
        <w:t>​</w:t>
      </w:r>
      <w:r>
        <w:rPr>
          <w:b w:val="0"/>
          <w:i w:val="0"/>
          <w:u w:val="none"/>
        </w:rPr>
        <w:t xml:space="preserve">. Jika </w:t>
      </w:r>
      <m:oMath xmlns:mml="http://www.w3.org/1998/Math/MathML">
        <m:r>
          <m:t>θ&gt;</m:t>
        </m:r>
        <m:sSub>
          <m:e>
            <m:r>
              <m:t>θ</m:t>
            </m:r>
          </m:e>
          <m:sub>
            <m:r>
              <m:rPr>
                <m:sty m:val="p"/>
              </m:rPr>
              <m:t>open</m:t>
            </m:r>
          </m:sub>
        </m:sSub>
      </m:oMath>
      <w:r>
        <w:t>​</w:t>
      </w:r>
      <w:r>
        <w:rPr>
          <w:b w:val="0"/>
          <w:i w:val="0"/>
          <w:u w:val="none"/>
        </w:rPr>
        <w:t xml:space="preserve"> maka jari terektensi (</w:t>
      </w:r>
      <m:oMath xmlns:mml="http://www.w3.org/1998/Math/MathML">
        <m:sSub>
          <m:e>
            <m:r>
              <m:t>f</m:t>
            </m:r>
          </m:e>
          <m:sub>
            <m:r>
              <m:t>i</m:t>
            </m:r>
          </m:sub>
        </m:sSub>
        <m:r>
          <m:t>=1</m:t>
        </m:r>
      </m:oMath>
      <w:r>
        <w:t>​</w:t>
      </w:r>
      <w:r>
        <w:rPr>
          <w:b w:val="0"/>
          <w:i w:val="0"/>
          <w:u w:val="none"/>
        </w:rPr>
        <w:t xml:space="preserve">); di bawah </w:t>
      </w:r>
      <m:oMath xmlns:mml="http://www.w3.org/1998/Math/MathML">
        <m:sSub>
          <m:e>
            <m:r>
              <m:t>θ</m:t>
            </m:r>
          </m:e>
          <m:sub>
            <m:r>
              <m:rPr>
                <m:sty m:val="p"/>
              </m:rPr>
              <m:t>close</m:t>
            </m:r>
          </m:sub>
        </m:sSub>
      </m:oMath>
      <w:r>
        <w:t>​</w:t>
      </w:r>
      <w:r>
        <w:rPr>
          <w:b w:val="0"/>
          <w:i w:val="0"/>
          <w:u w:val="none"/>
        </w:rPr>
        <w:t xml:space="preserve"> maka tertutup (</w:t>
      </w:r>
      <m:oMath xmlns:mml="http://www.w3.org/1998/Math/MathML">
        <m:sSub>
          <m:e>
            <m:r>
              <m:t>f</m:t>
            </m:r>
          </m:e>
          <m:sub>
            <m:r>
              <m:t>i</m:t>
            </m:r>
          </m:sub>
        </m:sSub>
        <m:r>
          <m:t>=0</m:t>
        </m:r>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w:t>
      </w:r>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w:t>
      </w:r>
      <w:r>
        <w:rPr>
          <w:b w:val="0"/>
          <w:i w:val="0"/>
          <w:u w:val="none"/>
        </w:rPr>
        <w:t xml:space="preserve"> dan </w:t>
      </w:r>
      <m:oMath xmlns:mml="http://www.w3.org/1998/Math/MathML">
        <m:r>
          <m:t>het</m:t>
        </m:r>
        <m:sSub>
          <m:e>
            <m:r>
              <m:t>a</m:t>
            </m:r>
          </m:e>
          <m:sub>
            <m:r>
              <m:rPr>
                <m:sty m:val="p"/>
              </m:rPr>
              <m:t>low</m:t>
            </m:r>
          </m:sub>
        </m:sSub>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w:t>
      </w:r>
      <w:r>
        <w:tab/>
        <w:t>(10)</w:t>
      </w:r>
    </w:p>
    <w:p>
      <w:pPr>
        <w:pStyle w:val="BodyText"/>
      </w:pPr>
      <w:r>
        <w:rPr>
          <w:b w:val="0"/>
          <w:i w:val="0"/>
          <w:u w:val="none"/>
        </w:rPr>
        <w:t xml:space="preserve">Di atas histeresis, voting mayoritas sliding-window menghaluskan output di sepanjang </w:t>
      </w:r>
      <m:oMath xmlns:mml="http://www.w3.org/1998/Math/MathML">
        <m:r>
          <m:t>N</m:t>
        </m:r>
      </m:oMath>
      <w:r>
        <w:t>​</w:t>
      </w:r>
      <w:r>
        <w:rPr>
          <w:b w:val="0"/>
          <w:i w:val="0"/>
          <w:u w:val="none"/>
        </w:rPr>
        <w:t xml:space="preserve"> frame terakhir:</w:t>
      </w:r>
    </w:p>
    <w:p>
      <w:pPr>
        <w:pStyle w:val="Equation"/>
        <w:tabs>
          <w:tab w:pos="4680" w:val="center"/>
          <w:tab w:pos="9360"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w:t>
      </w:r>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t>​</w:t>
      </w:r>
      <w:r>
        <w:rPr>
          <w:b w:val="0"/>
          <w:i w:val="0"/>
          <w:u w:val="none"/>
        </w:rPr>
        <w:t xml:space="preserve"> bernilai 1 hanya jika lebih dari fraksi </w:t>
      </w:r>
      <m:oMath xmlns:mml="http://www.w3.org/1998/Math/MathML">
        <m:r>
          <m:t>T</m:t>
        </m:r>
      </m:oMath>
      <w:r>
        <w:t>​</w:t>
      </w:r>
      <w:r>
        <w:rPr>
          <w:b w:val="0"/>
          <w:i w:val="0"/>
          <w:u w:val="none"/>
        </w:rPr>
        <w:t xml:space="preserve"> dari frame terbaru menyetujui bahwa jari terektensi:</w:t>
      </w:r>
    </w:p>
    <w:p>
      <w:pPr>
        <w:pStyle w:val="Equation"/>
        <w:tabs>
          <w:tab w:pos="4680" w:val="center"/>
          <w:tab w:pos="9360"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w:t>
      </w:r>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t>​</w:t>
      </w:r>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t>​</w:t>
      </w:r>
      <w:r>
        <w:rPr>
          <w:b w:val="0"/>
          <w:i w:val="0"/>
          <w:u w:val="none"/>
        </w:rPr>
        <w:t xml:space="preserve"> kemudian diantrikan untuk penulisan Modbus FC15.</w:t>
      </w:r>
    </w:p>
    <w:p>
      <w:pPr>
        <w:pStyle w:val="Heading2"/>
      </w:pPr>
      <w:r>
        <w:t>D. 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TABLE I.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256"/>
        <w:gridCol w:w="2256"/>
        <w:gridCol w:w="2256"/>
        <w:gridCol w:w="2256"/>
      </w:tblGrid>
      <w:tr>
        <w:tc>
          <w:tcPr>
            <w:tcW w:type="dxa" w:w="2256"/>
          </w:tcPr>
          <w:p>
            <w:pPr>
              <w:pStyle w:val="TableColHead"/>
              <w:jc w:val="center"/>
            </w:pPr>
            <w:r>
              <w:rPr>
                <w:b/>
              </w:rPr>
            </w:r>
            <w:r>
              <w:rPr>
                <w:b/>
                <w:i w:val="0"/>
                <w:u w:val="none"/>
              </w:rPr>
              <w:t>Gestur</w:t>
            </w:r>
          </w:p>
        </w:tc>
        <w:tc>
          <w:tcPr>
            <w:tcW w:type="dxa" w:w="2256"/>
          </w:tcPr>
          <w:p>
            <w:pPr>
              <w:pStyle w:val="TableColHead"/>
              <w:jc w:val="center"/>
            </w:pPr>
            <w:r>
              <w:rPr>
                <w:b/>
              </w:rPr>
            </w:r>
            <w:r>
              <w:rPr>
                <w:b/>
                <w:i w:val="0"/>
                <w:u w:val="none"/>
              </w:rPr>
              <w:t>Jumlah Jari</w:t>
            </w:r>
          </w:p>
        </w:tc>
        <w:tc>
          <w:tcPr>
            <w:tcW w:type="dxa" w:w="2256"/>
          </w:tcPr>
          <w:p>
            <w:pPr>
              <w:pStyle w:val="TableColHead"/>
              <w:jc w:val="center"/>
            </w:pPr>
            <w:r>
              <w:rPr>
                <w:b/>
              </w:rPr>
            </w:r>
            <w:r>
              <w:rPr>
                <w:b/>
                <w:i w:val="0"/>
                <w:u w:val="none"/>
              </w:rPr>
              <w:t>State Coil Modbus</w:t>
            </w:r>
          </w:p>
        </w:tc>
        <w:tc>
          <w:tcPr>
            <w:tcW w:type="dxa" w:w="2256"/>
          </w:tcPr>
          <w:p>
            <w:pPr>
              <w:pStyle w:val="TableColHead"/>
              <w:jc w:val="center"/>
            </w:pPr>
            <w:r>
              <w:rPr>
                <w:b/>
              </w:rPr>
            </w:r>
            <w:r>
              <w:rPr>
                <w:b/>
                <w:i w:val="0"/>
                <w:u w:val="none"/>
              </w:rPr>
              <w:t>Output PLC</w:t>
            </w:r>
          </w:p>
        </w:tc>
      </w:tr>
      <w:tr>
        <w:tc>
          <w:tcPr>
            <w:tcW w:type="dxa" w:w="2256"/>
          </w:tcPr>
          <w:p>
            <w:pPr>
              <w:pStyle w:val="TableText"/>
              <w:jc w:val="center"/>
            </w:pPr>
            <w:r/>
            <w:r>
              <w:rPr>
                <w:b w:val="0"/>
                <w:i w:val="0"/>
                <w:u w:val="none"/>
              </w:rPr>
              <w:t>Kepalan Tangan</w:t>
            </w:r>
          </w:p>
        </w:tc>
        <w:tc>
          <w:tcPr>
            <w:tcW w:type="dxa" w:w="2256"/>
          </w:tcPr>
          <w:p>
            <w:pPr>
              <w:pStyle w:val="TableText"/>
              <w:jc w:val="center"/>
            </w:pPr>
            <w:r/>
            <w:r>
              <w:rPr>
                <w:b w:val="0"/>
                <w:i w:val="0"/>
                <w:u w:val="none"/>
              </w:rPr>
              <w:t>0</w:t>
            </w:r>
          </w:p>
        </w:tc>
        <w:tc>
          <w:tcPr>
            <w:tcW w:type="dxa" w:w="2256"/>
          </w:tcPr>
          <w:p>
            <w:pPr>
              <w:pStyle w:val="TableText"/>
              <w:jc w:val="center"/>
            </w:pPr>
            <w:r/>
            <w:r>
              <w:rPr>
                <w:b w:val="0"/>
                <w:i w:val="0"/>
                <w:u w:val="none"/>
              </w:rPr>
              <w:t>M200=0, M201=0, M202=0, M203=0</w:t>
            </w:r>
          </w:p>
        </w:tc>
        <w:tc>
          <w:tcPr>
            <w:tcW w:type="dxa" w:w="2256"/>
          </w:tcPr>
          <w:p>
            <w:pPr>
              <w:pStyle w:val="TableText"/>
              <w:jc w:val="center"/>
            </w:pPr>
            <w:r/>
            <w:r>
              <w:rPr>
                <w:b w:val="0"/>
                <w:i w:val="0"/>
                <w:u w:val="none"/>
              </w:rPr>
              <w:t>Q0-Q3=OFF</w:t>
            </w:r>
          </w:p>
        </w:tc>
      </w:tr>
      <w:tr>
        <w:tc>
          <w:tcPr>
            <w:tcW w:type="dxa" w:w="2256"/>
          </w:tcPr>
          <w:p>
            <w:pPr>
              <w:pStyle w:val="TableText"/>
              <w:jc w:val="center"/>
            </w:pPr>
            <w:r/>
            <w:r>
              <w:rPr>
                <w:b w:val="0"/>
                <w:i w:val="0"/>
                <w:u w:val="none"/>
              </w:rPr>
              <w:t>1 Jari (Telunjuk)</w:t>
            </w:r>
          </w:p>
        </w:tc>
        <w:tc>
          <w:tcPr>
            <w:tcW w:type="dxa" w:w="2256"/>
          </w:tcPr>
          <w:p>
            <w:pPr>
              <w:pStyle w:val="TableText"/>
              <w:jc w:val="center"/>
            </w:pPr>
            <w:r/>
            <w:r>
              <w:rPr>
                <w:b w:val="0"/>
                <w:i w:val="0"/>
                <w:u w:val="none"/>
              </w:rPr>
              <w:t>1</w:t>
            </w:r>
          </w:p>
        </w:tc>
        <w:tc>
          <w:tcPr>
            <w:tcW w:type="dxa" w:w="2256"/>
          </w:tcPr>
          <w:p>
            <w:pPr>
              <w:pStyle w:val="TableText"/>
              <w:jc w:val="center"/>
            </w:pPr>
            <w:r/>
            <w:r>
              <w:rPr>
                <w:b w:val="0"/>
                <w:i w:val="0"/>
                <w:u w:val="none"/>
              </w:rPr>
              <w:t>M200=1, M201=0, M202=0, M203=0</w:t>
            </w:r>
          </w:p>
        </w:tc>
        <w:tc>
          <w:tcPr>
            <w:tcW w:type="dxa" w:w="2256"/>
          </w:tcPr>
          <w:p>
            <w:pPr>
              <w:pStyle w:val="TableText"/>
              <w:jc w:val="center"/>
            </w:pPr>
            <w:r/>
            <w:r>
              <w:rPr>
                <w:b w:val="0"/>
                <w:i w:val="0"/>
                <w:u w:val="none"/>
              </w:rPr>
              <w:t>Q0=ON</w:t>
            </w:r>
          </w:p>
        </w:tc>
      </w:tr>
      <w:tr>
        <w:tc>
          <w:tcPr>
            <w:tcW w:type="dxa" w:w="2256"/>
          </w:tcPr>
          <w:p>
            <w:pPr>
              <w:pStyle w:val="TableText"/>
              <w:jc w:val="center"/>
            </w:pPr>
            <w:r/>
            <w:r>
              <w:rPr>
                <w:b w:val="0"/>
                <w:i w:val="0"/>
                <w:u w:val="none"/>
              </w:rPr>
              <w:t>2 Jari (Peace)</w:t>
            </w:r>
          </w:p>
        </w:tc>
        <w:tc>
          <w:tcPr>
            <w:tcW w:type="dxa" w:w="2256"/>
          </w:tcPr>
          <w:p>
            <w:pPr>
              <w:pStyle w:val="TableText"/>
              <w:jc w:val="center"/>
            </w:pPr>
            <w:r/>
            <w:r>
              <w:rPr>
                <w:b w:val="0"/>
                <w:i w:val="0"/>
                <w:u w:val="none"/>
              </w:rPr>
              <w:t>2</w:t>
            </w:r>
          </w:p>
        </w:tc>
        <w:tc>
          <w:tcPr>
            <w:tcW w:type="dxa" w:w="2256"/>
          </w:tcPr>
          <w:p>
            <w:pPr>
              <w:pStyle w:val="TableText"/>
              <w:jc w:val="center"/>
            </w:pPr>
            <w:r/>
            <w:r>
              <w:rPr>
                <w:b w:val="0"/>
                <w:i w:val="0"/>
                <w:u w:val="none"/>
              </w:rPr>
              <w:t>M200=1, M201=1, M202=0, M203=0</w:t>
            </w:r>
          </w:p>
        </w:tc>
        <w:tc>
          <w:tcPr>
            <w:tcW w:type="dxa" w:w="2256"/>
          </w:tcPr>
          <w:p>
            <w:pPr>
              <w:pStyle w:val="TableText"/>
              <w:jc w:val="center"/>
            </w:pPr>
            <w:r/>
            <w:r>
              <w:rPr>
                <w:b w:val="0"/>
                <w:i w:val="0"/>
                <w:u w:val="none"/>
              </w:rPr>
              <w:t>Q0-Q1=ON</w:t>
            </w:r>
          </w:p>
        </w:tc>
      </w:tr>
      <w:tr>
        <w:tc>
          <w:tcPr>
            <w:tcW w:type="dxa" w:w="2256"/>
          </w:tcPr>
          <w:p>
            <w:pPr>
              <w:pStyle w:val="TableText"/>
              <w:jc w:val="center"/>
            </w:pPr>
            <w:r/>
            <w:r>
              <w:rPr>
                <w:b w:val="0"/>
                <w:i w:val="0"/>
                <w:u w:val="none"/>
              </w:rPr>
              <w:t>3 Jari</w:t>
            </w:r>
          </w:p>
        </w:tc>
        <w:tc>
          <w:tcPr>
            <w:tcW w:type="dxa" w:w="2256"/>
          </w:tcPr>
          <w:p>
            <w:pPr>
              <w:pStyle w:val="TableText"/>
              <w:jc w:val="center"/>
            </w:pPr>
            <w:r/>
            <w:r>
              <w:rPr>
                <w:b w:val="0"/>
                <w:i w:val="0"/>
                <w:u w:val="none"/>
              </w:rPr>
              <w:t>3</w:t>
            </w:r>
          </w:p>
        </w:tc>
        <w:tc>
          <w:tcPr>
            <w:tcW w:type="dxa" w:w="2256"/>
          </w:tcPr>
          <w:p>
            <w:pPr>
              <w:pStyle w:val="TableText"/>
              <w:jc w:val="center"/>
            </w:pPr>
            <w:r/>
            <w:r>
              <w:rPr>
                <w:b w:val="0"/>
                <w:i w:val="0"/>
                <w:u w:val="none"/>
              </w:rPr>
              <w:t>M200=1, M201=1, M202=1, M203=0</w:t>
            </w:r>
          </w:p>
        </w:tc>
        <w:tc>
          <w:tcPr>
            <w:tcW w:type="dxa" w:w="2256"/>
          </w:tcPr>
          <w:p>
            <w:pPr>
              <w:pStyle w:val="TableText"/>
              <w:jc w:val="center"/>
            </w:pPr>
            <w:r/>
            <w:r>
              <w:rPr>
                <w:b w:val="0"/>
                <w:i w:val="0"/>
                <w:u w:val="none"/>
              </w:rPr>
              <w:t>Q0-Q2=ON</w:t>
            </w:r>
          </w:p>
        </w:tc>
      </w:tr>
      <w:tr>
        <w:tc>
          <w:tcPr>
            <w:tcW w:type="dxa" w:w="2256"/>
          </w:tcPr>
          <w:p>
            <w:pPr>
              <w:pStyle w:val="TableText"/>
              <w:jc w:val="center"/>
            </w:pPr>
            <w:r/>
            <w:r>
              <w:rPr>
                <w:b w:val="0"/>
                <w:i w:val="0"/>
                <w:u w:val="none"/>
              </w:rPr>
              <w:t>4 Jari</w:t>
            </w:r>
          </w:p>
        </w:tc>
        <w:tc>
          <w:tcPr>
            <w:tcW w:type="dxa" w:w="2256"/>
          </w:tcPr>
          <w:p>
            <w:pPr>
              <w:pStyle w:val="TableText"/>
              <w:jc w:val="center"/>
            </w:pPr>
            <w:r/>
            <w:r>
              <w:rPr>
                <w:b w:val="0"/>
                <w:i w:val="0"/>
                <w:u w:val="none"/>
              </w:rPr>
              <w:t>4</w:t>
            </w:r>
          </w:p>
        </w:tc>
        <w:tc>
          <w:tcPr>
            <w:tcW w:type="dxa" w:w="2256"/>
          </w:tcPr>
          <w:p>
            <w:pPr>
              <w:pStyle w:val="TableText"/>
              <w:jc w:val="center"/>
            </w:pPr>
            <w:r/>
            <w:r>
              <w:rPr>
                <w:b w:val="0"/>
                <w:i w:val="0"/>
                <w:u w:val="none"/>
              </w:rPr>
              <w:t>M200=1, M201=1, M202=1, M203=1</w:t>
            </w:r>
          </w:p>
        </w:tc>
        <w:tc>
          <w:tcPr>
            <w:tcW w:type="dxa" w:w="2256"/>
          </w:tcPr>
          <w:p>
            <w:pPr>
              <w:pStyle w:val="TableText"/>
              <w:jc w:val="center"/>
            </w:pPr>
            <w:r/>
            <w:r>
              <w:rPr>
                <w:b w:val="0"/>
                <w:i w:val="0"/>
                <w:u w:val="none"/>
              </w:rPr>
              <w:t>Q0-Q3=ON</w:t>
            </w:r>
          </w:p>
        </w:tc>
      </w:tr>
      <w:tr>
        <w:tc>
          <w:tcPr>
            <w:tcW w:type="dxa" w:w="2256"/>
          </w:tcPr>
          <w:p>
            <w:pPr>
              <w:pStyle w:val="TableText"/>
              <w:jc w:val="center"/>
            </w:pPr>
            <w:r/>
            <w:r>
              <w:rPr>
                <w:b w:val="0"/>
                <w:i w:val="0"/>
                <w:u w:val="none"/>
              </w:rPr>
              <w:t>5 Jari (Telapak)</w:t>
            </w:r>
          </w:p>
        </w:tc>
        <w:tc>
          <w:tcPr>
            <w:tcW w:type="dxa" w:w="2256"/>
          </w:tcPr>
          <w:p>
            <w:pPr>
              <w:pStyle w:val="TableText"/>
              <w:jc w:val="center"/>
            </w:pPr>
            <w:r/>
            <w:r>
              <w:rPr>
                <w:b w:val="0"/>
                <w:i w:val="0"/>
                <w:u w:val="none"/>
              </w:rPr>
              <w:t>5</w:t>
            </w:r>
          </w:p>
        </w:tc>
        <w:tc>
          <w:tcPr>
            <w:tcW w:type="dxa" w:w="2256"/>
          </w:tcPr>
          <w:p>
            <w:pPr>
              <w:pStyle w:val="TableText"/>
              <w:jc w:val="center"/>
            </w:pPr>
            <w:r/>
            <w:r>
              <w:rPr>
                <w:b w:val="0"/>
                <w:i w:val="0"/>
                <w:u w:val="none"/>
              </w:rPr>
              <w:t>M200=1, M201=1, M202=1, M203=1</w:t>
            </w:r>
          </w:p>
        </w:tc>
        <w:tc>
          <w:tcPr>
            <w:tcW w:type="dxa" w:w="2256"/>
          </w:tcPr>
          <w:p>
            <w:pPr>
              <w:pStyle w:val="TableText"/>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BodyText"/>
      </w:pPr>
      <w:r>
        <w:rPr>
          <w:b w:val="0"/>
          <w:i w:val="0"/>
          <w:u w:val="none"/>
        </w:rPr>
        <w:t>Rig pengujian terlihat pada Gbr. 8. Webcam pada tripod menghadap tangan operator, kabel Cat-5e langsung ke panel PLC.</w:t>
      </w:r>
    </w:p>
    <w:p>
      <w:pPr>
        <w:pStyle w:val="Heading1"/>
      </w:pPr>
      <w:r>
        <w:t>IV. HASIL EKSPERIMEN</w:t>
      </w:r>
    </w:p>
    <w:p>
      <w:pPr>
        <w:pStyle w:val="Heading2"/>
      </w:pPr>
      <w:r>
        <w:t>A. 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TABLE II.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504"/>
        <w:gridCol w:w="1504"/>
        <w:gridCol w:w="1504"/>
        <w:gridCol w:w="1504"/>
        <w:gridCol w:w="1504"/>
        <w:gridCol w:w="1504"/>
      </w:tblGrid>
      <w:tr>
        <w:tc>
          <w:tcPr>
            <w:tcW w:type="dxa" w:w="1504"/>
          </w:tcPr>
          <w:p>
            <w:pPr>
              <w:pStyle w:val="TableColHead"/>
              <w:jc w:val="center"/>
            </w:pPr>
            <w:r>
              <w:rPr>
                <w:b/>
              </w:rPr>
            </w:r>
            <w:r>
              <w:rPr>
                <w:b/>
                <w:i w:val="0"/>
                <w:u w:val="none"/>
              </w:rPr>
              <w:t>Gestur</w:t>
            </w:r>
          </w:p>
        </w:tc>
        <w:tc>
          <w:tcPr>
            <w:tcW w:type="dxa" w:w="1504"/>
          </w:tcPr>
          <w:p>
            <w:pPr>
              <w:pStyle w:val="TableColHead"/>
              <w:jc w:val="center"/>
            </w:pPr>
            <w:r>
              <w:rPr>
                <w:b/>
              </w:rPr>
            </w:r>
            <w:r>
              <w:rPr>
                <w:b/>
                <w:i w:val="0"/>
                <w:u w:val="none"/>
              </w:rPr>
              <w:t>Sampel</w:t>
            </w:r>
          </w:p>
        </w:tc>
        <w:tc>
          <w:tcPr>
            <w:tcW w:type="dxa" w:w="1504"/>
          </w:tcPr>
          <w:p>
            <w:pPr>
              <w:pStyle w:val="TableColHead"/>
              <w:jc w:val="center"/>
            </w:pPr>
            <w:r>
              <w:rPr>
                <w:b/>
              </w:rPr>
            </w:r>
            <w:r>
              <w:rPr>
                <w:b/>
                <w:i w:val="0"/>
                <w:u w:val="none"/>
              </w:rPr>
              <w:t>Benar</w:t>
            </w:r>
          </w:p>
        </w:tc>
        <w:tc>
          <w:tcPr>
            <w:tcW w:type="dxa" w:w="1504"/>
          </w:tcPr>
          <w:p>
            <w:pPr>
              <w:pStyle w:val="TableColHead"/>
              <w:jc w:val="center"/>
            </w:pPr>
            <w:r>
              <w:rPr>
                <w:b/>
              </w:rPr>
            </w:r>
            <w:r>
              <w:rPr>
                <w:b/>
                <w:i w:val="0"/>
                <w:u w:val="none"/>
              </w:rPr>
              <w:t>Presisi (%)</w:t>
            </w:r>
          </w:p>
        </w:tc>
        <w:tc>
          <w:tcPr>
            <w:tcW w:type="dxa" w:w="1504"/>
          </w:tcPr>
          <w:p>
            <w:pPr>
              <w:pStyle w:val="TableColHead"/>
              <w:jc w:val="center"/>
            </w:pPr>
            <w:r>
              <w:rPr>
                <w:b/>
              </w:rPr>
            </w:r>
            <w:r>
              <w:rPr>
                <w:b/>
                <w:i w:val="0"/>
                <w:u w:val="none"/>
              </w:rPr>
              <w:t>Recall (%)</w:t>
            </w:r>
          </w:p>
        </w:tc>
        <w:tc>
          <w:tcPr>
            <w:tcW w:type="dxa" w:w="1504"/>
          </w:tcPr>
          <w:p>
            <w:pPr>
              <w:pStyle w:val="TableColHead"/>
              <w:jc w:val="center"/>
            </w:pPr>
            <w:r>
              <w:rPr>
                <w:b/>
              </w:rPr>
            </w:r>
            <w:r>
              <w:rPr>
                <w:b/>
                <w:i w:val="0"/>
                <w:u w:val="none"/>
              </w:rPr>
              <w:t>Skor F1 (%)</w:t>
            </w:r>
          </w:p>
        </w:tc>
      </w:tr>
      <w:tr>
        <w:tc>
          <w:tcPr>
            <w:tcW w:type="dxa" w:w="1504"/>
          </w:tcPr>
          <w:p>
            <w:pPr>
              <w:pStyle w:val="TableText"/>
              <w:jc w:val="center"/>
            </w:pPr>
            <w:r/>
            <w:r>
              <w:rPr>
                <w:b w:val="0"/>
                <w:i w:val="0"/>
                <w:u w:val="none"/>
              </w:rPr>
              <w:t>0 jari (Kepalan)</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97</w:t>
            </w:r>
          </w:p>
        </w:tc>
        <w:tc>
          <w:tcPr>
            <w:tcW w:type="dxa" w:w="1504"/>
          </w:tcPr>
          <w:p>
            <w:pPr>
              <w:pStyle w:val="TableText"/>
              <w:jc w:val="center"/>
            </w:pPr>
            <w:r/>
            <w:r>
              <w:rPr>
                <w:b w:val="0"/>
                <w:i w:val="0"/>
                <w:u w:val="none"/>
              </w:rPr>
              <w:t>98,0</w:t>
            </w:r>
          </w:p>
        </w:tc>
        <w:tc>
          <w:tcPr>
            <w:tcW w:type="dxa" w:w="1504"/>
          </w:tcPr>
          <w:p>
            <w:pPr>
              <w:pStyle w:val="TableText"/>
              <w:jc w:val="center"/>
            </w:pPr>
            <w:r/>
            <w:r>
              <w:rPr>
                <w:b w:val="0"/>
                <w:i w:val="0"/>
                <w:u w:val="none"/>
              </w:rPr>
              <w:t>97,0</w:t>
            </w:r>
          </w:p>
        </w:tc>
        <w:tc>
          <w:tcPr>
            <w:tcW w:type="dxa" w:w="1504"/>
          </w:tcPr>
          <w:p>
            <w:pPr>
              <w:pStyle w:val="TableText"/>
              <w:jc w:val="center"/>
            </w:pPr>
            <w:r/>
            <w:r>
              <w:rPr>
                <w:b w:val="0"/>
                <w:i w:val="0"/>
                <w:u w:val="none"/>
              </w:rPr>
              <w:t>97,5</w:t>
            </w:r>
          </w:p>
        </w:tc>
      </w:tr>
      <w:tr>
        <w:tc>
          <w:tcPr>
            <w:tcW w:type="dxa" w:w="1504"/>
          </w:tcPr>
          <w:p>
            <w:pPr>
              <w:pStyle w:val="TableText"/>
              <w:jc w:val="center"/>
            </w:pPr>
            <w:r/>
            <w:r>
              <w:rPr>
                <w:b w:val="0"/>
                <w:i w:val="0"/>
                <w:u w:val="none"/>
              </w:rPr>
              <w:t>1 jari (Telunjuk)</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95</w:t>
            </w:r>
          </w:p>
        </w:tc>
        <w:tc>
          <w:tcPr>
            <w:tcW w:type="dxa" w:w="1504"/>
          </w:tcPr>
          <w:p>
            <w:pPr>
              <w:pStyle w:val="TableText"/>
              <w:jc w:val="center"/>
            </w:pPr>
            <w:r/>
            <w:r>
              <w:rPr>
                <w:b w:val="0"/>
                <w:i w:val="0"/>
                <w:u w:val="none"/>
              </w:rPr>
              <w:t>96,9</w:t>
            </w:r>
          </w:p>
        </w:tc>
        <w:tc>
          <w:tcPr>
            <w:tcW w:type="dxa" w:w="1504"/>
          </w:tcPr>
          <w:p>
            <w:pPr>
              <w:pStyle w:val="TableText"/>
              <w:jc w:val="center"/>
            </w:pPr>
            <w:r/>
            <w:r>
              <w:rPr>
                <w:b w:val="0"/>
                <w:i w:val="0"/>
                <w:u w:val="none"/>
              </w:rPr>
              <w:t>95,0</w:t>
            </w:r>
          </w:p>
        </w:tc>
        <w:tc>
          <w:tcPr>
            <w:tcW w:type="dxa" w:w="1504"/>
          </w:tcPr>
          <w:p>
            <w:pPr>
              <w:pStyle w:val="TableText"/>
              <w:jc w:val="center"/>
            </w:pPr>
            <w:r/>
            <w:r>
              <w:rPr>
                <w:b w:val="0"/>
                <w:i w:val="0"/>
                <w:u w:val="none"/>
              </w:rPr>
              <w:t>95,9</w:t>
            </w:r>
          </w:p>
        </w:tc>
      </w:tr>
      <w:tr>
        <w:tc>
          <w:tcPr>
            <w:tcW w:type="dxa" w:w="1504"/>
          </w:tcPr>
          <w:p>
            <w:pPr>
              <w:pStyle w:val="TableText"/>
              <w:jc w:val="center"/>
            </w:pPr>
            <w:r/>
            <w:r>
              <w:rPr>
                <w:b w:val="0"/>
                <w:i w:val="0"/>
                <w:u w:val="none"/>
              </w:rPr>
              <w:t>2 jari (Peace)</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94</w:t>
            </w:r>
          </w:p>
        </w:tc>
        <w:tc>
          <w:tcPr>
            <w:tcW w:type="dxa" w:w="1504"/>
          </w:tcPr>
          <w:p>
            <w:pPr>
              <w:pStyle w:val="TableText"/>
              <w:jc w:val="center"/>
            </w:pPr>
            <w:r/>
            <w:r>
              <w:rPr>
                <w:b w:val="0"/>
                <w:i w:val="0"/>
                <w:u w:val="none"/>
              </w:rPr>
              <w:t>95,9</w:t>
            </w:r>
          </w:p>
        </w:tc>
        <w:tc>
          <w:tcPr>
            <w:tcW w:type="dxa" w:w="1504"/>
          </w:tcPr>
          <w:p>
            <w:pPr>
              <w:pStyle w:val="TableText"/>
              <w:jc w:val="center"/>
            </w:pPr>
            <w:r/>
            <w:r>
              <w:rPr>
                <w:b w:val="0"/>
                <w:i w:val="0"/>
                <w:u w:val="none"/>
              </w:rPr>
              <w:t>94,0</w:t>
            </w:r>
          </w:p>
        </w:tc>
        <w:tc>
          <w:tcPr>
            <w:tcW w:type="dxa" w:w="1504"/>
          </w:tcPr>
          <w:p>
            <w:pPr>
              <w:pStyle w:val="TableText"/>
              <w:jc w:val="center"/>
            </w:pPr>
            <w:r/>
            <w:r>
              <w:rPr>
                <w:b w:val="0"/>
                <w:i w:val="0"/>
                <w:u w:val="none"/>
              </w:rPr>
              <w:t>94,9</w:t>
            </w:r>
          </w:p>
        </w:tc>
      </w:tr>
      <w:tr>
        <w:tc>
          <w:tcPr>
            <w:tcW w:type="dxa" w:w="1504"/>
          </w:tcPr>
          <w:p>
            <w:pPr>
              <w:pStyle w:val="TableText"/>
              <w:jc w:val="center"/>
            </w:pPr>
            <w:r/>
            <w:r>
              <w:rPr>
                <w:b w:val="0"/>
                <w:i w:val="0"/>
                <w:u w:val="none"/>
              </w:rPr>
              <w:t>3 jari</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93</w:t>
            </w:r>
          </w:p>
        </w:tc>
        <w:tc>
          <w:tcPr>
            <w:tcW w:type="dxa" w:w="1504"/>
          </w:tcPr>
          <w:p>
            <w:pPr>
              <w:pStyle w:val="TableText"/>
              <w:jc w:val="center"/>
            </w:pPr>
            <w:r/>
            <w:r>
              <w:rPr>
                <w:b w:val="0"/>
                <w:i w:val="0"/>
                <w:u w:val="none"/>
              </w:rPr>
              <w:t>94,9</w:t>
            </w:r>
          </w:p>
        </w:tc>
        <w:tc>
          <w:tcPr>
            <w:tcW w:type="dxa" w:w="1504"/>
          </w:tcPr>
          <w:p>
            <w:pPr>
              <w:pStyle w:val="TableText"/>
              <w:jc w:val="center"/>
            </w:pPr>
            <w:r/>
            <w:r>
              <w:rPr>
                <w:b w:val="0"/>
                <w:i w:val="0"/>
                <w:u w:val="none"/>
              </w:rPr>
              <w:t>93,0</w:t>
            </w:r>
          </w:p>
        </w:tc>
        <w:tc>
          <w:tcPr>
            <w:tcW w:type="dxa" w:w="1504"/>
          </w:tcPr>
          <w:p>
            <w:pPr>
              <w:pStyle w:val="TableText"/>
              <w:jc w:val="center"/>
            </w:pPr>
            <w:r/>
            <w:r>
              <w:rPr>
                <w:b w:val="0"/>
                <w:i w:val="0"/>
                <w:u w:val="none"/>
              </w:rPr>
              <w:t>93,9</w:t>
            </w:r>
          </w:p>
        </w:tc>
      </w:tr>
      <w:tr>
        <w:tc>
          <w:tcPr>
            <w:tcW w:type="dxa" w:w="1504"/>
          </w:tcPr>
          <w:p>
            <w:pPr>
              <w:pStyle w:val="TableText"/>
              <w:jc w:val="center"/>
            </w:pPr>
            <w:r/>
            <w:r>
              <w:rPr>
                <w:b w:val="0"/>
                <w:i w:val="0"/>
                <w:u w:val="none"/>
              </w:rPr>
              <w:t>4 jari</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92</w:t>
            </w:r>
          </w:p>
        </w:tc>
        <w:tc>
          <w:tcPr>
            <w:tcW w:type="dxa" w:w="1504"/>
          </w:tcPr>
          <w:p>
            <w:pPr>
              <w:pStyle w:val="TableText"/>
              <w:jc w:val="center"/>
            </w:pPr>
            <w:r/>
            <w:r>
              <w:rPr>
                <w:b w:val="0"/>
                <w:i w:val="0"/>
                <w:u w:val="none"/>
              </w:rPr>
              <w:t>93,9</w:t>
            </w:r>
          </w:p>
        </w:tc>
        <w:tc>
          <w:tcPr>
            <w:tcW w:type="dxa" w:w="1504"/>
          </w:tcPr>
          <w:p>
            <w:pPr>
              <w:pStyle w:val="TableText"/>
              <w:jc w:val="center"/>
            </w:pPr>
            <w:r/>
            <w:r>
              <w:rPr>
                <w:b w:val="0"/>
                <w:i w:val="0"/>
                <w:u w:val="none"/>
              </w:rPr>
              <w:t>92,0</w:t>
            </w:r>
          </w:p>
        </w:tc>
        <w:tc>
          <w:tcPr>
            <w:tcW w:type="dxa" w:w="1504"/>
          </w:tcPr>
          <w:p>
            <w:pPr>
              <w:pStyle w:val="TableText"/>
              <w:jc w:val="center"/>
            </w:pPr>
            <w:r/>
            <w:r>
              <w:rPr>
                <w:b w:val="0"/>
                <w:i w:val="0"/>
                <w:u w:val="none"/>
              </w:rPr>
              <w:t>92,9</w:t>
            </w:r>
          </w:p>
        </w:tc>
      </w:tr>
      <w:tr>
        <w:tc>
          <w:tcPr>
            <w:tcW w:type="dxa" w:w="1504"/>
          </w:tcPr>
          <w:p>
            <w:pPr>
              <w:pStyle w:val="TableText"/>
              <w:jc w:val="center"/>
            </w:pPr>
            <w:r/>
            <w:r>
              <w:rPr>
                <w:b w:val="0"/>
                <w:i w:val="0"/>
                <w:u w:val="none"/>
              </w:rPr>
              <w:t>5 jari (Telapak Terbuka)</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98</w:t>
            </w:r>
          </w:p>
        </w:tc>
        <w:tc>
          <w:tcPr>
            <w:tcW w:type="dxa" w:w="1504"/>
          </w:tcPr>
          <w:p>
            <w:pPr>
              <w:pStyle w:val="TableText"/>
              <w:jc w:val="center"/>
            </w:pPr>
            <w:r/>
            <w:r>
              <w:rPr>
                <w:b w:val="0"/>
                <w:i w:val="0"/>
                <w:u w:val="none"/>
              </w:rPr>
              <w:t>97,0</w:t>
            </w:r>
          </w:p>
        </w:tc>
        <w:tc>
          <w:tcPr>
            <w:tcW w:type="dxa" w:w="1504"/>
          </w:tcPr>
          <w:p>
            <w:pPr>
              <w:pStyle w:val="TableText"/>
              <w:jc w:val="center"/>
            </w:pPr>
            <w:r/>
            <w:r>
              <w:rPr>
                <w:b w:val="0"/>
                <w:i w:val="0"/>
                <w:u w:val="none"/>
              </w:rPr>
              <w:t>98,0</w:t>
            </w:r>
          </w:p>
        </w:tc>
        <w:tc>
          <w:tcPr>
            <w:tcW w:type="dxa" w:w="1504"/>
          </w:tcPr>
          <w:p>
            <w:pPr>
              <w:pStyle w:val="TableText"/>
              <w:jc w:val="center"/>
            </w:pPr>
            <w:r/>
            <w:r>
              <w:rPr>
                <w:b w:val="0"/>
                <w:i w:val="0"/>
                <w:u w:val="none"/>
              </w:rPr>
              <w:t>97,5</w:t>
            </w:r>
          </w:p>
        </w:tc>
      </w:tr>
      <w:tr>
        <w:tc>
          <w:tcPr>
            <w:tcW w:type="dxa" w:w="1504"/>
          </w:tcPr>
          <w:p>
            <w:pPr>
              <w:pStyle w:val="TableText"/>
              <w:jc w:val="center"/>
            </w:pPr>
            <w:r/>
            <w:r>
              <w:rPr>
                <w:b/>
                <w:i w:val="0"/>
                <w:u w:val="none"/>
              </w:rPr>
              <w:t>Rata-rata Keseluruhan (Makro)</w:t>
            </w:r>
          </w:p>
        </w:tc>
        <w:tc>
          <w:tcPr>
            <w:tcW w:type="dxa" w:w="1504"/>
          </w:tcPr>
          <w:p>
            <w:pPr>
              <w:pStyle w:val="TableText"/>
              <w:jc w:val="center"/>
            </w:pPr>
            <w:r/>
            <w:r>
              <w:rPr>
                <w:b w:val="0"/>
                <w:i w:val="0"/>
                <w:u w:val="none"/>
              </w:rPr>
              <w:t>600</w:t>
            </w:r>
          </w:p>
        </w:tc>
        <w:tc>
          <w:tcPr>
            <w:tcW w:type="dxa" w:w="1504"/>
          </w:tcPr>
          <w:p>
            <w:pPr>
              <w:pStyle w:val="TableText"/>
              <w:jc w:val="center"/>
            </w:pPr>
            <w:r/>
            <w:r>
              <w:rPr>
                <w:b w:val="0"/>
                <w:i w:val="0"/>
                <w:u w:val="none"/>
              </w:rPr>
              <w:t>569</w:t>
            </w:r>
          </w:p>
        </w:tc>
        <w:tc>
          <w:tcPr>
            <w:tcW w:type="dxa" w:w="1504"/>
          </w:tcPr>
          <w:p>
            <w:pPr>
              <w:pStyle w:val="TableText"/>
              <w:jc w:val="center"/>
            </w:pPr>
            <w:r/>
            <w:r>
              <w:rPr>
                <w:b/>
                <w:i w:val="0"/>
                <w:u w:val="none"/>
              </w:rPr>
              <w:t>96,1</w:t>
            </w:r>
          </w:p>
        </w:tc>
        <w:tc>
          <w:tcPr>
            <w:tcW w:type="dxa" w:w="1504"/>
          </w:tcPr>
          <w:p>
            <w:pPr>
              <w:pStyle w:val="TableText"/>
              <w:jc w:val="center"/>
            </w:pPr>
            <w:r/>
            <w:r>
              <w:rPr>
                <w:b/>
                <w:i w:val="0"/>
                <w:u w:val="none"/>
              </w:rPr>
              <w:t>94,8</w:t>
            </w:r>
          </w:p>
        </w:tc>
        <w:tc>
          <w:tcPr>
            <w:tcW w:type="dxa" w:w="1504"/>
          </w:tcPr>
          <w:p>
            <w:pPr>
              <w:pStyle w:val="TableText"/>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TABLE III.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289"/>
        <w:gridCol w:w="1289"/>
        <w:gridCol w:w="1289"/>
        <w:gridCol w:w="1289"/>
        <w:gridCol w:w="1289"/>
        <w:gridCol w:w="1289"/>
        <w:gridCol w:w="1289"/>
      </w:tblGrid>
      <w:tr>
        <w:tc>
          <w:tcPr>
            <w:tcW w:type="dxa" w:w="1289"/>
          </w:tcPr>
          <w:p>
            <w:pPr>
              <w:pStyle w:val="TableColHead"/>
              <w:jc w:val="center"/>
            </w:pPr>
            <w:r>
              <w:rPr>
                <w:b/>
              </w:rPr>
            </w:r>
            <w:r>
              <w:rPr>
                <w:b/>
                <w:i w:val="0"/>
                <w:u w:val="none"/>
              </w:rPr>
              <w:t>Aktual \ Prediksi</w:t>
            </w:r>
          </w:p>
        </w:tc>
        <w:tc>
          <w:tcPr>
            <w:tcW w:type="dxa" w:w="1289"/>
          </w:tcPr>
          <w:p>
            <w:pPr>
              <w:pStyle w:val="TableColHead"/>
              <w:jc w:val="center"/>
            </w:pPr>
            <w:r>
              <w:rPr>
                <w:b/>
              </w:rPr>
            </w:r>
            <w:r>
              <w:rPr>
                <w:b/>
                <w:i w:val="0"/>
                <w:u w:val="none"/>
              </w:rPr>
              <w:t>0 (Kepalan)</w:t>
            </w:r>
          </w:p>
        </w:tc>
        <w:tc>
          <w:tcPr>
            <w:tcW w:type="dxa" w:w="1289"/>
          </w:tcPr>
          <w:p>
            <w:pPr>
              <w:pStyle w:val="TableColHead"/>
              <w:jc w:val="center"/>
            </w:pPr>
            <w:r>
              <w:rPr>
                <w:b/>
              </w:rPr>
            </w:r>
            <w:r>
              <w:rPr>
                <w:b/>
                <w:i w:val="0"/>
                <w:u w:val="none"/>
              </w:rPr>
              <w:t>1 (Telunjuk)</w:t>
            </w:r>
          </w:p>
        </w:tc>
        <w:tc>
          <w:tcPr>
            <w:tcW w:type="dxa" w:w="1289"/>
          </w:tcPr>
          <w:p>
            <w:pPr>
              <w:pStyle w:val="TableColHead"/>
              <w:jc w:val="center"/>
            </w:pPr>
            <w:r>
              <w:rPr>
                <w:b/>
              </w:rPr>
            </w:r>
            <w:r>
              <w:rPr>
                <w:b/>
                <w:i w:val="0"/>
                <w:u w:val="none"/>
              </w:rPr>
              <w:t>2 (Peace)</w:t>
            </w:r>
          </w:p>
        </w:tc>
        <w:tc>
          <w:tcPr>
            <w:tcW w:type="dxa" w:w="1289"/>
          </w:tcPr>
          <w:p>
            <w:pPr>
              <w:pStyle w:val="TableColHead"/>
              <w:jc w:val="center"/>
            </w:pPr>
            <w:r>
              <w:rPr>
                <w:b/>
              </w:rPr>
            </w:r>
            <w:r>
              <w:rPr>
                <w:b/>
                <w:i w:val="0"/>
                <w:u w:val="none"/>
              </w:rPr>
              <w:t>3</w:t>
            </w:r>
          </w:p>
        </w:tc>
        <w:tc>
          <w:tcPr>
            <w:tcW w:type="dxa" w:w="1289"/>
          </w:tcPr>
          <w:p>
            <w:pPr>
              <w:pStyle w:val="TableColHead"/>
              <w:jc w:val="center"/>
            </w:pPr>
            <w:r>
              <w:rPr>
                <w:b/>
              </w:rPr>
            </w:r>
            <w:r>
              <w:rPr>
                <w:b/>
                <w:i w:val="0"/>
                <w:u w:val="none"/>
              </w:rPr>
              <w:t>4</w:t>
            </w:r>
          </w:p>
        </w:tc>
        <w:tc>
          <w:tcPr>
            <w:tcW w:type="dxa" w:w="1289"/>
          </w:tcPr>
          <w:p>
            <w:pPr>
              <w:pStyle w:val="TableColHead"/>
              <w:jc w:val="center"/>
            </w:pPr>
            <w:r>
              <w:rPr>
                <w:b/>
              </w:rPr>
            </w:r>
            <w:r>
              <w:rPr>
                <w:b/>
                <w:i w:val="0"/>
                <w:u w:val="none"/>
              </w:rPr>
              <w:t>5 (Telapak)</w:t>
            </w:r>
          </w:p>
        </w:tc>
      </w:tr>
      <w:tr>
        <w:tc>
          <w:tcPr>
            <w:tcW w:type="dxa" w:w="1289"/>
          </w:tcPr>
          <w:p>
            <w:pPr>
              <w:pStyle w:val="TableText"/>
              <w:jc w:val="center"/>
            </w:pPr>
            <w:r/>
            <w:r>
              <w:rPr>
                <w:b w:val="0"/>
                <w:i w:val="0"/>
                <w:u w:val="none"/>
              </w:rPr>
              <w:t>0 (Kepalan)</w:t>
            </w:r>
          </w:p>
        </w:tc>
        <w:tc>
          <w:tcPr>
            <w:tcW w:type="dxa" w:w="1289"/>
          </w:tcPr>
          <w:p>
            <w:pPr>
              <w:pStyle w:val="TableText"/>
              <w:jc w:val="center"/>
            </w:pPr>
            <w:r/>
            <w:r>
              <w:rPr>
                <w:b w:val="0"/>
                <w:i w:val="0"/>
                <w:u w:val="none"/>
              </w:rPr>
              <w:t>97</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3</w:t>
            </w:r>
          </w:p>
        </w:tc>
      </w:tr>
      <w:tr>
        <w:tc>
          <w:tcPr>
            <w:tcW w:type="dxa" w:w="1289"/>
          </w:tcPr>
          <w:p>
            <w:pPr>
              <w:pStyle w:val="TableText"/>
              <w:jc w:val="center"/>
            </w:pPr>
            <w:r/>
            <w:r>
              <w:rPr>
                <w:b w:val="0"/>
                <w:i w:val="0"/>
                <w:u w:val="none"/>
              </w:rPr>
              <w:t>1 (Telunjuk)</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95</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3</w:t>
            </w:r>
          </w:p>
        </w:tc>
      </w:tr>
      <w:tr>
        <w:tc>
          <w:tcPr>
            <w:tcW w:type="dxa" w:w="1289"/>
          </w:tcPr>
          <w:p>
            <w:pPr>
              <w:pStyle w:val="TableText"/>
              <w:jc w:val="center"/>
            </w:pPr>
            <w:r/>
            <w:r>
              <w:rPr>
                <w:b w:val="0"/>
                <w:i w:val="0"/>
                <w:u w:val="none"/>
              </w:rPr>
              <w:t>2 (Peace)</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1</w:t>
            </w:r>
          </w:p>
        </w:tc>
        <w:tc>
          <w:tcPr>
            <w:tcW w:type="dxa" w:w="1289"/>
          </w:tcPr>
          <w:p>
            <w:pPr>
              <w:pStyle w:val="TableText"/>
              <w:jc w:val="center"/>
            </w:pPr>
            <w:r/>
            <w:r>
              <w:rPr>
                <w:b w:val="0"/>
                <w:i w:val="0"/>
                <w:u w:val="none"/>
              </w:rPr>
              <w:t>94</w:t>
            </w:r>
          </w:p>
        </w:tc>
        <w:tc>
          <w:tcPr>
            <w:tcW w:type="dxa" w:w="1289"/>
          </w:tcPr>
          <w:p>
            <w:pPr>
              <w:pStyle w:val="TableText"/>
              <w:jc w:val="center"/>
            </w:pPr>
            <w:r/>
            <w:r>
              <w:rPr>
                <w:b w:val="0"/>
                <w:i w:val="0"/>
                <w:u w:val="none"/>
              </w:rPr>
              <w:t>5</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r>
      <w:tr>
        <w:tc>
          <w:tcPr>
            <w:tcW w:type="dxa" w:w="1289"/>
          </w:tcPr>
          <w:p>
            <w:pPr>
              <w:pStyle w:val="TableText"/>
              <w:jc w:val="center"/>
            </w:pPr>
            <w:r/>
            <w:r>
              <w:rPr>
                <w:b w:val="0"/>
                <w:i w:val="0"/>
                <w:u w:val="none"/>
              </w:rPr>
              <w:t>3</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4</w:t>
            </w:r>
          </w:p>
        </w:tc>
        <w:tc>
          <w:tcPr>
            <w:tcW w:type="dxa" w:w="1289"/>
          </w:tcPr>
          <w:p>
            <w:pPr>
              <w:pStyle w:val="TableText"/>
              <w:jc w:val="center"/>
            </w:pPr>
            <w:r/>
            <w:r>
              <w:rPr>
                <w:b w:val="0"/>
                <w:i w:val="0"/>
                <w:u w:val="none"/>
              </w:rPr>
              <w:t>93</w:t>
            </w:r>
          </w:p>
        </w:tc>
        <w:tc>
          <w:tcPr>
            <w:tcW w:type="dxa" w:w="1289"/>
          </w:tcPr>
          <w:p>
            <w:pPr>
              <w:pStyle w:val="TableText"/>
              <w:jc w:val="center"/>
            </w:pPr>
            <w:r/>
            <w:r>
              <w:rPr>
                <w:b w:val="0"/>
                <w:i w:val="0"/>
                <w:u w:val="none"/>
              </w:rPr>
              <w:t>3</w:t>
            </w:r>
          </w:p>
        </w:tc>
        <w:tc>
          <w:tcPr>
            <w:tcW w:type="dxa" w:w="1289"/>
          </w:tcPr>
          <w:p>
            <w:pPr>
              <w:pStyle w:val="TableText"/>
              <w:jc w:val="center"/>
            </w:pPr>
            <w:r/>
            <w:r>
              <w:rPr>
                <w:b w:val="0"/>
                <w:i w:val="0"/>
                <w:u w:val="none"/>
              </w:rPr>
              <w:t>0</w:t>
            </w:r>
          </w:p>
        </w:tc>
      </w:tr>
      <w:tr>
        <w:tc>
          <w:tcPr>
            <w:tcW w:type="dxa" w:w="1289"/>
          </w:tcPr>
          <w:p>
            <w:pPr>
              <w:pStyle w:val="TableText"/>
              <w:jc w:val="center"/>
            </w:pPr>
            <w:r/>
            <w:r>
              <w:rPr>
                <w:b w:val="0"/>
                <w:i w:val="0"/>
                <w:u w:val="none"/>
              </w:rPr>
              <w:t>4</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92</w:t>
            </w:r>
          </w:p>
        </w:tc>
        <w:tc>
          <w:tcPr>
            <w:tcW w:type="dxa" w:w="1289"/>
          </w:tcPr>
          <w:p>
            <w:pPr>
              <w:pStyle w:val="TableText"/>
              <w:jc w:val="center"/>
            </w:pPr>
            <w:r/>
            <w:r>
              <w:rPr>
                <w:b w:val="0"/>
                <w:i w:val="0"/>
                <w:u w:val="none"/>
              </w:rPr>
              <w:t>6</w:t>
            </w:r>
          </w:p>
        </w:tc>
      </w:tr>
      <w:tr>
        <w:tc>
          <w:tcPr>
            <w:tcW w:type="dxa" w:w="1289"/>
          </w:tcPr>
          <w:p>
            <w:pPr>
              <w:pStyle w:val="TableText"/>
              <w:jc w:val="center"/>
            </w:pPr>
            <w:r/>
            <w:r>
              <w:rPr>
                <w:b w:val="0"/>
                <w:i w:val="0"/>
                <w:u w:val="none"/>
              </w:rPr>
              <w:t>5 (Telapak)</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
        <w:tabs>
          <w:tab w:pos="4680" w:val="center"/>
          <w:tab w:pos="9360"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w:t>
      </w:r>
      <w:r>
        <w:tab/>
        <w:t>(13)</w:t>
      </w:r>
    </w:p>
    <w:p>
      <w:pPr>
        <w:pStyle w:val="BodyText"/>
      </w:pPr>
      <w:r>
        <w:rPr>
          <w:b w:val="0"/>
          <w:i w:val="0"/>
          <w:u w:val="none"/>
        </w:rPr>
        <w:t xml:space="preserve">Pada persamaan (13), </w:t>
      </w:r>
      <m:oMath xmlns:mml="http://www.w3.org/1998/Math/MathML">
        <m:r>
          <m:t>T</m:t>
        </m:r>
        <m:sSub>
          <m:e>
            <m:r>
              <m:t>P</m:t>
            </m:r>
          </m:e>
          <m:sub>
            <m:r>
              <m:t>k</m:t>
            </m:r>
          </m:sub>
        </m:sSub>
      </m:oMath>
      <w:r>
        <w:t>​</w:t>
      </w:r>
      <w:r>
        <w:rPr>
          <w:b w:val="0"/>
          <w:i w:val="0"/>
          <w:u w:val="none"/>
        </w:rPr>
        <w:t xml:space="preserve"> adalah true-positive dan </w:t>
      </w:r>
      <m:oMath xmlns:mml="http://www.w3.org/1998/Math/MathML">
        <m:r>
          <m:t>F</m:t>
        </m:r>
        <m:sSub>
          <m:e>
            <m:r>
              <m:t>N</m:t>
            </m:r>
          </m:e>
          <m:sub>
            <m:r>
              <m:t>k</m:t>
            </m:r>
          </m:sub>
        </m:sSub>
      </m:oMath>
      <w:r>
        <w:t>​</w:t>
      </w:r>
      <w:r>
        <w:rPr>
          <w:b w:val="0"/>
          <w:i w:val="0"/>
          <w:u w:val="none"/>
        </w:rPr>
        <w:t xml:space="preserve"> false-negative untuk kelas </w:t>
      </w:r>
      <m:oMath xmlns:mml="http://www.w3.org/1998/Math/MathML">
        <m:r>
          <m:t>k</m:t>
        </m:r>
      </m:oMath>
      <w:r>
        <w:t>​</w:t>
      </w:r>
      <w:r>
        <w:rPr>
          <w:b w:val="0"/>
          <w:i w:val="0"/>
          <w:u w:val="none"/>
        </w:rPr>
        <w:t>. F1 makro digunakan sebagai metrik utama karena semua kelas terwakili merata. Pada 300 lux, classifier bekerja andal di bawah pencahayaan indoor standar.</w:t>
      </w:r>
    </w:p>
    <w:p>
      <w:pPr>
        <w:pStyle w:val="Heading2"/>
      </w:pPr>
      <w:r>
        <w:t>B. 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TABLE IV.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128"/>
        <w:gridCol w:w="1128"/>
        <w:gridCol w:w="1128"/>
        <w:gridCol w:w="1128"/>
        <w:gridCol w:w="1128"/>
        <w:gridCol w:w="1128"/>
        <w:gridCol w:w="1128"/>
        <w:gridCol w:w="1128"/>
      </w:tblGrid>
      <w:tr>
        <w:tc>
          <w:tcPr>
            <w:tcW w:type="dxa" w:w="1128"/>
          </w:tcPr>
          <w:p>
            <w:pPr>
              <w:pStyle w:val="TableColHead"/>
              <w:jc w:val="center"/>
            </w:pPr>
            <w:r>
              <w:rPr>
                <w:b/>
              </w:rPr>
            </w:r>
            <w:r>
              <w:rPr>
                <w:b/>
                <w:i w:val="0"/>
                <w:u w:val="none"/>
              </w:rPr>
              <w:t>Beban CPU (%)</w:t>
            </w:r>
          </w:p>
        </w:tc>
        <w:tc>
          <w:tcPr>
            <w:tcW w:type="dxa" w:w="1128"/>
          </w:tcPr>
          <w:p>
            <w:pPr>
              <w:pStyle w:val="TableColHead"/>
              <w:jc w:val="center"/>
            </w:pPr>
            <w:r>
              <w:rPr>
                <w:b/>
              </w:rPr>
            </w:r>
            <w:r>
              <w:rPr>
                <w:b/>
                <w:i w:val="0"/>
                <w:u w:val="none"/>
              </w:rPr>
              <w:t>Min (ms)</w:t>
            </w:r>
          </w:p>
        </w:tc>
        <w:tc>
          <w:tcPr>
            <w:tcW w:type="dxa" w:w="1128"/>
          </w:tcPr>
          <w:p>
            <w:pPr>
              <w:pStyle w:val="TableColHead"/>
              <w:jc w:val="center"/>
            </w:pPr>
            <w:r>
              <w:rPr>
                <w:b/>
              </w:rPr>
            </w:r>
            <w:r>
              <w:rPr>
                <w:b/>
                <w:i w:val="0"/>
                <w:u w:val="none"/>
              </w:rPr>
              <w:t>Median (ms)</w:t>
            </w:r>
          </w:p>
        </w:tc>
        <w:tc>
          <w:tcPr>
            <w:tcW w:type="dxa" w:w="1128"/>
          </w:tcPr>
          <w:p>
            <w:pPr>
              <w:pStyle w:val="TableColHead"/>
              <w:jc w:val="center"/>
            </w:pPr>
            <w:r>
              <w:rPr>
                <w:b/>
              </w:rPr>
            </w:r>
            <w:r>
              <w:rPr>
                <w:b/>
                <w:i w:val="0"/>
                <w:u w:val="none"/>
              </w:rPr>
              <w:t>Mean (ms)</w:t>
            </w:r>
          </w:p>
        </w:tc>
        <w:tc>
          <w:tcPr>
            <w:tcW w:type="dxa" w:w="1128"/>
          </w:tcPr>
          <w:p>
            <w:pPr>
              <w:pStyle w:val="TableColHead"/>
              <w:jc w:val="center"/>
            </w:pPr>
            <w:r>
              <w:rPr>
                <w:b/>
              </w:rPr>
            </w:r>
            <w:r>
              <w:rPr>
                <w:b/>
                <w:i w:val="0"/>
                <w:u w:val="none"/>
              </w:rPr>
              <w:t>P95 (ms)</w:t>
            </w:r>
          </w:p>
        </w:tc>
        <w:tc>
          <w:tcPr>
            <w:tcW w:type="dxa" w:w="1128"/>
          </w:tcPr>
          <w:p>
            <w:pPr>
              <w:pStyle w:val="TableColHead"/>
              <w:jc w:val="center"/>
            </w:pPr>
            <w:r>
              <w:rPr>
                <w:b/>
              </w:rPr>
            </w:r>
            <w:r>
              <w:rPr>
                <w:b/>
                <w:i w:val="0"/>
                <w:u w:val="none"/>
              </w:rPr>
              <w:t>P99 (ms)</w:t>
            </w:r>
          </w:p>
        </w:tc>
        <w:tc>
          <w:tcPr>
            <w:tcW w:type="dxa" w:w="1128"/>
          </w:tcPr>
          <w:p>
            <w:pPr>
              <w:pStyle w:val="TableColHead"/>
              <w:jc w:val="center"/>
            </w:pPr>
            <w:r>
              <w:rPr>
                <w:b/>
              </w:rPr>
            </w:r>
            <w:r>
              <w:rPr>
                <w:b/>
                <w:i w:val="0"/>
                <w:u w:val="none"/>
              </w:rPr>
              <w:t>Maks (ms)</w:t>
            </w:r>
          </w:p>
        </w:tc>
        <w:tc>
          <w:tcPr>
            <w:tcW w:type="dxa" w:w="1128"/>
          </w:tcPr>
          <w:p>
            <w:pPr>
              <w:pStyle w:val="TableColHead"/>
              <w:jc w:val="center"/>
            </w:pPr>
            <w:r>
              <w:rPr>
                <w:b/>
              </w:rPr>
            </w:r>
            <w:r>
              <w:rPr>
                <w:b/>
                <w:i w:val="0"/>
                <w:u w:val="none"/>
              </w:rPr>
              <w:t>Std Dev (ms)</w:t>
            </w:r>
          </w:p>
        </w:tc>
      </w:tr>
      <w:tr>
        <w:tc>
          <w:tcPr>
            <w:tcW w:type="dxa" w:w="1128"/>
          </w:tcPr>
          <w:p>
            <w:pPr>
              <w:pStyle w:val="TableText"/>
              <w:jc w:val="center"/>
            </w:pPr>
            <w:r/>
            <w:r>
              <w:rPr>
                <w:b w:val="0"/>
                <w:i w:val="0"/>
                <w:u w:val="none"/>
              </w:rPr>
              <w:t>Idle (0-10%)</w:t>
            </w:r>
          </w:p>
        </w:tc>
        <w:tc>
          <w:tcPr>
            <w:tcW w:type="dxa" w:w="1128"/>
          </w:tcPr>
          <w:p>
            <w:pPr>
              <w:pStyle w:val="TableText"/>
              <w:jc w:val="center"/>
            </w:pPr>
            <w:r/>
            <w:r>
              <w:rPr>
                <w:b w:val="0"/>
                <w:i w:val="0"/>
                <w:u w:val="none"/>
              </w:rPr>
              <w:t>1,2</w:t>
            </w:r>
          </w:p>
        </w:tc>
        <w:tc>
          <w:tcPr>
            <w:tcW w:type="dxa" w:w="1128"/>
          </w:tcPr>
          <w:p>
            <w:pPr>
              <w:pStyle w:val="TableText"/>
              <w:jc w:val="center"/>
            </w:pPr>
            <w:r/>
            <w:r>
              <w:rPr>
                <w:b w:val="0"/>
                <w:i w:val="0"/>
                <w:u w:val="none"/>
              </w:rPr>
              <w:t>8,4</w:t>
            </w:r>
          </w:p>
        </w:tc>
        <w:tc>
          <w:tcPr>
            <w:tcW w:type="dxa" w:w="1128"/>
          </w:tcPr>
          <w:p>
            <w:pPr>
              <w:pStyle w:val="TableText"/>
              <w:jc w:val="center"/>
            </w:pPr>
            <w:r/>
            <w:r>
              <w:rPr>
                <w:b w:val="0"/>
                <w:i w:val="0"/>
                <w:u w:val="none"/>
              </w:rPr>
              <w:t>9,1</w:t>
            </w:r>
          </w:p>
        </w:tc>
        <w:tc>
          <w:tcPr>
            <w:tcW w:type="dxa" w:w="1128"/>
          </w:tcPr>
          <w:p>
            <w:pPr>
              <w:pStyle w:val="TableText"/>
              <w:jc w:val="center"/>
            </w:pPr>
            <w:r/>
            <w:r>
              <w:rPr>
                <w:b w:val="0"/>
                <w:i w:val="0"/>
                <w:u w:val="none"/>
              </w:rPr>
              <w:t>18,7</w:t>
            </w:r>
          </w:p>
        </w:tc>
        <w:tc>
          <w:tcPr>
            <w:tcW w:type="dxa" w:w="1128"/>
          </w:tcPr>
          <w:p>
            <w:pPr>
              <w:pStyle w:val="TableText"/>
              <w:jc w:val="center"/>
            </w:pPr>
            <w:r/>
            <w:r>
              <w:rPr>
                <w:b w:val="0"/>
                <w:i w:val="0"/>
                <w:u w:val="none"/>
              </w:rPr>
              <w:t>27,3</w:t>
            </w:r>
          </w:p>
        </w:tc>
        <w:tc>
          <w:tcPr>
            <w:tcW w:type="dxa" w:w="1128"/>
          </w:tcPr>
          <w:p>
            <w:pPr>
              <w:pStyle w:val="TableText"/>
              <w:jc w:val="center"/>
            </w:pPr>
            <w:r/>
            <w:r>
              <w:rPr>
                <w:b w:val="0"/>
                <w:i w:val="0"/>
                <w:u w:val="none"/>
              </w:rPr>
              <w:t>42,1</w:t>
            </w:r>
          </w:p>
        </w:tc>
        <w:tc>
          <w:tcPr>
            <w:tcW w:type="dxa" w:w="1128"/>
          </w:tcPr>
          <w:p>
            <w:pPr>
              <w:pStyle w:val="TableText"/>
              <w:jc w:val="center"/>
            </w:pPr>
            <w:r/>
            <w:r>
              <w:rPr>
                <w:b w:val="0"/>
                <w:i w:val="0"/>
                <w:u w:val="none"/>
              </w:rPr>
              <w:t>5,8</w:t>
            </w:r>
          </w:p>
        </w:tc>
      </w:tr>
      <w:tr>
        <w:tc>
          <w:tcPr>
            <w:tcW w:type="dxa" w:w="1128"/>
          </w:tcPr>
          <w:p>
            <w:pPr>
              <w:pStyle w:val="TableText"/>
              <w:jc w:val="center"/>
            </w:pPr>
            <w:r/>
            <w:r>
              <w:rPr>
                <w:b w:val="0"/>
                <w:i w:val="0"/>
                <w:u w:val="none"/>
              </w:rPr>
              <w:t>Moderat (45-55%)</w:t>
            </w:r>
          </w:p>
        </w:tc>
        <w:tc>
          <w:tcPr>
            <w:tcW w:type="dxa" w:w="1128"/>
          </w:tcPr>
          <w:p>
            <w:pPr>
              <w:pStyle w:val="TableText"/>
              <w:jc w:val="center"/>
            </w:pPr>
            <w:r/>
            <w:r>
              <w:rPr>
                <w:b w:val="0"/>
                <w:i w:val="0"/>
                <w:u w:val="none"/>
              </w:rPr>
              <w:t>1,8</w:t>
            </w:r>
          </w:p>
        </w:tc>
        <w:tc>
          <w:tcPr>
            <w:tcW w:type="dxa" w:w="1128"/>
          </w:tcPr>
          <w:p>
            <w:pPr>
              <w:pStyle w:val="TableText"/>
              <w:jc w:val="center"/>
            </w:pPr>
            <w:r/>
            <w:r>
              <w:rPr>
                <w:b w:val="0"/>
                <w:i w:val="0"/>
                <w:u w:val="none"/>
              </w:rPr>
              <w:t>10,2</w:t>
            </w:r>
          </w:p>
        </w:tc>
        <w:tc>
          <w:tcPr>
            <w:tcW w:type="dxa" w:w="1128"/>
          </w:tcPr>
          <w:p>
            <w:pPr>
              <w:pStyle w:val="TableText"/>
              <w:jc w:val="center"/>
            </w:pPr>
            <w:r/>
            <w:r>
              <w:rPr>
                <w:b w:val="0"/>
                <w:i w:val="0"/>
                <w:u w:val="none"/>
              </w:rPr>
              <w:t>12,3</w:t>
            </w:r>
          </w:p>
        </w:tc>
        <w:tc>
          <w:tcPr>
            <w:tcW w:type="dxa" w:w="1128"/>
          </w:tcPr>
          <w:p>
            <w:pPr>
              <w:pStyle w:val="TableText"/>
              <w:jc w:val="center"/>
            </w:pPr>
            <w:r/>
            <w:r>
              <w:rPr>
                <w:b w:val="0"/>
                <w:i w:val="0"/>
                <w:u w:val="none"/>
              </w:rPr>
              <w:t>24,9</w:t>
            </w:r>
          </w:p>
        </w:tc>
        <w:tc>
          <w:tcPr>
            <w:tcW w:type="dxa" w:w="1128"/>
          </w:tcPr>
          <w:p>
            <w:pPr>
              <w:pStyle w:val="TableText"/>
              <w:jc w:val="center"/>
            </w:pPr>
            <w:r/>
            <w:r>
              <w:rPr>
                <w:b w:val="0"/>
                <w:i w:val="0"/>
                <w:u w:val="none"/>
              </w:rPr>
              <w:t>38,6</w:t>
            </w:r>
          </w:p>
        </w:tc>
        <w:tc>
          <w:tcPr>
            <w:tcW w:type="dxa" w:w="1128"/>
          </w:tcPr>
          <w:p>
            <w:pPr>
              <w:pStyle w:val="TableText"/>
              <w:jc w:val="center"/>
            </w:pPr>
            <w:r/>
            <w:r>
              <w:rPr>
                <w:b w:val="0"/>
                <w:i w:val="0"/>
                <w:u w:val="none"/>
              </w:rPr>
              <w:t>67,4</w:t>
            </w:r>
          </w:p>
        </w:tc>
        <w:tc>
          <w:tcPr>
            <w:tcW w:type="dxa" w:w="1128"/>
          </w:tcPr>
          <w:p>
            <w:pPr>
              <w:pStyle w:val="TableText"/>
              <w:jc w:val="center"/>
            </w:pPr>
            <w:r/>
            <w:r>
              <w:rPr>
                <w:b w:val="0"/>
                <w:i w:val="0"/>
                <w:u w:val="none"/>
              </w:rPr>
              <w:t>8,4</w:t>
            </w:r>
          </w:p>
        </w:tc>
      </w:tr>
      <w:tr>
        <w:tc>
          <w:tcPr>
            <w:tcW w:type="dxa" w:w="1128"/>
          </w:tcPr>
          <w:p>
            <w:pPr>
              <w:pStyle w:val="TableText"/>
              <w:jc w:val="center"/>
            </w:pPr>
            <w:r/>
            <w:r>
              <w:rPr>
                <w:b w:val="0"/>
                <w:i w:val="0"/>
                <w:u w:val="none"/>
              </w:rPr>
              <w:t>Intensif (75-85%)</w:t>
            </w:r>
          </w:p>
        </w:tc>
        <w:tc>
          <w:tcPr>
            <w:tcW w:type="dxa" w:w="1128"/>
          </w:tcPr>
          <w:p>
            <w:pPr>
              <w:pStyle w:val="TableText"/>
              <w:jc w:val="center"/>
            </w:pPr>
            <w:r/>
            <w:r>
              <w:rPr>
                <w:b w:val="0"/>
                <w:i w:val="0"/>
                <w:u w:val="none"/>
              </w:rPr>
              <w:t>2,1</w:t>
            </w:r>
          </w:p>
        </w:tc>
        <w:tc>
          <w:tcPr>
            <w:tcW w:type="dxa" w:w="1128"/>
          </w:tcPr>
          <w:p>
            <w:pPr>
              <w:pStyle w:val="TableText"/>
              <w:jc w:val="center"/>
            </w:pPr>
            <w:r/>
            <w:r>
              <w:rPr>
                <w:b w:val="0"/>
                <w:i w:val="0"/>
                <w:u w:val="none"/>
              </w:rPr>
              <w:t>14,7</w:t>
            </w:r>
          </w:p>
        </w:tc>
        <w:tc>
          <w:tcPr>
            <w:tcW w:type="dxa" w:w="1128"/>
          </w:tcPr>
          <w:p>
            <w:pPr>
              <w:pStyle w:val="TableText"/>
              <w:jc w:val="center"/>
            </w:pPr>
            <w:r/>
            <w:r>
              <w:rPr>
                <w:b w:val="0"/>
                <w:i w:val="0"/>
                <w:u w:val="none"/>
              </w:rPr>
              <w:t>17,8</w:t>
            </w:r>
          </w:p>
        </w:tc>
        <w:tc>
          <w:tcPr>
            <w:tcW w:type="dxa" w:w="1128"/>
          </w:tcPr>
          <w:p>
            <w:pPr>
              <w:pStyle w:val="TableText"/>
              <w:jc w:val="center"/>
            </w:pPr>
            <w:r/>
            <w:r>
              <w:rPr>
                <w:b w:val="0"/>
                <w:i w:val="0"/>
                <w:u w:val="none"/>
              </w:rPr>
              <w:t>41,2</w:t>
            </w:r>
          </w:p>
        </w:tc>
        <w:tc>
          <w:tcPr>
            <w:tcW w:type="dxa" w:w="1128"/>
          </w:tcPr>
          <w:p>
            <w:pPr>
              <w:pStyle w:val="TableText"/>
              <w:jc w:val="center"/>
            </w:pPr>
            <w:r/>
            <w:r>
              <w:rPr>
                <w:b w:val="0"/>
                <w:i w:val="0"/>
                <w:u w:val="none"/>
              </w:rPr>
              <w:t>78,9</w:t>
            </w:r>
          </w:p>
        </w:tc>
        <w:tc>
          <w:tcPr>
            <w:tcW w:type="dxa" w:w="1128"/>
          </w:tcPr>
          <w:p>
            <w:pPr>
              <w:pStyle w:val="TableText"/>
              <w:jc w:val="center"/>
            </w:pPr>
            <w:r/>
            <w:r>
              <w:rPr>
                <w:b w:val="0"/>
                <w:i w:val="0"/>
                <w:u w:val="none"/>
              </w:rPr>
              <w:t>312,4</w:t>
            </w:r>
          </w:p>
        </w:tc>
        <w:tc>
          <w:tcPr>
            <w:tcW w:type="dxa" w:w="1128"/>
          </w:tcPr>
          <w:p>
            <w:pPr>
              <w:pStyle w:val="TableText"/>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w:t>
      </w:r>
      <w:r>
        <w:rPr>
          <w:b w:val="0"/>
          <w:i w:val="0"/>
          <w:u w:val="none"/>
        </w:rPr>
        <w:t xml:space="preserve"> ms, inferensi MediaPipe </w:t>
      </w:r>
      <m:oMath xmlns:mml="http://www.w3.org/1998/Math/MathML">
        <m:sSub>
          <m:e>
            <m:r>
              <m:t>T</m:t>
            </m:r>
          </m:e>
          <m:sub>
            <m:r>
              <m:rPr>
                <m:sty m:val="p"/>
              </m:rPr>
              <m:t>inf</m:t>
            </m:r>
          </m:sub>
        </m:sSub>
        <m:r>
          <m:t>≈18,4</m:t>
        </m:r>
      </m:oMath>
      <w:r>
        <w:t>​</w:t>
      </w:r>
      <w:r>
        <w:rPr>
          <w:b w:val="0"/>
          <w:i w:val="0"/>
          <w:u w:val="none"/>
        </w:rPr>
        <w:t xml:space="preserve"> ms, jendela debounce </w:t>
      </w:r>
      <m:oMath xmlns:mml="http://www.w3.org/1998/Math/MathML">
        <m:sSub>
          <m:e>
            <m:r>
              <m:t>T</m:t>
            </m:r>
          </m:e>
          <m:sub>
            <m:r>
              <m:rPr>
                <m:sty m:val="p"/>
              </m:rPr>
              <m:t>deb</m:t>
            </m:r>
          </m:sub>
        </m:sSub>
        <m:r>
          <m:t>≈83,3</m:t>
        </m:r>
      </m:oMath>
      <w:r>
        <w:t>​</w:t>
      </w:r>
      <w:r>
        <w:rPr>
          <w:b w:val="0"/>
          <w:i w:val="0"/>
          <w:u w:val="none"/>
        </w:rPr>
        <w:t xml:space="preserve"> ms, round-trip Modbus </w:t>
      </w:r>
      <m:oMath xmlns:mml="http://www.w3.org/1998/Math/MathML">
        <m:sSub>
          <m:e>
            <m:r>
              <m:t>T</m:t>
            </m:r>
          </m:e>
          <m:sub>
            <m:r>
              <m:rPr>
                <m:sty m:val="p"/>
              </m:rPr>
              <m:t>modbus</m:t>
            </m:r>
          </m:sub>
        </m:sSub>
        <m:r>
          <m:t>≈12,3</m:t>
        </m:r>
      </m:oMath>
      <w:r>
        <w:t>​</w:t>
      </w:r>
      <w:r>
        <w:rPr>
          <w:b w:val="0"/>
          <w:i w:val="0"/>
          <w:u w:val="none"/>
        </w:rPr>
        <w:t xml:space="preserve"> ms.</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C. 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TABLE V.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4513"/>
        <w:gridCol w:w="4513"/>
      </w:tblGrid>
      <w:tr>
        <w:tc>
          <w:tcPr>
            <w:tcW w:type="dxa" w:w="4513"/>
          </w:tcPr>
          <w:p>
            <w:pPr>
              <w:pStyle w:val="TableColHead"/>
              <w:jc w:val="center"/>
            </w:pPr>
            <w:r>
              <w:rPr>
                <w:b/>
              </w:rPr>
            </w:r>
            <w:r>
              <w:rPr>
                <w:b/>
                <w:i w:val="0"/>
                <w:u w:val="none"/>
              </w:rPr>
              <w:t>Metrik</w:t>
            </w:r>
          </w:p>
        </w:tc>
        <w:tc>
          <w:tcPr>
            <w:tcW w:type="dxa" w:w="4513"/>
          </w:tcPr>
          <w:p>
            <w:pPr>
              <w:pStyle w:val="TableColHead"/>
              <w:jc w:val="center"/>
            </w:pPr>
            <w:r>
              <w:rPr>
                <w:b/>
              </w:rPr>
            </w:r>
            <w:r>
              <w:rPr>
                <w:b/>
                <w:i w:val="0"/>
                <w:u w:val="none"/>
              </w:rPr>
              <w:t>Hasil</w:t>
            </w:r>
          </w:p>
        </w:tc>
      </w:tr>
      <w:tr>
        <w:tc>
          <w:tcPr>
            <w:tcW w:type="dxa" w:w="4513"/>
          </w:tcPr>
          <w:p>
            <w:pPr>
              <w:pStyle w:val="TableText"/>
              <w:jc w:val="center"/>
            </w:pPr>
            <w:r/>
            <w:r>
              <w:rPr>
                <w:b w:val="0"/>
                <w:i w:val="0"/>
                <w:u w:val="none"/>
              </w:rPr>
              <w:t>Total Transaksi Modbus (FC1 + FC15)</w:t>
            </w:r>
          </w:p>
        </w:tc>
        <w:tc>
          <w:tcPr>
            <w:tcW w:type="dxa" w:w="4513"/>
          </w:tcPr>
          <w:p>
            <w:pPr>
              <w:pStyle w:val="TableText"/>
              <w:jc w:val="center"/>
            </w:pPr>
            <w:r/>
            <w:r>
              <w:rPr>
                <w:b w:val="0"/>
                <w:i w:val="0"/>
                <w:u w:val="none"/>
              </w:rPr>
              <w:t>872.640</w:t>
            </w:r>
          </w:p>
        </w:tc>
      </w:tr>
      <w:tr>
        <w:tc>
          <w:tcPr>
            <w:tcW w:type="dxa" w:w="4513"/>
          </w:tcPr>
          <w:p>
            <w:pPr>
              <w:pStyle w:val="TableText"/>
              <w:jc w:val="center"/>
            </w:pPr>
            <w:r/>
            <w:r>
              <w:rPr>
                <w:b w:val="0"/>
                <w:i w:val="0"/>
                <w:u w:val="none"/>
              </w:rPr>
              <w:t>Transaksi Berhasil</w:t>
            </w:r>
          </w:p>
        </w:tc>
        <w:tc>
          <w:tcPr>
            <w:tcW w:type="dxa" w:w="4513"/>
          </w:tcPr>
          <w:p>
            <w:pPr>
              <w:pStyle w:val="TableText"/>
              <w:jc w:val="center"/>
            </w:pPr>
            <w:r/>
            <w:r>
              <w:rPr>
                <w:b w:val="0"/>
                <w:i w:val="0"/>
                <w:u w:val="none"/>
              </w:rPr>
              <w:t>872.000</w:t>
            </w:r>
          </w:p>
        </w:tc>
      </w:tr>
      <w:tr>
        <w:tc>
          <w:tcPr>
            <w:tcW w:type="dxa" w:w="4513"/>
          </w:tcPr>
          <w:p>
            <w:pPr>
              <w:pStyle w:val="TableText"/>
              <w:jc w:val="center"/>
            </w:pPr>
            <w:r/>
            <w:r>
              <w:rPr>
                <w:b w:val="0"/>
                <w:i w:val="0"/>
                <w:u w:val="none"/>
              </w:rPr>
              <w:t>Tingkat Keberhasilan Tulis FC15</w:t>
            </w:r>
          </w:p>
        </w:tc>
        <w:tc>
          <w:tcPr>
            <w:tcW w:type="dxa" w:w="4513"/>
          </w:tcPr>
          <w:p>
            <w:pPr>
              <w:pStyle w:val="TableText"/>
              <w:jc w:val="center"/>
            </w:pPr>
            <w:r/>
            <w:r>
              <w:rPr>
                <w:b w:val="0"/>
                <w:i w:val="0"/>
                <w:u w:val="none"/>
              </w:rPr>
              <w:t>99,97%</w:t>
            </w:r>
          </w:p>
        </w:tc>
      </w:tr>
      <w:tr>
        <w:tc>
          <w:tcPr>
            <w:tcW w:type="dxa" w:w="4513"/>
          </w:tcPr>
          <w:p>
            <w:pPr>
              <w:pStyle w:val="TableText"/>
              <w:jc w:val="center"/>
            </w:pPr>
            <w:r/>
            <w:r>
              <w:rPr>
                <w:b w:val="0"/>
                <w:i w:val="0"/>
                <w:u w:val="none"/>
              </w:rPr>
              <w:t>Tingkat Keberhasilan Baca FC1</w:t>
            </w:r>
          </w:p>
        </w:tc>
        <w:tc>
          <w:tcPr>
            <w:tcW w:type="dxa" w:w="4513"/>
          </w:tcPr>
          <w:p>
            <w:pPr>
              <w:pStyle w:val="TableText"/>
              <w:jc w:val="center"/>
            </w:pPr>
            <w:r/>
            <w:r>
              <w:rPr>
                <w:b w:val="0"/>
                <w:i w:val="0"/>
                <w:u w:val="none"/>
              </w:rPr>
              <w:t>99,92%</w:t>
            </w:r>
          </w:p>
        </w:tc>
      </w:tr>
      <w:tr>
        <w:tc>
          <w:tcPr>
            <w:tcW w:type="dxa" w:w="4513"/>
          </w:tcPr>
          <w:p>
            <w:pPr>
              <w:pStyle w:val="TableText"/>
              <w:jc w:val="center"/>
            </w:pPr>
            <w:r/>
            <w:r>
              <w:rPr>
                <w:b w:val="0"/>
                <w:i w:val="0"/>
                <w:u w:val="none"/>
              </w:rPr>
              <w:t>MTBF (Mean Time Between Failures)</w:t>
            </w:r>
          </w:p>
        </w:tc>
        <w:tc>
          <w:tcPr>
            <w:tcW w:type="dxa" w:w="4513"/>
          </w:tcPr>
          <w:p>
            <w:pPr>
              <w:pStyle w:val="TableText"/>
              <w:jc w:val="center"/>
            </w:pPr>
            <w:r/>
            <w:r>
              <w:rPr>
                <w:b w:val="0"/>
                <w:i w:val="0"/>
                <w:u w:val="none"/>
              </w:rPr>
              <w:t>8,2 jam</w:t>
            </w:r>
          </w:p>
        </w:tc>
      </w:tr>
      <w:tr>
        <w:tc>
          <w:tcPr>
            <w:tcW w:type="dxa" w:w="4513"/>
          </w:tcPr>
          <w:p>
            <w:pPr>
              <w:pStyle w:val="TableText"/>
              <w:jc w:val="center"/>
            </w:pPr>
            <w:r/>
            <w:r>
              <w:rPr>
                <w:b w:val="0"/>
                <w:i w:val="0"/>
                <w:u w:val="none"/>
              </w:rPr>
              <w:t>Pertumbuhan Memori</w:t>
            </w:r>
          </w:p>
        </w:tc>
        <w:tc>
          <w:tcPr>
            <w:tcW w:type="dxa" w:w="4513"/>
          </w:tcPr>
          <w:p>
            <w:pPr>
              <w:pStyle w:val="TableText"/>
              <w:jc w:val="center"/>
            </w:pPr>
            <w:r/>
            <w:r>
              <w:rPr>
                <w:b w:val="0"/>
                <w:i w:val="0"/>
                <w:u w:val="none"/>
              </w:rPr>
              <w:t>12,4 MB</w:t>
            </w:r>
          </w:p>
        </w:tc>
      </w:tr>
      <w:tr>
        <w:tc>
          <w:tcPr>
            <w:tcW w:type="dxa" w:w="4513"/>
          </w:tcPr>
          <w:p>
            <w:pPr>
              <w:pStyle w:val="TableText"/>
              <w:jc w:val="center"/>
            </w:pPr>
            <w:r/>
            <w:r>
              <w:rPr>
                <w:b w:val="0"/>
                <w:i w:val="0"/>
                <w:u w:val="none"/>
              </w:rPr>
              <w:t>Frame Rate (target 30 fps)</w:t>
            </w:r>
          </w:p>
        </w:tc>
        <w:tc>
          <w:tcPr>
            <w:tcW w:type="dxa" w:w="4513"/>
          </w:tcPr>
          <w:p>
            <w:pPr>
              <w:pStyle w:val="TableText"/>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t>V. 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spacing w:before="360"/>
      </w:pPr>
      <w:r>
        <w:t>References</w:t>
      </w:r>
    </w:p>
    <w:p>
      <w:pPr>
        <w:pStyle w:val="Reference"/>
        <w:ind w:hanging="720" w:left="720"/>
      </w:pPr>
      <w:r>
        <w:rPr>
          <w:b w:val="0"/>
          <w:i w:val="0"/>
          <w:u w:val="none"/>
        </w:rPr>
        <w:t>1. C. Lugaresi et al., "MediaPipe: A Framework for Building Perception Pipelines," preprint arXiv:1906.08172, Jun. 2019.</w:t>
      </w:r>
    </w:p>
    <w:p>
      <w:pPr>
        <w:pStyle w:val="Reference"/>
        <w:ind w:hanging="720" w:left="720"/>
      </w:pPr>
      <w:r>
        <w:rPr>
          <w:b w:val="0"/>
          <w:i w:val="0"/>
          <w:u w:val="none"/>
        </w:rPr>
        <w:t>2. S. Vijayachitra, K. Prabhu, S. Agilan, M. Ahamed Salih, and S. Madhumitha, "Advanced PLC-based Automation for Converging System and Warehousing," in Proc. 5th Int. Conf. Trends Mater. Sci. Invent. Mater. (ICTMIM), 2025, pp. 1–6, doi: 10.1109/ICTMIM65579.2025.10988042.</w:t>
      </w:r>
    </w:p>
    <w:p>
      <w:pPr>
        <w:pStyle w:val="Reference"/>
        <w:ind w:hanging="720" w:left="720"/>
      </w:pPr>
      <w:r>
        <w:rPr>
          <w:b w:val="0"/>
          <w:i w:val="0"/>
          <w:u w:val="none"/>
        </w:rPr>
        <w:t>3. Yashika, A. Patra, and N. S. Das, "Human-Machine Interaction in Industrial Automation: Gesture-Based PLC Control," in Proc. 15th Int. Conf. Comput. Commun. Netw. Technol. (ICCCNT), 2024, pp. 1–7, doi: 10.1109/ICCCNT61001.2024.10726180.</w:t>
      </w:r>
    </w:p>
    <w:p>
      <w:pPr>
        <w:pStyle w:val="Reference"/>
        <w:ind w:hanging="720" w:left="720"/>
      </w:pPr>
      <w:r>
        <w:rPr>
          <w:b w:val="0"/>
          <w:i w:val="0"/>
          <w:u w:val="none"/>
        </w:rPr>
        <w:t>4. Y. Li, J. Zhang, Y. Xiong, H. Wu, and F. Yang, "Design of Industrial Equipment Remote Control System Based on Python," in Proc. 8th Int. Conf. Electron. Technol. (ICET), 2025, pp. 1–6, doi: 10.1109/ICET64964.2025.11103226.</w:t>
      </w:r>
    </w:p>
    <w:p>
      <w:pPr>
        <w:pStyle w:val="Reference"/>
        <w:ind w:hanging="720" w:left="720"/>
      </w:pPr>
      <w:r>
        <w:rPr>
          <w:b w:val="0"/>
          <w:i w:val="0"/>
          <w:u w:val="none"/>
        </w:rPr>
        <w:t>5. M. Jamage, S. Rane, J. Raktate, and N. Chavan, "Real-Time Hand Gesture Recognition Using CNN-LSTM for Gesture-to-Voice and Device Control," in Proc. 9th Int. Conf. Comput. Commun. Control Autom. (ICCUBEA), 2025, pp. 1–7, doi: 10.1109/ICCUBEA65967.2025.11284053.</w:t>
      </w:r>
    </w:p>
    <w:p>
      <w:pPr>
        <w:pStyle w:val="Reference"/>
        <w:ind w:hanging="720" w:left="720"/>
      </w:pPr>
      <w:r>
        <w:rPr>
          <w:b w:val="0"/>
          <w:i w:val="0"/>
          <w:u w:val="none"/>
        </w:rPr>
        <w:t>6. C. Nikolajew and H. Eichelberger, "Industry 4.0 Connectors – A Performance Experiment with Modbus/TCP," preprint arXiv:2410.15813, Oct. 2024.</w:t>
      </w:r>
    </w:p>
    <w:p>
      <w:pPr>
        <w:pStyle w:val="Reference"/>
        <w:ind w:hanging="720" w:left="720"/>
      </w:pPr>
      <w:r>
        <w:rPr>
          <w:b w:val="0"/>
          <w:i w:val="0"/>
          <w:u w:val="none"/>
        </w:rPr>
        <w:t>7. E. Tapia, L. Sastoque-Pinilla, U. Lopez-Novoa, I. Bediaga, and N. López de Lacalle, "Assessing Industrial Communication Protocols to Bridge the Gap between Machine Tools and Software Monitoring," Sensors, vol. 23, no. 12, art. 5694, 2023, doi: 10.3390/s23125694.</w:t>
      </w:r>
    </w:p>
    <w:p>
      <w:pPr>
        <w:pStyle w:val="Reference"/>
        <w:ind w:hanging="720" w:left="720"/>
      </w:pPr>
      <w:r>
        <w:rPr>
          <w:b w:val="0"/>
          <w:i w:val="0"/>
          <w:u w:val="none"/>
        </w:rPr>
        <w:t>8. Y. K. Yep, Y. H. Goh, T. H. Chiew, K. M. Chin, J. J. Ong, and K. S. Eu, "AI-Driven Hand Gesture Recognition for Robotic Arm Control," in Proc. 5th Int. Conf. Artif. Intell. Robot. Commun. (ICAIRC), 2025, pp. 1–5, doi: 10.1109/ICAIRC68035.2025.11384947.</w:t>
      </w:r>
    </w:p>
    <w:p>
      <w:pPr>
        <w:pStyle w:val="Reference"/>
        <w:ind w:hanging="720" w:left="720"/>
      </w:pPr>
      <w:r>
        <w:rPr>
          <w:b w:val="0"/>
          <w:i w:val="0"/>
          <w:u w:val="none"/>
        </w:rPr>
        <w:t>9. Qurrat-ul-Ain, S. N. Talpur, N. U. Z. Laghari, and M. S. Rattar, "Machine Control Using Hand Gesture Recognition," Gyancity J. Electron. Comput. Sci., vol. 5, no. 1, pp. 19–28, Mar. 2020, doi: 10.21058/gjecs.2020.51003.</w:t>
      </w:r>
    </w:p>
    <w:p>
      <w:pPr>
        <w:pStyle w:val="Reference"/>
        <w:ind w:hanging="720" w:left="720"/>
      </w:pPr>
      <w:r>
        <w:rPr>
          <w:b w:val="0"/>
          <w:i w:val="0"/>
          <w:u w:val="none"/>
        </w:rPr>
        <w:t>10. P. Nguyen Huu and T. Phung Ngoc, "Hand Gesture Recognition Algorithm Using SVM and HOG Model for Control of Robotic System," J. Robot., vol. 2021, art. 3986497, 2021, doi: 10.1155/2021/3986497.</w:t>
      </w:r>
    </w:p>
    <w:p>
      <w:pPr>
        <w:pStyle w:val="Reference"/>
        <w:ind w:hanging="720" w:left="720"/>
      </w:pPr>
      <w:r>
        <w:rPr>
          <w:b w:val="0"/>
          <w:i w:val="0"/>
          <w:u w:val="none"/>
        </w:rPr>
        <w:t>11. M. Shaikh, P. Shah, and R. Sekhar, "Communication Protocols in Industry 4.0," in Proc. Int. Conf. Sustain. Emerg. Innov. Eng. Technol. (ICSEIET), 2023, pp. 1–6, doi: 10.1109/ICSEIET58677.2023.10303397.</w:t>
      </w:r>
    </w:p>
    <w:p>
      <w:pPr>
        <w:pStyle w:val="Reference"/>
        <w:ind w:hanging="720" w:left="720"/>
      </w:pPr>
      <w:r>
        <w:rPr>
          <w:b w:val="0"/>
          <w:i w:val="0"/>
          <w:u w:val="none"/>
        </w:rPr>
        <w:t>12. M. Bensaadallah, N. Ghoggali, L. Saidi, and W. Ghoggali, "Deep Learning-Based Real-Time Hand Landmark Recognition with MediaPipe for R12 Robot Control," in Proc. Int. Conf. Elect. Eng. Adv. Technol. (ICEEAT), 2023, pp. 1–6, doi: 10.1109/ICEEAT60471.2023.10426264.</w:t>
      </w:r>
    </w:p>
    <w:p>
      <w:pPr>
        <w:pStyle w:val="Reference"/>
        <w:ind w:hanging="720" w:left="720"/>
      </w:pPr>
      <w:r>
        <w:rPr>
          <w:b w:val="0"/>
          <w:i w:val="0"/>
          <w:u w:val="none"/>
        </w:rPr>
        <w:t>13. M. Peral, A. Sanfeliu, and A. Garrell, "Efficient Hand Gesture Recognition for Human-Robot Interaction," IEEE Robot. Autom. Lett., vol. 7, no. 4, pp. 10272–10279, Oct. 2022, doi: 10.1109/LRA.2022.3193251.</w:t>
      </w:r>
    </w:p>
    <w:p>
      <w:pPr>
        <w:pStyle w:val="Reference"/>
        <w:ind w:hanging="720" w:left="720"/>
      </w:pPr>
      <w:r>
        <w:rPr>
          <w:b w:val="0"/>
          <w:i w:val="0"/>
          <w:u w:val="none"/>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
        <w:ind w:hanging="720" w:left="720"/>
      </w:pPr>
      <w:r>
        <w:rPr>
          <w:b w:val="0"/>
          <w:i w:val="0"/>
          <w:u w:val="none"/>
        </w:rPr>
        <w:t>15. B. Kwolek, "Continuous Hand Gesture Recognition for Human-Robot Collaborative Assembly," in Proc. IEEE/CVF Int. Conf. Comput. Vis. Workshops (ICCVW), 2023, pp. 1992–1999, doi: 10.1109/ICCVW60793.2023.00214.</w:t>
      </w:r>
    </w:p>
    <w:p>
      <w:pPr>
        <w:pStyle w:val="Reference"/>
        <w:ind w:hanging="720" w:left="720"/>
      </w:pPr>
      <w:r>
        <w:rPr>
          <w:b w:val="0"/>
          <w:i w:val="0"/>
          <w:u w:val="none"/>
        </w:rPr>
        <w:t>16. Y. Wang, D. Peng, E. Qi, and H. Wang, "Modbus/TCP Data Acquisition System Based on Industrial Ethernet Technology," in Proc. 4th IEEE Int. Conf. Elect. Eng. Control Technol. (CEECT), 2022, pp. 1–5, doi: 10.1109/CEECT55960.2022.10030131.</w:t>
      </w:r>
    </w:p>
    <w:p>
      <w:pPr>
        <w:pStyle w:val="Reference"/>
        <w:ind w:hanging="720" w:left="720"/>
      </w:pPr>
      <w:r>
        <w:rPr>
          <w:b w:val="0"/>
          <w:i w:val="0"/>
          <w:u w:val="none"/>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
        <w:ind w:hanging="720" w:left="720"/>
      </w:pPr>
      <w:r>
        <w:rPr>
          <w:b w:val="0"/>
          <w:i w:val="0"/>
          <w:u w:val="none"/>
        </w:rPr>
        <w:t>18. C. D. Sawarkar, V. Vaidya, V. Sharma, S. Sheikh, A. Neware, and P. Chaudhari, "AI Based Real Time Hand Gesture Recognition System," Int. Res. J. Modernization Eng. Technol. Sci., vol. 6, no. 1, pp. 1–8, Jan. 2024, doi: 10.56726/IRJMETS48782.</w:t>
      </w:r>
    </w:p>
    <w:p>
      <w:pPr>
        <w:pStyle w:val="Reference"/>
        <w:ind w:hanging="720" w:left="720"/>
      </w:pPr>
      <w:r>
        <w:rPr>
          <w:b w:val="0"/>
          <w:i w:val="0"/>
          <w:u w:val="none"/>
        </w:rPr>
        <w:t>19. R. Tchantchane, H. Zhou, S. Zhang, and G. Alici, "A Review of Hand Gesture Recognition Systems Based on Noninvasive Wearable Sensors," Adv. Intell. Syst., vol. 5, no. 2, art. 2300207, 2023, doi: 10.1002/aisy.202300207.</w:t>
      </w:r>
    </w:p>
    <w:p>
      <w:pPr>
        <w:pStyle w:val="Reference"/>
        <w:ind w:hanging="720" w:left="720"/>
      </w:pPr>
      <w:r>
        <w:rPr>
          <w:b w:val="0"/>
          <w:i w:val="0"/>
          <w:u w:val="none"/>
        </w:rPr>
        <w:t>20. Schneider Electric, "Modicon M221 Logic Controller – Programming Guide," Tech. Rep., ver. 1.7, 2022. [Online]. Available: https://www.schneider-electric.com</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