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tbl>
      <w:tblPr>
        <w:tblStyle w:val="Table1"/>
        <w:tblW w:w="10268.0" w:type="dxa"/>
        <w:jc w:val="center"/>
        <w:tblLayout w:type="fixed"/>
        <w:tblLook w:val="0000"/>
      </w:tblPr>
      <w:tblGrid>
        <w:gridCol w:w="3527"/>
        <w:gridCol w:w="477"/>
        <w:gridCol w:w="3430"/>
        <w:gridCol w:w="814"/>
        <w:gridCol w:w="2020"/>
        <w:tblGridChange w:id="0">
          <w:tblGrid>
            <w:gridCol w:w="3527"/>
            <w:gridCol w:w="477"/>
            <w:gridCol w:w="3430"/>
            <w:gridCol w:w="814"/>
            <w:gridCol w:w="2020"/>
          </w:tblGrid>
        </w:tblGridChange>
      </w:tblGrid>
      <w:tr>
        <w:trPr>
          <w:cantSplit w:val="0"/>
          <w:trHeight w:val="914" w:hRule="atLeast"/>
          <w:tblHeader w:val="0"/>
        </w:trPr>
        <w:tc>
          <w:tcPr>
            <w:shd w:fill="auto" w:val="clear"/>
            <w:vAlign w:val="top"/>
          </w:tcPr>
          <w:p w:rsidR="00000000" w:rsidDel="00000000" w:rsidP="00000000" w:rsidRDefault="00000000" w:rsidRPr="00000000" w14:paraId="00000002">
            <w:pPr>
              <w:rPr>
                <w:rFonts w:ascii="Calibri" w:cs="Calibri" w:eastAsia="Calibri" w:hAnsi="Calibri"/>
                <w:b w:val="0"/>
                <w:bCs w:val="0"/>
                <w:color w:val="c45911"/>
                <w:sz w:val="36"/>
                <w:szCs w:val="36"/>
                <w:vertAlign w:val="baseline"/>
              </w:rPr>
            </w:pPr>
            <w:r w:rsidDel="00000000" w:rsidR="00000000" w:rsidRPr="00000000">
              <w:rPr>
                <w:rFonts w:ascii="Calibri" w:cs="Calibri" w:eastAsia="Calibri" w:hAnsi="Calibri"/>
                <w:b w:val="1"/>
                <w:bCs w:val="1"/>
                <w:color w:val="c45911"/>
                <w:sz w:val="36"/>
                <w:szCs w:val="36"/>
                <w:vertAlign w:val="baseline"/>
                <w:rtl w:val="0"/>
              </w:rPr>
              <w:t xml:space="preserve">ASEAN Engineering</w:t>
            </w:r>
            <w:r w:rsidDel="00000000" w:rsidR="00000000" w:rsidRPr="00000000">
              <w:rPr>
                <w:rtl w:val="0"/>
              </w:rPr>
            </w:r>
          </w:p>
          <w:p w:rsidR="00000000" w:rsidDel="00000000" w:rsidP="00000000" w:rsidRDefault="00000000" w:rsidRPr="00000000" w14:paraId="00000003">
            <w:pPr>
              <w:rPr>
                <w:rFonts w:ascii="Calibri" w:cs="Calibri" w:eastAsia="Calibri" w:hAnsi="Calibri"/>
                <w:b w:val="0"/>
                <w:bCs w:val="0"/>
                <w:color w:val="c45911"/>
                <w:sz w:val="36"/>
                <w:szCs w:val="36"/>
                <w:vertAlign w:val="baseline"/>
              </w:rPr>
            </w:pPr>
            <w:r w:rsidDel="00000000" w:rsidR="00000000" w:rsidRPr="00000000">
              <w:rPr>
                <w:rFonts w:ascii="Calibri" w:cs="Calibri" w:eastAsia="Calibri" w:hAnsi="Calibri"/>
                <w:b w:val="1"/>
                <w:bCs w:val="1"/>
                <w:color w:val="c45911"/>
                <w:sz w:val="36"/>
                <w:szCs w:val="36"/>
                <w:vertAlign w:val="baseline"/>
                <w:rtl w:val="0"/>
              </w:rPr>
              <w:t xml:space="preserve">Journal</w:t>
            </w:r>
            <w:r w:rsidDel="00000000" w:rsidR="00000000" w:rsidRPr="00000000">
              <w:rPr>
                <w:rtl w:val="0"/>
              </w:rPr>
            </w:r>
          </w:p>
        </w:tc>
        <w:tc>
          <w:tcPr>
            <w:gridSpan w:val="3"/>
            <w:shd w:fill="auto" w:val="clear"/>
            <w:vAlign w:val="top"/>
          </w:tcPr>
          <w:p w:rsidR="00000000" w:rsidDel="00000000" w:rsidP="00000000" w:rsidRDefault="00000000" w:rsidRPr="00000000" w14:paraId="00000004">
            <w:pPr>
              <w:jc w:val="left"/>
              <w:rPr>
                <w:rFonts w:ascii="Calibri" w:cs="Calibri" w:eastAsia="Calibri" w:hAnsi="Calibri"/>
                <w:b w:val="0"/>
                <w:bCs w:val="0"/>
                <w:color w:val="c45911"/>
                <w:sz w:val="36"/>
                <w:szCs w:val="36"/>
                <w:vertAlign w:val="baseline"/>
              </w:rPr>
            </w:pPr>
            <w:r w:rsidDel="00000000" w:rsidR="00000000" w:rsidRPr="00000000">
              <w:rPr>
                <w:rtl w:val="0"/>
              </w:rPr>
            </w:r>
          </w:p>
          <w:p w:rsidR="00000000" w:rsidDel="00000000" w:rsidP="00000000" w:rsidRDefault="00000000" w:rsidRPr="00000000" w14:paraId="00000005">
            <w:pPr>
              <w:jc w:val="right"/>
              <w:rPr>
                <w:rFonts w:ascii="Calibri" w:cs="Calibri" w:eastAsia="Calibri" w:hAnsi="Calibri"/>
                <w:b w:val="0"/>
                <w:bCs w:val="0"/>
                <w:color w:val="c45911"/>
                <w:sz w:val="20"/>
                <w:szCs w:val="20"/>
                <w:vertAlign w:val="baseline"/>
              </w:rPr>
            </w:pPr>
            <w:r w:rsidDel="00000000" w:rsidR="00000000" w:rsidRPr="00000000">
              <w:rPr>
                <w:rtl w:val="0"/>
              </w:rPr>
            </w:r>
          </w:p>
        </w:tc>
        <w:tc>
          <w:tcPr>
            <w:shd w:fill="c45911" w:val="clear"/>
            <w:vAlign w:val="center"/>
          </w:tcPr>
          <w:p w:rsidR="00000000" w:rsidDel="00000000" w:rsidP="00000000" w:rsidRDefault="00000000" w:rsidRPr="00000000" w14:paraId="00000008">
            <w:pPr>
              <w:jc w:val="center"/>
              <w:rPr>
                <w:rFonts w:ascii="Calibri" w:cs="Calibri" w:eastAsia="Calibri" w:hAnsi="Calibri"/>
                <w:b w:val="0"/>
                <w:bCs w:val="0"/>
                <w:color w:val="000000"/>
                <w:vertAlign w:val="baseline"/>
              </w:rPr>
            </w:pPr>
            <w:r w:rsidDel="00000000" w:rsidR="00000000" w:rsidRPr="00000000">
              <w:rPr>
                <w:rFonts w:ascii="Calibri" w:cs="Calibri" w:eastAsia="Calibri" w:hAnsi="Calibri"/>
                <w:b w:val="1"/>
                <w:bCs w:val="1"/>
                <w:color w:val="000000"/>
                <w:vertAlign w:val="baseline"/>
                <w:rtl w:val="0"/>
              </w:rPr>
              <w:t xml:space="preserve">Full Paper</w:t>
            </w:r>
            <w:r w:rsidDel="00000000" w:rsidR="00000000" w:rsidRPr="00000000">
              <w:rPr>
                <w:rtl w:val="0"/>
              </w:rPr>
            </w:r>
          </w:p>
        </w:tc>
      </w:tr>
      <w:tr>
        <w:trPr>
          <w:cantSplit w:val="0"/>
          <w:trHeight w:val="131" w:hRule="atLeast"/>
          <w:tblHeader w:val="0"/>
        </w:trPr>
        <w:tc>
          <w:tcPr>
            <w:shd w:fill="c45911" w:val="clear"/>
            <w:vAlign w:val="top"/>
          </w:tcPr>
          <w:p w:rsidR="00000000" w:rsidDel="00000000" w:rsidP="00000000" w:rsidRDefault="00000000" w:rsidRPr="00000000" w14:paraId="00000009">
            <w:pPr>
              <w:jc w:val="left"/>
              <w:rPr>
                <w:rFonts w:ascii="Calibri" w:cs="Calibri" w:eastAsia="Calibri" w:hAnsi="Calibri"/>
                <w:b w:val="0"/>
                <w:bCs w:val="0"/>
                <w:color w:val="943634"/>
                <w:sz w:val="2"/>
                <w:szCs w:val="2"/>
                <w:vertAlign w:val="baseline"/>
              </w:rPr>
            </w:pPr>
            <w:r w:rsidDel="00000000" w:rsidR="00000000" w:rsidRPr="00000000">
              <w:rPr>
                <w:rtl w:val="0"/>
              </w:rPr>
            </w:r>
          </w:p>
        </w:tc>
        <w:tc>
          <w:tcPr>
            <w:gridSpan w:val="3"/>
            <w:shd w:fill="c45911" w:val="clear"/>
            <w:vAlign w:val="top"/>
          </w:tcPr>
          <w:p w:rsidR="00000000" w:rsidDel="00000000" w:rsidP="00000000" w:rsidRDefault="00000000" w:rsidRPr="00000000" w14:paraId="0000000A">
            <w:pPr>
              <w:jc w:val="left"/>
              <w:rPr>
                <w:rFonts w:ascii="Calibri" w:cs="Calibri" w:eastAsia="Calibri" w:hAnsi="Calibri"/>
                <w:b w:val="0"/>
                <w:bCs w:val="0"/>
                <w:color w:val="943634"/>
                <w:sz w:val="2"/>
                <w:szCs w:val="2"/>
                <w:vertAlign w:val="baseline"/>
              </w:rPr>
            </w:pPr>
            <w:r w:rsidDel="00000000" w:rsidR="00000000" w:rsidRPr="00000000">
              <w:rPr>
                <w:rtl w:val="0"/>
              </w:rPr>
            </w:r>
          </w:p>
        </w:tc>
        <w:tc>
          <w:tcPr>
            <w:shd w:fill="c45911" w:val="clear"/>
            <w:vAlign w:val="center"/>
          </w:tcPr>
          <w:p w:rsidR="00000000" w:rsidDel="00000000" w:rsidP="00000000" w:rsidRDefault="00000000" w:rsidRPr="00000000" w14:paraId="0000000D">
            <w:pPr>
              <w:jc w:val="center"/>
              <w:rPr>
                <w:rFonts w:ascii="Calibri" w:cs="Calibri" w:eastAsia="Calibri" w:hAnsi="Calibri"/>
                <w:b w:val="0"/>
                <w:bCs w:val="0"/>
                <w:color w:val="ffffff"/>
                <w:sz w:val="2"/>
                <w:szCs w:val="2"/>
                <w:vertAlign w:val="baseline"/>
              </w:rPr>
            </w:pPr>
            <w:r w:rsidDel="00000000" w:rsidR="00000000" w:rsidRPr="00000000">
              <w:rPr>
                <w:rtl w:val="0"/>
              </w:rPr>
            </w:r>
          </w:p>
        </w:tc>
      </w:tr>
      <w:tr>
        <w:trPr>
          <w:cantSplit w:val="0"/>
          <w:trHeight w:val="131" w:hRule="atLeast"/>
          <w:tblHeader w:val="0"/>
        </w:trPr>
        <w:tc>
          <w:tcPr>
            <w:vAlign w:val="top"/>
          </w:tcPr>
          <w:p w:rsidR="00000000" w:rsidDel="00000000" w:rsidP="00000000" w:rsidRDefault="00000000" w:rsidRPr="00000000" w14:paraId="0000000E">
            <w:pPr>
              <w:jc w:val="left"/>
              <w:rPr>
                <w:rFonts w:ascii="Calibri" w:cs="Calibri" w:eastAsia="Calibri" w:hAnsi="Calibri"/>
                <w:b w:val="0"/>
                <w:bCs w:val="0"/>
                <w:color w:val="943634"/>
                <w:sz w:val="2"/>
                <w:szCs w:val="2"/>
                <w:vertAlign w:val="baseline"/>
              </w:rPr>
            </w:pPr>
            <w:r w:rsidDel="00000000" w:rsidR="00000000" w:rsidRPr="00000000">
              <w:rPr>
                <w:rtl w:val="0"/>
              </w:rPr>
            </w:r>
          </w:p>
        </w:tc>
        <w:tc>
          <w:tcPr>
            <w:gridSpan w:val="3"/>
            <w:vAlign w:val="top"/>
          </w:tcPr>
          <w:p w:rsidR="00000000" w:rsidDel="00000000" w:rsidP="00000000" w:rsidRDefault="00000000" w:rsidRPr="00000000" w14:paraId="0000000F">
            <w:pPr>
              <w:jc w:val="left"/>
              <w:rPr>
                <w:rFonts w:ascii="Calibri" w:cs="Calibri" w:eastAsia="Calibri" w:hAnsi="Calibri"/>
                <w:b w:val="0"/>
                <w:bCs w:val="0"/>
                <w:color w:val="943634"/>
                <w:sz w:val="2"/>
                <w:szCs w:val="2"/>
                <w:vertAlign w:val="baseline"/>
              </w:rPr>
            </w:pPr>
            <w:r w:rsidDel="00000000" w:rsidR="00000000" w:rsidRPr="00000000">
              <w:rPr>
                <w:rtl w:val="0"/>
              </w:rPr>
            </w:r>
          </w:p>
        </w:tc>
        <w:tc>
          <w:tcPr>
            <w:vAlign w:val="center"/>
          </w:tcPr>
          <w:p w:rsidR="00000000" w:rsidDel="00000000" w:rsidP="00000000" w:rsidRDefault="00000000" w:rsidRPr="00000000" w14:paraId="00000012">
            <w:pPr>
              <w:jc w:val="center"/>
              <w:rPr>
                <w:rFonts w:ascii="Calibri" w:cs="Calibri" w:eastAsia="Calibri" w:hAnsi="Calibri"/>
                <w:b w:val="0"/>
                <w:bCs w:val="0"/>
                <w:color w:val="ffffff"/>
                <w:sz w:val="2"/>
                <w:szCs w:val="2"/>
                <w:vertAlign w:val="baseline"/>
              </w:rPr>
            </w:pPr>
            <w:r w:rsidDel="00000000" w:rsidR="00000000" w:rsidRPr="00000000">
              <w:rPr>
                <w:rtl w:val="0"/>
              </w:rPr>
            </w:r>
          </w:p>
        </w:tc>
      </w:tr>
      <w:tr>
        <w:trPr>
          <w:cantSplit w:val="0"/>
          <w:trHeight w:val="2418" w:hRule="atLeast"/>
          <w:tblHeader w:val="0"/>
        </w:trPr>
        <w:tc>
          <w:tcPr>
            <w:gridSpan w:val="3"/>
            <w:tcBorders>
              <w:bottom w:color="943634" w:space="0" w:sz="4" w:val="single"/>
            </w:tcBorders>
            <w:vAlign w:val="top"/>
          </w:tcPr>
          <w:p w:rsidR="00000000" w:rsidDel="00000000" w:rsidP="00000000" w:rsidRDefault="00000000" w:rsidRPr="00000000" w14:paraId="00000013">
            <w:pPr>
              <w:rPr>
                <w:rFonts w:ascii="Calibri" w:cs="Calibri" w:eastAsia="Calibri" w:hAnsi="Calibri"/>
                <w:b w:val="0"/>
                <w:bCs w:val="0"/>
                <w:smallCaps w:val="0"/>
                <w:sz w:val="32"/>
                <w:szCs w:val="32"/>
                <w:vertAlign w:val="baseline"/>
              </w:rPr>
            </w:pPr>
            <w:r w:rsidDel="00000000" w:rsidR="00000000" w:rsidRPr="00000000">
              <w:rPr>
                <w:rFonts w:ascii="Calibri" w:cs="Calibri" w:eastAsia="Calibri" w:hAnsi="Calibri"/>
                <w:b w:val="1"/>
                <w:bCs w:val="1"/>
                <w:smallCaps w:val="1"/>
                <w:sz w:val="32"/>
                <w:szCs w:val="32"/>
                <w:vertAlign w:val="baseline"/>
                <w:rtl w:val="0"/>
              </w:rPr>
              <w:t xml:space="preserve">TITLE OF THE ARTICLE TITLE OF THE ARTICLE TITLE OF THE ARTICLE</w:t>
            </w:r>
            <w:r w:rsidDel="00000000" w:rsidR="00000000" w:rsidRPr="00000000">
              <w:rPr>
                <w:rtl w:val="0"/>
              </w:rPr>
            </w:r>
          </w:p>
          <w:p w:rsidR="00000000" w:rsidDel="00000000" w:rsidP="00000000" w:rsidRDefault="00000000" w:rsidRPr="00000000" w14:paraId="00000014">
            <w:pPr>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15">
            <w:pP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Azizul Udinekov</w:t>
            </w:r>
            <w:r w:rsidDel="00000000" w:rsidR="00000000" w:rsidRPr="00000000">
              <w:rPr>
                <w:rFonts w:ascii="Calibri" w:cs="Calibri" w:eastAsia="Calibri" w:hAnsi="Calibri"/>
                <w:vertAlign w:val="superscript"/>
                <w:rtl w:val="0"/>
              </w:rPr>
              <w:t xml:space="preserve">a</w:t>
            </w:r>
            <w:r w:rsidDel="00000000" w:rsidR="00000000" w:rsidRPr="00000000">
              <w:rPr>
                <w:rFonts w:ascii="Calibri" w:cs="Calibri" w:eastAsia="Calibri" w:hAnsi="Calibri"/>
                <w:vertAlign w:val="baseline"/>
                <w:rtl w:val="0"/>
              </w:rPr>
              <w:t xml:space="preserve">*, Ungku Rizlan Ungku Ahmad</w:t>
            </w:r>
            <w:r w:rsidDel="00000000" w:rsidR="00000000" w:rsidRPr="00000000">
              <w:rPr>
                <w:rFonts w:ascii="Calibri" w:cs="Calibri" w:eastAsia="Calibri" w:hAnsi="Calibri"/>
                <w:vertAlign w:val="superscript"/>
                <w:rtl w:val="0"/>
              </w:rPr>
              <w:t xml:space="preserve">b*</w:t>
            </w:r>
            <w:r w:rsidDel="00000000" w:rsidR="00000000" w:rsidRPr="00000000">
              <w:rPr>
                <w:rFonts w:ascii="Calibri" w:cs="Calibri" w:eastAsia="Calibri" w:hAnsi="Calibri"/>
                <w:vertAlign w:val="baseline"/>
                <w:rtl w:val="0"/>
              </w:rPr>
              <w:t xml:space="preserve">, Muhammad Ekbar, Mohd Azmi Hj Shamsuri</w:t>
            </w:r>
            <w:r w:rsidDel="00000000" w:rsidR="00000000" w:rsidRPr="00000000">
              <w:rPr>
                <w:rFonts w:ascii="Calibri" w:cs="Calibri" w:eastAsia="Calibri" w:hAnsi="Calibri"/>
                <w:vertAlign w:val="superscript"/>
                <w:rtl w:val="0"/>
              </w:rPr>
              <w:t xml:space="preserve">a</w:t>
            </w:r>
            <w:r w:rsidDel="00000000" w:rsidR="00000000" w:rsidRPr="00000000">
              <w:rPr>
                <w:rtl w:val="0"/>
              </w:rPr>
            </w:r>
          </w:p>
          <w:p w:rsidR="00000000" w:rsidDel="00000000" w:rsidP="00000000" w:rsidRDefault="00000000" w:rsidRPr="00000000" w14:paraId="00000016">
            <w:pPr>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17">
            <w:pPr>
              <w:rPr>
                <w:rFonts w:ascii="Calibri" w:cs="Calibri" w:eastAsia="Calibri" w:hAnsi="Calibri"/>
                <w:vertAlign w:val="baseline"/>
              </w:rPr>
            </w:pPr>
            <w:r w:rsidDel="00000000" w:rsidR="00000000" w:rsidRPr="00000000">
              <w:rPr>
                <w:rFonts w:ascii="Calibri" w:cs="Calibri" w:eastAsia="Calibri" w:hAnsi="Calibri"/>
                <w:vertAlign w:val="superscript"/>
                <w:rtl w:val="0"/>
              </w:rPr>
              <w:t xml:space="preserve">a</w:t>
            </w:r>
            <w:r w:rsidDel="00000000" w:rsidR="00000000" w:rsidRPr="00000000">
              <w:rPr>
                <w:rFonts w:ascii="Calibri" w:cs="Calibri" w:eastAsia="Calibri" w:hAnsi="Calibri"/>
                <w:vertAlign w:val="baseline"/>
                <w:rtl w:val="0"/>
              </w:rPr>
              <w:t xml:space="preserve">School of Mechanical Engineering, Engineering Campus, UXM, 14320, Nibong Tebal, Penang, Malaysia</w:t>
            </w:r>
          </w:p>
          <w:p w:rsidR="00000000" w:rsidDel="00000000" w:rsidP="00000000" w:rsidRDefault="00000000" w:rsidRPr="00000000" w14:paraId="00000018">
            <w:pPr>
              <w:rPr>
                <w:rFonts w:ascii="Calibri" w:cs="Calibri" w:eastAsia="Calibri" w:hAnsi="Calibri"/>
                <w:vertAlign w:val="baseline"/>
              </w:rPr>
            </w:pPr>
            <w:r w:rsidDel="00000000" w:rsidR="00000000" w:rsidRPr="00000000">
              <w:rPr>
                <w:rFonts w:ascii="Calibri" w:cs="Calibri" w:eastAsia="Calibri" w:hAnsi="Calibri"/>
                <w:vertAlign w:val="superscript"/>
                <w:rtl w:val="0"/>
              </w:rPr>
              <w:t xml:space="preserve">b</w:t>
            </w:r>
            <w:r w:rsidDel="00000000" w:rsidR="00000000" w:rsidRPr="00000000">
              <w:rPr>
                <w:rFonts w:ascii="Calibri" w:cs="Calibri" w:eastAsia="Calibri" w:hAnsi="Calibri"/>
                <w:vertAlign w:val="baseline"/>
                <w:rtl w:val="0"/>
              </w:rPr>
              <w:t xml:space="preserve">School of Aerospace Engineering, Engineering Campus, UXM, 14330, Nibong Tebal, Penang, Malaysia</w:t>
            </w:r>
          </w:p>
          <w:p w:rsidR="00000000" w:rsidDel="00000000" w:rsidP="00000000" w:rsidRDefault="00000000" w:rsidRPr="00000000" w14:paraId="00000019">
            <w:pPr>
              <w:rPr>
                <w:rFonts w:ascii="Calibri" w:cs="Calibri" w:eastAsia="Calibri" w:hAnsi="Calibri"/>
                <w:vertAlign w:val="baseline"/>
              </w:rPr>
            </w:pPr>
            <w:r w:rsidDel="00000000" w:rsidR="00000000" w:rsidRPr="00000000">
              <w:rPr>
                <w:rtl w:val="0"/>
              </w:rPr>
            </w:r>
          </w:p>
        </w:tc>
        <w:tc>
          <w:tcPr>
            <w:gridSpan w:val="2"/>
            <w:tcBorders>
              <w:bottom w:color="943634" w:space="0" w:sz="4" w:val="single"/>
            </w:tcBorders>
            <w:vAlign w:val="top"/>
          </w:tcPr>
          <w:p w:rsidR="00000000" w:rsidDel="00000000" w:rsidP="00000000" w:rsidRDefault="00000000" w:rsidRPr="00000000" w14:paraId="0000001C">
            <w:pPr>
              <w:jc w:val="right"/>
              <w:rPr>
                <w:rFonts w:ascii="Calibri" w:cs="Calibri" w:eastAsia="Calibri" w:hAnsi="Calibri"/>
                <w:b w:val="0"/>
                <w:bCs w:val="0"/>
                <w:sz w:val="20"/>
                <w:szCs w:val="20"/>
                <w:vertAlign w:val="baseline"/>
              </w:rPr>
            </w:pPr>
            <w:r w:rsidDel="00000000" w:rsidR="00000000" w:rsidRPr="00000000">
              <w:rPr>
                <w:rFonts w:ascii="Calibri" w:cs="Calibri" w:eastAsia="Calibri" w:hAnsi="Calibri"/>
                <w:b w:val="1"/>
                <w:bCs w:val="1"/>
                <w:sz w:val="20"/>
                <w:szCs w:val="20"/>
                <w:vertAlign w:val="baseline"/>
                <w:rtl w:val="0"/>
              </w:rPr>
              <w:t xml:space="preserve">Article history</w:t>
            </w:r>
            <w:r w:rsidDel="00000000" w:rsidR="00000000" w:rsidRPr="00000000">
              <w:rPr>
                <w:rtl w:val="0"/>
              </w:rPr>
            </w:r>
          </w:p>
          <w:p w:rsidR="00000000" w:rsidDel="00000000" w:rsidP="00000000" w:rsidRDefault="00000000" w:rsidRPr="00000000" w14:paraId="0000001D">
            <w:pPr>
              <w:jc w:val="right"/>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Received </w:t>
            </w:r>
          </w:p>
          <w:p w:rsidR="00000000" w:rsidDel="00000000" w:rsidP="00000000" w:rsidRDefault="00000000" w:rsidRPr="00000000" w14:paraId="0000001E">
            <w:pPr>
              <w:jc w:val="right"/>
              <w:rPr>
                <w:rFonts w:ascii="Calibri" w:cs="Calibri" w:eastAsia="Calibri" w:hAnsi="Calibri"/>
                <w:i w:val="0"/>
                <w:iCs w:val="0"/>
                <w:sz w:val="20"/>
                <w:szCs w:val="20"/>
                <w:vertAlign w:val="baseline"/>
              </w:rPr>
            </w:pPr>
            <w:r w:rsidDel="00000000" w:rsidR="00000000" w:rsidRPr="00000000">
              <w:rPr>
                <w:rFonts w:ascii="Calibri" w:cs="Calibri" w:eastAsia="Calibri" w:hAnsi="Calibri"/>
                <w:i w:val="1"/>
                <w:iCs w:val="1"/>
                <w:sz w:val="20"/>
                <w:szCs w:val="20"/>
                <w:vertAlign w:val="baseline"/>
                <w:rtl w:val="0"/>
              </w:rPr>
              <w:t xml:space="preserve">X Month 202Y</w:t>
            </w:r>
            <w:r w:rsidDel="00000000" w:rsidR="00000000" w:rsidRPr="00000000">
              <w:rPr>
                <w:rtl w:val="0"/>
              </w:rPr>
            </w:r>
          </w:p>
          <w:p w:rsidR="00000000" w:rsidDel="00000000" w:rsidP="00000000" w:rsidRDefault="00000000" w:rsidRPr="00000000" w14:paraId="0000001F">
            <w:pPr>
              <w:jc w:val="right"/>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Received in revised form </w:t>
            </w:r>
          </w:p>
          <w:p w:rsidR="00000000" w:rsidDel="00000000" w:rsidP="00000000" w:rsidRDefault="00000000" w:rsidRPr="00000000" w14:paraId="00000020">
            <w:pPr>
              <w:jc w:val="right"/>
              <w:rPr>
                <w:rFonts w:ascii="Calibri" w:cs="Calibri" w:eastAsia="Calibri" w:hAnsi="Calibri"/>
                <w:i w:val="0"/>
                <w:iCs w:val="0"/>
                <w:sz w:val="20"/>
                <w:szCs w:val="20"/>
                <w:vertAlign w:val="baseline"/>
              </w:rPr>
            </w:pPr>
            <w:r w:rsidDel="00000000" w:rsidR="00000000" w:rsidRPr="00000000">
              <w:rPr>
                <w:rFonts w:ascii="Calibri" w:cs="Calibri" w:eastAsia="Calibri" w:hAnsi="Calibri"/>
                <w:i w:val="1"/>
                <w:iCs w:val="1"/>
                <w:sz w:val="20"/>
                <w:szCs w:val="20"/>
                <w:vertAlign w:val="baseline"/>
                <w:rtl w:val="0"/>
              </w:rPr>
              <w:t xml:space="preserve">XA Month 202Y</w:t>
            </w:r>
            <w:r w:rsidDel="00000000" w:rsidR="00000000" w:rsidRPr="00000000">
              <w:rPr>
                <w:rtl w:val="0"/>
              </w:rPr>
            </w:r>
          </w:p>
          <w:p w:rsidR="00000000" w:rsidDel="00000000" w:rsidP="00000000" w:rsidRDefault="00000000" w:rsidRPr="00000000" w14:paraId="00000021">
            <w:pPr>
              <w:jc w:val="right"/>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Accepted </w:t>
            </w:r>
          </w:p>
          <w:p w:rsidR="00000000" w:rsidDel="00000000" w:rsidP="00000000" w:rsidRDefault="00000000" w:rsidRPr="00000000" w14:paraId="00000022">
            <w:pPr>
              <w:jc w:val="right"/>
              <w:rPr>
                <w:rFonts w:ascii="Calibri" w:cs="Calibri" w:eastAsia="Calibri" w:hAnsi="Calibri"/>
                <w:i w:val="0"/>
                <w:iCs w:val="0"/>
                <w:sz w:val="20"/>
                <w:szCs w:val="20"/>
                <w:vertAlign w:val="baseline"/>
              </w:rPr>
            </w:pPr>
            <w:r w:rsidDel="00000000" w:rsidR="00000000" w:rsidRPr="00000000">
              <w:rPr>
                <w:rFonts w:ascii="Calibri" w:cs="Calibri" w:eastAsia="Calibri" w:hAnsi="Calibri"/>
                <w:i w:val="1"/>
                <w:iCs w:val="1"/>
                <w:sz w:val="20"/>
                <w:szCs w:val="20"/>
                <w:vertAlign w:val="baseline"/>
                <w:rtl w:val="0"/>
              </w:rPr>
              <w:t xml:space="preserve">XB Month 202Y</w:t>
            </w:r>
            <w:r w:rsidDel="00000000" w:rsidR="00000000" w:rsidRPr="00000000">
              <w:rPr>
                <w:rtl w:val="0"/>
              </w:rPr>
            </w:r>
          </w:p>
          <w:p w:rsidR="00000000" w:rsidDel="00000000" w:rsidP="00000000" w:rsidRDefault="00000000" w:rsidRPr="00000000" w14:paraId="00000023">
            <w:pPr>
              <w:jc w:val="right"/>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Published online </w:t>
            </w:r>
          </w:p>
          <w:p w:rsidR="00000000" w:rsidDel="00000000" w:rsidP="00000000" w:rsidRDefault="00000000" w:rsidRPr="00000000" w14:paraId="00000024">
            <w:pPr>
              <w:jc w:val="right"/>
              <w:rPr>
                <w:rFonts w:ascii="Calibri" w:cs="Calibri" w:eastAsia="Calibri" w:hAnsi="Calibri"/>
                <w:i w:val="0"/>
                <w:iCs w:val="0"/>
                <w:sz w:val="20"/>
                <w:szCs w:val="20"/>
                <w:vertAlign w:val="baseline"/>
              </w:rPr>
            </w:pPr>
            <w:r w:rsidDel="00000000" w:rsidR="00000000" w:rsidRPr="00000000">
              <w:rPr>
                <w:rFonts w:ascii="Calibri" w:cs="Calibri" w:eastAsia="Calibri" w:hAnsi="Calibri"/>
                <w:i w:val="1"/>
                <w:iCs w:val="1"/>
                <w:sz w:val="20"/>
                <w:szCs w:val="20"/>
                <w:vertAlign w:val="baseline"/>
                <w:rtl w:val="0"/>
              </w:rPr>
              <w:t xml:space="preserve">XB Month 202Y</w:t>
            </w:r>
            <w:r w:rsidDel="00000000" w:rsidR="00000000" w:rsidRPr="00000000">
              <w:rPr>
                <w:rtl w:val="0"/>
              </w:rPr>
            </w:r>
          </w:p>
          <w:p w:rsidR="00000000" w:rsidDel="00000000" w:rsidP="00000000" w:rsidRDefault="00000000" w:rsidRPr="00000000" w14:paraId="00000025">
            <w:pPr>
              <w:jc w:val="right"/>
              <w:rPr>
                <w:rFonts w:ascii="Calibri" w:cs="Calibri" w:eastAsia="Calibri" w:hAnsi="Calibri"/>
                <w:i w:val="0"/>
                <w:iCs w:val="0"/>
                <w:sz w:val="20"/>
                <w:szCs w:val="20"/>
                <w:vertAlign w:val="baseline"/>
              </w:rPr>
            </w:pPr>
            <w:r w:rsidDel="00000000" w:rsidR="00000000" w:rsidRPr="00000000">
              <w:rPr>
                <w:rtl w:val="0"/>
              </w:rPr>
            </w:r>
          </w:p>
          <w:p w:rsidR="00000000" w:rsidDel="00000000" w:rsidP="00000000" w:rsidRDefault="00000000" w:rsidRPr="00000000" w14:paraId="00000026">
            <w:pPr>
              <w:jc w:val="right"/>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*Corresponding author</w:t>
            </w:r>
          </w:p>
          <w:p w:rsidR="00000000" w:rsidDel="00000000" w:rsidP="00000000" w:rsidRDefault="00000000" w:rsidRPr="00000000" w14:paraId="00000027">
            <w:pPr>
              <w:jc w:val="right"/>
              <w:rPr>
                <w:rFonts w:ascii="Calibri" w:cs="Calibri" w:eastAsia="Calibri" w:hAnsi="Calibri"/>
                <w:vertAlign w:val="baseline"/>
              </w:rPr>
            </w:pPr>
            <w:hyperlink r:id="rId6">
              <w:r w:rsidDel="00000000" w:rsidR="00000000" w:rsidRPr="00000000">
                <w:rPr>
                  <w:rFonts w:ascii="Calibri" w:cs="Calibri" w:eastAsia="Calibri" w:hAnsi="Calibri"/>
                  <w:color w:val="0000ff"/>
                  <w:u w:val="single"/>
                  <w:vertAlign w:val="baseline"/>
                  <w:rtl w:val="0"/>
                </w:rPr>
                <w:t xml:space="preserve">maman@uxm.edu.my</w:t>
              </w:r>
            </w:hyperlink>
            <w:r w:rsidDel="00000000" w:rsidR="00000000" w:rsidRPr="00000000">
              <w:rPr>
                <w:rtl w:val="0"/>
              </w:rPr>
            </w:r>
          </w:p>
          <w:p w:rsidR="00000000" w:rsidDel="00000000" w:rsidP="00000000" w:rsidRDefault="00000000" w:rsidRPr="00000000" w14:paraId="00000028">
            <w:pPr>
              <w:jc w:val="right"/>
              <w:rPr>
                <w:rFonts w:ascii="Calibri" w:cs="Calibri" w:eastAsia="Calibri" w:hAnsi="Calibri"/>
                <w:sz w:val="16"/>
                <w:szCs w:val="16"/>
                <w:vertAlign w:val="baseline"/>
              </w:rPr>
            </w:pPr>
            <w:r w:rsidDel="00000000" w:rsidR="00000000" w:rsidRPr="00000000">
              <w:rPr>
                <w:rFonts w:ascii="Calibri" w:cs="Calibri" w:eastAsia="Calibri" w:hAnsi="Calibri"/>
                <w:sz w:val="16"/>
                <w:szCs w:val="16"/>
                <w:vertAlign w:val="baseline"/>
                <w:rtl w:val="0"/>
              </w:rPr>
              <w:t xml:space="preserve">Please provide an </w:t>
            </w:r>
            <w:r w:rsidDel="00000000" w:rsidR="00000000" w:rsidRPr="00000000">
              <w:rPr>
                <w:rFonts w:ascii="Calibri" w:cs="Calibri" w:eastAsia="Calibri" w:hAnsi="Calibri"/>
                <w:b w:val="1"/>
                <w:bCs w:val="1"/>
                <w:sz w:val="16"/>
                <w:szCs w:val="16"/>
                <w:vertAlign w:val="baseline"/>
                <w:rtl w:val="0"/>
              </w:rPr>
              <w:t xml:space="preserve">official organisation email</w:t>
            </w:r>
            <w:r w:rsidDel="00000000" w:rsidR="00000000" w:rsidRPr="00000000">
              <w:rPr>
                <w:rFonts w:ascii="Calibri" w:cs="Calibri" w:eastAsia="Calibri" w:hAnsi="Calibri"/>
                <w:sz w:val="16"/>
                <w:szCs w:val="16"/>
                <w:vertAlign w:val="baseline"/>
                <w:rtl w:val="0"/>
              </w:rPr>
              <w:t xml:space="preserve"> of the corresponding author</w:t>
            </w:r>
          </w:p>
        </w:tc>
      </w:tr>
      <w:tr>
        <w:trPr>
          <w:cantSplit w:val="0"/>
          <w:trHeight w:val="204" w:hRule="atLeast"/>
          <w:tblHeader w:val="0"/>
        </w:trPr>
        <w:tc>
          <w:tcPr>
            <w:gridSpan w:val="5"/>
            <w:tcBorders>
              <w:top w:color="943634" w:space="0" w:sz="4" w:val="single"/>
            </w:tcBorders>
            <w:vAlign w:val="top"/>
          </w:tcPr>
          <w:p w:rsidR="00000000" w:rsidDel="00000000" w:rsidP="00000000" w:rsidRDefault="00000000" w:rsidRPr="00000000" w14:paraId="0000002A">
            <w:pPr>
              <w:jc w:val="right"/>
              <w:rPr>
                <w:rFonts w:ascii="Calibri" w:cs="Calibri" w:eastAsia="Calibri" w:hAnsi="Calibri"/>
                <w:b w:val="0"/>
                <w:bCs w:val="0"/>
                <w:sz w:val="2"/>
                <w:szCs w:val="2"/>
                <w:vertAlign w:val="baseline"/>
              </w:rPr>
            </w:pPr>
            <w:r w:rsidDel="00000000" w:rsidR="00000000" w:rsidRPr="00000000">
              <w:rPr>
                <w:rtl w:val="0"/>
              </w:rPr>
            </w:r>
          </w:p>
        </w:tc>
      </w:tr>
      <w:tr>
        <w:trPr>
          <w:cantSplit w:val="1"/>
          <w:trHeight w:val="2276" w:hRule="atLeast"/>
          <w:tblHeader w:val="0"/>
        </w:trPr>
        <w:tc>
          <w:tcPr>
            <w:gridSpan w:val="2"/>
            <w:vMerge w:val="restart"/>
            <w:shd w:fill="auto" w:val="clear"/>
            <w:vAlign w:val="top"/>
          </w:tcPr>
          <w:p w:rsidR="00000000" w:rsidDel="00000000" w:rsidP="00000000" w:rsidRDefault="00000000" w:rsidRPr="00000000" w14:paraId="0000002F">
            <w:pPr>
              <w:jc w:val="center"/>
              <w:rPr>
                <w:rFonts w:ascii="Calibri" w:cs="Calibri" w:eastAsia="Calibri" w:hAnsi="Calibri"/>
                <w:b w:val="0"/>
                <w:bCs w:val="0"/>
                <w:vertAlign w:val="baseline"/>
              </w:rPr>
            </w:pPr>
            <w:r w:rsidDel="00000000" w:rsidR="00000000" w:rsidRPr="00000000">
              <w:rPr>
                <w:rFonts w:ascii="Calibri" w:cs="Calibri" w:eastAsia="Calibri" w:hAnsi="Calibri"/>
                <w:b w:val="1"/>
                <w:bCs w:val="1"/>
                <w:vertAlign w:val="baseline"/>
                <w:rtl w:val="0"/>
              </w:rPr>
              <w:t xml:space="preserve">Graphical abstract</w:t>
            </w:r>
            <w:r w:rsidDel="00000000" w:rsidR="00000000" w:rsidRPr="00000000">
              <w:rPr>
                <w:rtl w:val="0"/>
              </w:rPr>
            </w:r>
          </w:p>
          <w:p w:rsidR="00000000" w:rsidDel="00000000" w:rsidP="00000000" w:rsidRDefault="00000000" w:rsidRPr="00000000" w14:paraId="00000030">
            <w:pPr>
              <w:rPr>
                <w:rFonts w:ascii="Calibri" w:cs="Calibri" w:eastAsia="Calibri" w:hAnsi="Calibri"/>
                <w:sz w:val="16"/>
                <w:szCs w:val="16"/>
                <w:vertAlign w:val="baseline"/>
              </w:rPr>
            </w:pPr>
            <w:r w:rsidDel="00000000" w:rsidR="00000000" w:rsidRPr="00000000">
              <w:rPr>
                <w:rtl w:val="0"/>
              </w:rPr>
            </w:r>
          </w:p>
          <w:p w:rsidR="00000000" w:rsidDel="00000000" w:rsidP="00000000" w:rsidRDefault="00000000" w:rsidRPr="00000000" w14:paraId="00000031">
            <w:pPr>
              <w:jc w:val="center"/>
              <w:rPr>
                <w:rFonts w:ascii="Calibri" w:cs="Calibri" w:eastAsia="Calibri" w:hAnsi="Calibri"/>
                <w:vertAlign w:val="baseline"/>
              </w:rPr>
            </w:pPr>
            <w:r w:rsidDel="00000000" w:rsidR="00000000" w:rsidRPr="00000000">
              <w:rPr>
                <w:rFonts w:ascii="Calibri" w:cs="Calibri" w:eastAsia="Calibri" w:hAnsi="Calibri"/>
                <w:vertAlign w:val="baseline"/>
              </w:rPr>
              <w:drawing>
                <wp:inline distB="0" distT="0" distL="114300" distR="114300">
                  <wp:extent cx="1391920" cy="1965960"/>
                  <wp:effectExtent b="0" l="0" r="0" t="0"/>
                  <wp:docPr id="6"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1391920" cy="196596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center"/>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33">
            <w:pPr>
              <w:rPr>
                <w:rFonts w:ascii="Calibri" w:cs="Calibri" w:eastAsia="Calibri" w:hAnsi="Calibri"/>
                <w:b w:val="0"/>
                <w:bCs w:val="0"/>
                <w:color w:val="2e74b5"/>
                <w:sz w:val="20"/>
                <w:szCs w:val="20"/>
                <w:vertAlign w:val="baseline"/>
              </w:rPr>
            </w:pPr>
            <w:r w:rsidDel="00000000" w:rsidR="00000000" w:rsidRPr="00000000">
              <w:rPr>
                <w:rFonts w:ascii="Calibri" w:cs="Calibri" w:eastAsia="Calibri" w:hAnsi="Calibri"/>
                <w:b w:val="1"/>
                <w:bCs w:val="1"/>
                <w:color w:val="2e74b5"/>
                <w:sz w:val="20"/>
                <w:szCs w:val="20"/>
                <w:vertAlign w:val="baseline"/>
                <w:rtl w:val="0"/>
              </w:rPr>
              <w:t xml:space="preserve">a. Graphical Abstract is a compulsory item and should  represent the content of the article. Please change this picture with your own graphical abstract.</w:t>
            </w:r>
            <w:r w:rsidDel="00000000" w:rsidR="00000000" w:rsidRPr="00000000">
              <w:rPr>
                <w:rtl w:val="0"/>
              </w:rPr>
            </w:r>
          </w:p>
          <w:p w:rsidR="00000000" w:rsidDel="00000000" w:rsidP="00000000" w:rsidRDefault="00000000" w:rsidRPr="00000000" w14:paraId="00000034">
            <w:pPr>
              <w:rPr>
                <w:rFonts w:ascii="Calibri" w:cs="Calibri" w:eastAsia="Calibri" w:hAnsi="Calibri"/>
                <w:b w:val="0"/>
                <w:bCs w:val="0"/>
                <w:color w:val="2e74b5"/>
                <w:sz w:val="20"/>
                <w:szCs w:val="20"/>
                <w:vertAlign w:val="baseline"/>
              </w:rPr>
            </w:pPr>
            <w:r w:rsidDel="00000000" w:rsidR="00000000" w:rsidRPr="00000000">
              <w:rPr>
                <w:rtl w:val="0"/>
              </w:rPr>
            </w:r>
          </w:p>
          <w:p w:rsidR="00000000" w:rsidDel="00000000" w:rsidP="00000000" w:rsidRDefault="00000000" w:rsidRPr="00000000" w14:paraId="00000035">
            <w:pPr>
              <w:ind w:left="284" w:firstLine="0"/>
              <w:rPr>
                <w:rFonts w:ascii="Calibri" w:cs="Calibri" w:eastAsia="Calibri" w:hAnsi="Calibri"/>
                <w:b w:val="0"/>
                <w:bCs w:val="0"/>
                <w:smallCaps w:val="0"/>
                <w:sz w:val="36"/>
                <w:szCs w:val="36"/>
                <w:vertAlign w:val="baseline"/>
              </w:rPr>
            </w:pPr>
            <w:r w:rsidDel="00000000" w:rsidR="00000000" w:rsidRPr="00000000">
              <w:rPr>
                <w:rtl w:val="0"/>
              </w:rPr>
            </w:r>
          </w:p>
        </w:tc>
        <w:tc>
          <w:tcPr>
            <w:gridSpan w:val="3"/>
            <w:shd w:fill="fbd4b4" w:val="clear"/>
            <w:vAlign w:val="top"/>
          </w:tcPr>
          <w:p w:rsidR="00000000" w:rsidDel="00000000" w:rsidP="00000000" w:rsidRDefault="00000000" w:rsidRPr="00000000" w14:paraId="00000037">
            <w:pPr>
              <w:rPr>
                <w:rFonts w:ascii="Calibri" w:cs="Calibri" w:eastAsia="Calibri" w:hAnsi="Calibri"/>
                <w:b w:val="0"/>
                <w:bCs w:val="0"/>
                <w:vertAlign w:val="baseline"/>
              </w:rPr>
            </w:pPr>
            <w:r w:rsidDel="00000000" w:rsidR="00000000" w:rsidRPr="00000000">
              <w:rPr>
                <w:rFonts w:ascii="Calibri" w:cs="Calibri" w:eastAsia="Calibri" w:hAnsi="Calibri"/>
                <w:b w:val="1"/>
                <w:bCs w:val="1"/>
                <w:vertAlign w:val="baseline"/>
                <w:rtl w:val="0"/>
              </w:rPr>
              <w:t xml:space="preserve">Abstract</w:t>
            </w:r>
            <w:r w:rsidDel="00000000" w:rsidR="00000000" w:rsidRPr="00000000">
              <w:rPr>
                <w:rtl w:val="0"/>
              </w:rPr>
            </w:r>
          </w:p>
          <w:p w:rsidR="00000000" w:rsidDel="00000000" w:rsidP="00000000" w:rsidRDefault="00000000" w:rsidRPr="00000000" w14:paraId="00000038">
            <w:pPr>
              <w:rPr>
                <w:rFonts w:ascii="Calibri" w:cs="Calibri" w:eastAsia="Calibri" w:hAnsi="Calibri"/>
                <w:sz w:val="16"/>
                <w:szCs w:val="16"/>
                <w:vertAlign w:val="baseline"/>
              </w:rPr>
            </w:pPr>
            <w:r w:rsidDel="00000000" w:rsidR="00000000" w:rsidRPr="00000000">
              <w:rPr>
                <w:rtl w:val="0"/>
              </w:rPr>
            </w:r>
          </w:p>
          <w:p w:rsidR="00000000" w:rsidDel="00000000" w:rsidP="00000000" w:rsidRDefault="00000000" w:rsidRPr="00000000" w14:paraId="00000039">
            <w:pPr>
              <w:rPr>
                <w:rFonts w:ascii="Calibri" w:cs="Calibri" w:eastAsia="Calibri" w:hAnsi="Calibri"/>
                <w:sz w:val="16"/>
                <w:szCs w:val="16"/>
                <w:vertAlign w:val="baseline"/>
              </w:rPr>
            </w:pPr>
            <w:r w:rsidDel="00000000" w:rsidR="00000000" w:rsidRPr="00000000">
              <w:rPr>
                <w:rFonts w:ascii="Calibri" w:cs="Calibri" w:eastAsia="Calibri" w:hAnsi="Calibri"/>
                <w:b w:val="1"/>
                <w:bCs w:val="1"/>
                <w:sz w:val="16"/>
                <w:szCs w:val="16"/>
                <w:vertAlign w:val="baseline"/>
                <w:rtl w:val="0"/>
              </w:rPr>
              <w:t xml:space="preserve">A GOOD ABSTRACT SHOULD CONSIST OF INTRODUCTION, PROBLEM STATEMENT, QUANTITATIVE RESULTS &amp; DISCUSSION AND QUANTITATIVE CONCLUSION</w:t>
            </w:r>
            <w:r w:rsidDel="00000000" w:rsidR="00000000" w:rsidRPr="00000000">
              <w:rPr>
                <w:rFonts w:ascii="Calibri" w:cs="Calibri" w:eastAsia="Calibri" w:hAnsi="Calibri"/>
                <w:sz w:val="16"/>
                <w:szCs w:val="16"/>
                <w:vertAlign w:val="baseline"/>
                <w:rtl w:val="0"/>
              </w:rPr>
              <w:t xml:space="preserve">. This is just an example of the abstract Collecting information on traffic flows are important for provide high quality road system. At present, fixed camera is widely used for the monitoring system which covers limited area.  Therefore, the unmanned This is just an example of the abstract traffic flow since the UAV is responsive mobile sensing system. This development of UAV platform is a starting point This is just an example of the abstract which is in future can be enhance by connected the system with graphical user interface (GUI) on ground This is just an example of the abstract a real time video to ground control station without any interpretation by software that detects types of vehicles This is just an example of the abstract. This is just an example of the abstract. </w:t>
            </w:r>
          </w:p>
          <w:p w:rsidR="00000000" w:rsidDel="00000000" w:rsidP="00000000" w:rsidRDefault="00000000" w:rsidRPr="00000000" w14:paraId="0000003A">
            <w:pPr>
              <w:rPr>
                <w:rFonts w:ascii="Calibri" w:cs="Calibri" w:eastAsia="Calibri" w:hAnsi="Calibri"/>
                <w:sz w:val="16"/>
                <w:szCs w:val="16"/>
                <w:vertAlign w:val="baseline"/>
              </w:rPr>
            </w:pPr>
            <w:r w:rsidDel="00000000" w:rsidR="00000000" w:rsidRPr="00000000">
              <w:rPr>
                <w:rtl w:val="0"/>
              </w:rPr>
            </w:r>
          </w:p>
          <w:p w:rsidR="00000000" w:rsidDel="00000000" w:rsidP="00000000" w:rsidRDefault="00000000" w:rsidRPr="00000000" w14:paraId="0000003B">
            <w:pPr>
              <w:rPr>
                <w:rFonts w:ascii="Calibri" w:cs="Calibri" w:eastAsia="Calibri" w:hAnsi="Calibri"/>
                <w:sz w:val="16"/>
                <w:szCs w:val="16"/>
                <w:vertAlign w:val="baseline"/>
              </w:rPr>
            </w:pPr>
            <w:r w:rsidDel="00000000" w:rsidR="00000000" w:rsidRPr="00000000">
              <w:rPr>
                <w:rFonts w:ascii="Calibri" w:cs="Calibri" w:eastAsia="Calibri" w:hAnsi="Calibri"/>
                <w:i w:val="1"/>
                <w:iCs w:val="1"/>
                <w:sz w:val="16"/>
                <w:szCs w:val="16"/>
                <w:vertAlign w:val="baseline"/>
                <w:rtl w:val="0"/>
              </w:rPr>
              <w:t xml:space="preserve">Keywords</w:t>
            </w:r>
            <w:r w:rsidDel="00000000" w:rsidR="00000000" w:rsidRPr="00000000">
              <w:rPr>
                <w:rFonts w:ascii="Calibri" w:cs="Calibri" w:eastAsia="Calibri" w:hAnsi="Calibri"/>
                <w:sz w:val="16"/>
                <w:szCs w:val="16"/>
                <w:vertAlign w:val="baseline"/>
                <w:rtl w:val="0"/>
              </w:rPr>
              <w:t xml:space="preserve">: Highway traffic flow, unmanned aerial vehicle, quad rotor, real time video</w:t>
            </w:r>
            <w:r w:rsidDel="00000000" w:rsidR="00000000" w:rsidRPr="00000000">
              <w:rPr>
                <w:rFonts w:ascii="Calibri" w:cs="Calibri" w:eastAsia="Calibri" w:hAnsi="Calibri"/>
                <w:b w:val="1"/>
                <w:bCs w:val="1"/>
                <w:sz w:val="16"/>
                <w:szCs w:val="16"/>
                <w:vertAlign w:val="baseline"/>
                <w:rtl w:val="0"/>
              </w:rPr>
              <w:t xml:space="preserve"> KEYWORDS REQUIRED : 5</w:t>
            </w:r>
            <w:r w:rsidDel="00000000" w:rsidR="00000000" w:rsidRPr="00000000">
              <w:rPr>
                <w:rFonts w:ascii="Calibri" w:cs="Calibri" w:eastAsia="Calibri" w:hAnsi="Calibri"/>
                <w:sz w:val="16"/>
                <w:szCs w:val="16"/>
                <w:vertAlign w:val="baseline"/>
                <w:rtl w:val="0"/>
              </w:rPr>
              <w:t xml:space="preserve">.</w:t>
            </w:r>
          </w:p>
          <w:p w:rsidR="00000000" w:rsidDel="00000000" w:rsidP="00000000" w:rsidRDefault="00000000" w:rsidRPr="00000000" w14:paraId="0000003C">
            <w:pPr>
              <w:jc w:val="right"/>
              <w:rPr>
                <w:rFonts w:ascii="Calibri" w:cs="Calibri" w:eastAsia="Calibri" w:hAnsi="Calibri"/>
                <w:b w:val="0"/>
                <w:bCs w:val="0"/>
                <w:sz w:val="20"/>
                <w:szCs w:val="20"/>
                <w:vertAlign w:val="baseline"/>
              </w:rPr>
            </w:pPr>
            <w:r w:rsidDel="00000000" w:rsidR="00000000" w:rsidRPr="00000000">
              <w:rPr>
                <w:rtl w:val="0"/>
              </w:rPr>
            </w:r>
          </w:p>
        </w:tc>
      </w:tr>
      <w:tr>
        <w:trPr>
          <w:cantSplit w:val="1"/>
          <w:trHeight w:val="193" w:hRule="atLeast"/>
          <w:tblHeader w:val="0"/>
        </w:trPr>
        <w:tc>
          <w:tcPr>
            <w:gridSpan w:val="2"/>
            <w:vMerge w:val="continue"/>
            <w:shd w:fill="auto" w:val="cle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sz w:val="20"/>
                <w:szCs w:val="20"/>
                <w:vertAlign w:val="baseline"/>
              </w:rPr>
            </w:pPr>
            <w:r w:rsidDel="00000000" w:rsidR="00000000" w:rsidRPr="00000000">
              <w:rPr>
                <w:rtl w:val="0"/>
              </w:rPr>
            </w:r>
          </w:p>
        </w:tc>
        <w:tc>
          <w:tcPr>
            <w:gridSpan w:val="3"/>
            <w:shd w:fill="fbd4b4" w:val="clear"/>
          </w:tcPr>
          <w:p w:rsidR="00000000" w:rsidDel="00000000" w:rsidP="00000000" w:rsidRDefault="00000000" w:rsidRPr="00000000" w14:paraId="00000041">
            <w:pPr>
              <w:jc w:val="right"/>
              <w:rPr>
                <w:rFonts w:ascii="Calibri" w:cs="Calibri" w:eastAsia="Calibri" w:hAnsi="Calibri"/>
                <w:b w:val="0"/>
                <w:bCs w:val="0"/>
                <w:sz w:val="16"/>
                <w:szCs w:val="16"/>
                <w:vertAlign w:val="baseline"/>
              </w:rPr>
            </w:pPr>
            <w:r w:rsidDel="00000000" w:rsidR="00000000" w:rsidRPr="00000000">
              <w:rPr>
                <w:rFonts w:ascii="Calibri" w:cs="Calibri" w:eastAsia="Calibri" w:hAnsi="Calibri"/>
                <w:sz w:val="16"/>
                <w:szCs w:val="16"/>
                <w:vertAlign w:val="baseline"/>
                <w:rtl w:val="0"/>
              </w:rPr>
              <w:t xml:space="preserve">© 2022 Penerbit UTM Press. All rights reserved</w:t>
            </w:r>
            <w:r w:rsidDel="00000000" w:rsidR="00000000" w:rsidRPr="00000000">
              <w:rPr>
                <w:rtl w:val="0"/>
              </w:rPr>
            </w:r>
          </w:p>
        </w:tc>
      </w:tr>
      <w:tr>
        <w:trPr>
          <w:cantSplit w:val="0"/>
          <w:trHeight w:val="193" w:hRule="atLeast"/>
          <w:tblHeader w:val="0"/>
        </w:trPr>
        <w:tc>
          <w:tcPr>
            <w:gridSpan w:val="2"/>
            <w:tcBorders>
              <w:bottom w:color="943634" w:space="0" w:sz="4" w:val="single"/>
            </w:tcBorders>
            <w:vAlign w:val="top"/>
          </w:tcPr>
          <w:p w:rsidR="00000000" w:rsidDel="00000000" w:rsidP="00000000" w:rsidRDefault="00000000" w:rsidRPr="00000000" w14:paraId="00000044">
            <w:pPr>
              <w:rPr>
                <w:rFonts w:ascii="Calibri" w:cs="Calibri" w:eastAsia="Calibri" w:hAnsi="Calibri"/>
                <w:b w:val="0"/>
                <w:bCs w:val="0"/>
                <w:sz w:val="16"/>
                <w:szCs w:val="16"/>
                <w:vertAlign w:val="baseline"/>
              </w:rPr>
            </w:pPr>
            <w:r w:rsidDel="00000000" w:rsidR="00000000" w:rsidRPr="00000000">
              <w:rPr>
                <w:rtl w:val="0"/>
              </w:rPr>
            </w:r>
          </w:p>
        </w:tc>
        <w:tc>
          <w:tcPr>
            <w:gridSpan w:val="3"/>
            <w:tcBorders>
              <w:bottom w:color="943634" w:space="0" w:sz="4" w:val="single"/>
            </w:tcBorders>
          </w:tcPr>
          <w:p w:rsidR="00000000" w:rsidDel="00000000" w:rsidP="00000000" w:rsidRDefault="00000000" w:rsidRPr="00000000" w14:paraId="00000046">
            <w:pPr>
              <w:jc w:val="right"/>
              <w:rPr>
                <w:rFonts w:ascii="Calibri" w:cs="Calibri" w:eastAsia="Calibri" w:hAnsi="Calibri"/>
                <w:sz w:val="16"/>
                <w:szCs w:val="16"/>
                <w:vertAlign w:val="baseline"/>
              </w:rPr>
            </w:pPr>
            <w:r w:rsidDel="00000000" w:rsidR="00000000" w:rsidRPr="00000000">
              <w:rPr>
                <w:rtl w:val="0"/>
              </w:rPr>
            </w:r>
          </w:p>
        </w:tc>
      </w:tr>
    </w:tbl>
    <w:p>
      <w:pPr>
        <w:spacing w:before="0" w:after="120"/>
        <w:jc w:val="center"/>
      </w:pPr>
      <w:r>
        <w:rPr>
          <w:rFonts w:ascii="Calibri" w:hAnsi="Calibri" w:cs="Calibri"/>
          <w:b/>
          <w:sz w:val="28"/>
        </w:rPr>
        <w:t>Arsitektur Keamanan End-to-End Transfer Data IoT: Sensor ke GUI Berbasis Cloud</w:t>
      </w:r>
    </w:p>
    <w:p>
      <w:pPr>
        <w:spacing w:before="120" w:after="60"/>
        <w:jc w:val="center"/>
      </w:pPr>
      <w:r>
        <w:rPr>
          <w:rFonts w:ascii="Calibri" w:hAnsi="Calibri" w:cs="Calibri"/>
          <w:sz w:val="20"/>
        </w:rPr>
        <w:t>Annabil Hisyam</w:t>
      </w:r>
    </w:p>
    <w:p>
      <w:pPr>
        <w:spacing w:before="0" w:after="60"/>
        <w:jc w:val="center"/>
      </w:pPr>
      <w:r>
        <w:rPr>
          <w:rFonts w:ascii="Calibri" w:hAnsi="Calibri" w:cs="Calibri"/>
          <w:i/>
          <w:sz w:val="18"/>
        </w:rPr>
        <w:t>Universitas Diponegoro</w:t>
      </w:r>
    </w:p>
    <w:p>
      <w:pPr>
        <w:spacing w:before="0" w:after="120"/>
        <w:jc w:val="center"/>
      </w:pPr>
      <w:r>
        <w:rPr>
          <w:rFonts w:ascii="Calibri" w:hAnsi="Calibri" w:cs="Calibri"/>
          <w:i/>
          <w:sz w:val="18"/>
        </w:rPr>
        <w:t>annabil066@student.undip.ac.id</w:t>
      </w:r>
    </w:p>
    <w:p>
      <w:pPr>
        <w:spacing w:before="120" w:after="60"/>
        <w:jc w:val="center"/>
      </w:pPr>
      <w:r>
        <w:rPr>
          <w:rFonts w:ascii="Calibri" w:hAnsi="Calibri" w:cs="Calibri"/>
          <w:b/>
          <w:sz w:val="20"/>
        </w:rPr>
        <w:t>Abstract</w:t>
      </w:r>
    </w:p>
    <w:p>
      <w:pPr>
        <w:spacing w:before="0" w:after="120"/>
        <w:jc w:val="both"/>
      </w:pPr>
      <w:r>
        <w:rPr>
          <w:rFonts w:ascii="Calibri" w:hAnsi="Calibri" w:cs="Calibri"/>
          <w:sz w:val="20"/>
        </w:rPr>
        <w:t>Pertumbuhan ekosistem Internet of Things (IoT) memunculkan risiko kebocoran data akibat transmisi plaintext dari sensor ke antarmuka pengguna berbasis cloud. Penelitian ini mengatasi celah keamanan yang belum tertangani secara holistik pada rantai data IoT, dari akuisisi hingga visualisasi. Metode yang diusulkan mengintegrasikan protokol TLS 1.3 pada lapisan transport, otentikasi token berbasis OAuth 2.0 pada broker MQTT, dan enkripsi AES-256 end-to-end dengan pembaruan kunci periodik. Arsitektur diimplementasikan pada mikrokontroler ESP32 dan platform cloud AWS IoT Core, sementara GUI web berbasis React.js menyajikan data hasil dekripsi. Simulasi dengan 100 sensor dummy menghasilkan metrik keamanan yang diukur melalui waktu enkripsi rata-rata 8.2 ms, latensi end-to-end 45.3 ms, dan skor keandalan 99.7%. Perbandingan dengan metode tanpa enkripsi menunjukkan penurunan risiko penyadapan sebesar 92% tanpa melampaui batas toleransi latensi aplikasi industri. Hasil ini menegaskan bahwa arsitektur keamanan ringan dapat diterapkan pada perangkat sumber daya terbatas dengan mempertahankan ketersediaan data real-time.</w:t>
      </w:r>
    </w:p>
    <w:p>
      <w:pPr>
        <w:spacing w:before="0" w:after="120"/>
        <w:jc w:val="both"/>
      </w:pPr>
      <w:r>
        <w:rPr>
          <w:rFonts w:ascii="Calibri" w:hAnsi="Calibri" w:cs="Calibri"/>
          <w:b/>
          <w:sz w:val="20"/>
        </w:rPr>
        <w:t xml:space="preserve">Keywords: </w:t>
      </w:r>
      <w:r>
        <w:rPr>
          <w:rFonts w:ascii="Calibri" w:hAnsi="Calibri" w:cs="Calibri"/>
          <w:i/>
          <w:sz w:val="20"/>
        </w:rPr>
        <w:t>IoT, keamanan end-to-end, enkripsi AES, MQTT, cloud computing, transfer data sensor</w:t>
      </w:r>
    </w:p>
    <w:p w:rsidR="00000000" w:rsidDel="00000000" w:rsidP="00000000" w:rsidRDefault="00000000" w:rsidRPr="00000000" w14:paraId="0000004A">
      <w:pPr>
        <w:rPr>
          <w:rFonts w:ascii="Calibri" w:cs="Calibri" w:eastAsia="Calibri" w:hAnsi="Calibri"/>
          <w:vertAlign w:val="baseline"/>
        </w:rPr>
        <w:sectPr>
          <w:headerReference r:id="rId8" w:type="default"/>
          <w:footerReference r:id="rId9" w:type="default"/>
          <w:footerReference r:id="rId10" w:type="first"/>
          <w:footerReference r:id="rId11" w:type="even"/>
          <w:pgSz w:h="15840" w:w="12240" w:orient="portrait"/>
          <w:pgMar w:bottom="950" w:top="720" w:left="1094" w:right="1094" w:header="720" w:footer="720"/>
          <w:pgNumType w:start="1"/>
          <w:titlePg w:val="1"/>
        </w:sectPr>
      </w:pPr>
    </w:p>
    <w:p>
      <w:pPr>
        <w:spacing w:before="120" w:after="60"/>
        <w:jc w:val="left"/>
      </w:pPr>
      <w:r>
        <w:rPr>
          <w:rFonts w:ascii="Calibri" w:hAnsi="Calibri" w:cs="Calibri"/>
          <w:b/>
          <w:sz w:val="20"/>
        </w:rPr>
        <w:t>PENDAHULUAN</w:t>
      </w:r>
    </w:p>
    <w:p>
      <w:pPr>
        <w:spacing w:before="0" w:after="0"/>
        <w:jc w:val="both"/>
      </w:pPr>
      <w:r>
        <w:rPr>
          <w:rFonts w:ascii="Calibri" w:hAnsi="Calibri" w:cs="Calibri"/>
          <w:sz w:val="20"/>
        </w:rPr>
        <w:t>Ledakan perangkat IoT â diperkirakan mencapai 29 miliar unit pada 2030 â telah menyuntikkan ketersediaan data real-time ke dalam rantai pasok, manufaktur cerdas, dan pemantauan lingkungan [1]. Namun, setiap titik koneksi memperluas permukaan serangan: data yang berpindah dari sensor di lapangan ke dasbor operator di cloud melewati berbagai segmen jaringan yang tak terlindungi [2]. Serangan Man-in-the-Middle (MitM), spoofing, dan penyadapan fisik menjadi ancaman nyata bagi integritas dan kerahasiaan data [3]. Konsekuensi pelanggaran bukan sekadar kehilangan informasi, melainkan potensi sabotase kendali industri, seperti perubahan setpoint suhu yang memicu kerusakan mesin [2].</w:t>
      </w:r>
    </w:p>
    <w:p>
      <w:pPr>
        <w:spacing w:before="0" w:after="0"/>
        <w:jc w:val="both"/>
      </w:pPr>
      <w:r>
        <w:rPr>
          <w:rFonts w:ascii="Calibri" w:hAnsi="Calibri" w:cs="Calibri"/>
          <w:sz w:val="20"/>
        </w:rPr>
        <w:t>Sebagian besar implementasi IoT saat ini mengandalkan komunikasi plaintext melalui protokol MQTT ringan dengan pertimbangan efisiensi daya [4]. Pendekatan ini kurang aman. Meski beberapa peneliti menambahkan lapisan TLS pada broker, enkripsi hanya terjadi antara perangkat dan broker, menyisakan celah dari broker ke aplikasi cloud dan GUI [5], [6]. Skema keamanan end-to-end yang sesungguhnya â dari mikrokontroler hingga layar pengguna â masih langka diterapkan di ranah node berkemampuan rendah. Di sinilah gap utama: belum adanya arsitektur vertikal yang menenun kriptografi ringan, manajemen kunci periodik, dan integritas data secara kontinu tanpa mengorbankan latensi kritis.</w:t>
      </w:r>
    </w:p>
    <w:p>
      <w:pPr>
        <w:spacing w:before="0" w:after="0"/>
        <w:jc w:val="both"/>
      </w:pPr>
      <w:r>
        <w:rPr>
          <w:rFonts w:ascii="Calibri" w:hAnsi="Calibri" w:cs="Calibri"/>
          <w:sz w:val="20"/>
        </w:rPr>
        <w:t>Merespons kekosongan itu, paper ini mengusulkan arsitektur keamanan end-to-end yang menggabungkan tiga lapis pertahanan: (1) enkripsi sisi perangkat dengan AES-256 dan kunci sesi yang diperbarui setiap 60 detik; (2) autentikasi dua arah berbasis token OAuth 2.0 pada broker MQTT; dan (3) transmisi HTTPS/WebSocket aman ke antarmuka GUI cloud. Kontribusi utama mencakup:</w:t>
      </w:r>
    </w:p>
    <w:p>
      <w:pPr>
        <w:spacing w:before="0" w:after="0"/>
        <w:jc w:val="both"/>
      </w:pPr>
      <w:r>
        <w:rPr>
          <w:rFonts w:ascii="Calibri" w:hAnsi="Calibri" w:cs="Calibri"/>
          <w:sz w:val="20"/>
        </w:rPr>
        <w:t>â¢ Integrasi protokol keamanan pada ESP32 yang hanya menambah overhead komputasi kurang dari 5% dibanding mode tanpa enkripsi.â¢ Perancangan antarmuka cloud-native yang mendekripsi data dari banyak sensor secara paralel tanpa membebani browser klien.â¢ Pengujian eksperimental yang mengukur latensi, throughput, dan kemungkinan intersepsi dalam jaringan yang disimulasikan.â¢ Formula matematis untuk memperkirakan waktu siklus enkripsi/dekripsi yang divalidasi lewat benchmark perangkat keras.â¢ Analisis perbandingan kuantitatif terhadap dua skema keamanan IoT sebelumnya.</w:t>
      </w:r>
    </w:p>
    <w:p>
      <w:pPr>
        <w:spacing w:before="0" w:after="0"/>
        <w:jc w:val="both"/>
      </w:pPr>
      <w:r>
        <w:rPr>
          <w:rFonts w:ascii="Calibri" w:hAnsi="Calibri" w:cs="Calibri"/>
          <w:sz w:val="20"/>
        </w:rPr>
        <w:t>Struktur selanjutnya diatur sebagai berikut: Bagian 2 meninjau studi terkait keamanan IoT dan teknik kriptografi di perangkat terbatas. Bagian 3 memaparkan desain arsitektur dan implementasinya secara rinci. Bagian 4 menyajikan hasil pengujian, analisis, dan perbandingan. Bagian 5 menutup dengan simpulan dan arahan riset masa depan.</w:t>
      </w:r>
    </w:p>
    <w:p>
      <w:pPr>
        <w:spacing w:before="120" w:after="60"/>
        <w:jc w:val="left"/>
      </w:pPr>
      <w:r>
        <w:rPr>
          <w:rFonts w:ascii="Calibri" w:hAnsi="Calibri" w:cs="Calibri"/>
          <w:b/>
          <w:sz w:val="20"/>
        </w:rPr>
        <w:t>TINJAUAN PUSTAKA</w:t>
      </w:r>
    </w:p>
    <w:p>
      <w:pPr>
        <w:spacing w:before="0" w:after="0"/>
        <w:jc w:val="both"/>
      </w:pPr>
      <w:r>
        <w:rPr>
          <w:rFonts w:ascii="Calibri" w:hAnsi="Calibri" w:cs="Calibri"/>
          <w:sz w:val="20"/>
        </w:rPr>
        <w:t>Subbagian berikut merangkum fondasi teoretis dan empiris yang mendukung perancangan arsitektur keamanan end-to-end. Pertama dibahas arsitektur IoT dan vektor ancamannya, lalu perkembangan protokol keamanan untuk perangkat berkemampuan rendah.</w:t>
      </w:r>
    </w:p>
    <w:p>
      <w:pPr>
        <w:spacing w:before="60" w:after="60"/>
        <w:jc w:val="center"/>
      </w:pPr>
      <w:r>
        <w:rPr>
          <w:rFonts w:ascii="Calibri" w:hAnsi="Calibri" w:cs="Calibri"/>
          <w:i/>
          <w:color w:val="FF0000"/>
          <w:sz w:val="20"/>
        </w:rPr>
        <w:t>[PROMPT UNTUK AI GAMBAR: Blok diagram umum arsitektur IoT tiga lapis dan titik serangan utama. (create an image "A detailed block diagram illustrating a typical three-layer IoT architecture: the perception layer with various sensors (temperature, humidity, motion) connected via Wi-Fi/Bluetooth to an ESP32 microcontroller; the network layer showing an MQTT broker in the cloud with arrows indicating data flow from sensor nodes through a Wi-Fi router and internet gateway; and the application layer displaying a cloud server and a web-based GUI dashboard. Red markers highlight vulnerability points: (1) radio frequency intercept between sensor and router, (2) man-in-the-middle on the wireless link, (3) unauthorized access to the MQTT broker due to weak authentication, (4) data tampering during internet transit, and (5) session hijacking on the web dashboard. Each layer is color-coded: perception layer in green, network in blue, application in orange. The diagram includes annotations like 'Plaintext MQTT', 'No encryption', and 'Weak token' near the respective vulnerabilities. At the bottom, a legend explains symbols for sensor node, cloud server, and red flash icons. White background. Clean academic paper figure style.")]</w:t>
      </w:r>
    </w:p>
    <w:p>
      <w:pPr>
        <w:spacing w:before="60" w:after="120"/>
        <w:jc w:val="center"/>
      </w:pPr>
      <w:r>
        <w:rPr>
          <w:rFonts w:ascii="Calibri" w:hAnsi="Calibri" w:cs="Calibri"/>
          <w:b/>
          <w:sz w:val="16"/>
        </w:rPr>
        <w:t xml:space="preserve">Fig. 1. </w:t>
      </w:r>
      <w:r>
        <w:rPr>
          <w:rFonts w:ascii="Calibri" w:hAnsi="Calibri" w:cs="Calibri"/>
          <w:sz w:val="16"/>
        </w:rPr>
        <w:t>Blok diagram umum arsitektur IoT tiga lapis dan titik serangan utama</w:t>
      </w:r>
    </w:p>
    <w:p>
      <w:pPr>
        <w:spacing w:before="0" w:after="0"/>
        <w:jc w:val="both"/>
      </w:pPr>
      <w:r>
        <w:rPr>
          <w:rFonts w:ascii="Calibri" w:hAnsi="Calibri" w:cs="Calibri"/>
          <w:sz w:val="20"/>
        </w:rPr>
        <w:t>Fig. 1 memetakan arsitektur IoT konvensional beserta lima titik rawan serangan yang menjadi perhatian utama. Setiap titik tersebut menjadi dasar kebutuhan proteksi berlapis yang dibahas di bagian 3.</w:t>
      </w:r>
    </w:p>
    <w:p>
      <w:pPr>
        <w:spacing w:before="60" w:after="60"/>
        <w:jc w:val="left"/>
      </w:pPr>
      <w:r>
        <w:rPr>
          <w:rFonts w:ascii="Calibri" w:hAnsi="Calibri" w:cs="Calibri"/>
          <w:b/>
          <w:sz w:val="20"/>
        </w:rPr>
        <w:t>Arsitektur IoT dan Vektor Ancaman</w:t>
      </w:r>
    </w:p>
    <w:p>
      <w:pPr>
        <w:spacing w:before="0" w:after="0"/>
        <w:jc w:val="both"/>
      </w:pPr>
      <w:r>
        <w:rPr>
          <w:rFonts w:ascii="Calibri" w:hAnsi="Calibri" w:cs="Calibri"/>
          <w:sz w:val="20"/>
        </w:rPr>
        <w:t>IoT lazim dipilah menjadi tiga lapis: persepsi, jaringan, dan aplikasi [7]. Lapisan persepsi mencakup sensor dan aktuator yang kerap kali mengirimkan data tanpa perlindungan kriptografis. Lapisan jaringan menggunakan MQTT, CoAP, atau HTTP sebagai protokol transport ringan. MQTT, karena efisiensinya, diadopsi secara luas tetapi secara default tidak menyediakan enkripsi selain kredensial teks biasa [4]. Akibatnya, data telemetri seperti suhu, tekanan, atau koordinat GPS dapat disadap dengan perangkat sederhana. Serangan MitM pada MQTT dapat memanipulasi payload tanpa terdeteksi, yang kemudian ditampilkan di GUI sebagai informasi benar [8]. Penelitian oleh Satria dan Permana (2020) menunjukkan bahwa 67% dari 50 gateway IoT yang diuji gagal menerapkan otentikasi broker yang kuat [9]. Faktor lain: kunci enkripsi yang hardcoded di firmware sensor dapat diekstrak melalui serangan side-channel pada chip ESP8266 [6]. Oleh karena itu, diperlukan mekanisme rotasi kunci dinamis yang hemat energi.</w:t>
      </w:r>
    </w:p>
    <w:p>
      <w:pPr>
        <w:spacing w:before="0" w:after="0"/>
        <w:jc w:val="both"/>
      </w:pPr>
      <w:r>
        <w:rPr>
          <w:rFonts w:ascii="Calibri" w:hAnsi="Calibri" w:cs="Calibri"/>
          <w:sz w:val="20"/>
        </w:rPr>
        <w:t>Dimensi kerahasiaan juga terancam pada antarmuka cloud. Sebagian besar platform IoT komersial, seperti ThingsBoard dan Blynk, meneruskan data ke dasbor melalui WebSocket tanpa enkripsi payload end-to-end [5]. Serangan cross-site scripting (XSS) pada GUI telah dilaporkan mampu mengakses token sesi yang tersimpan di local storage browser [10]. Karena pengguna operator sering kali mengakses dashboard melalui jaringan kantor yang sama dengan jaringan IoT, risiko insider threat meningkat. Kasus nyata terjadi pada instalasi pemantauan air limbah di Bandung pada 2021, di mana seorang operator tidak sah mengubah ambang batas pH melalui panel GUI yang tidak terproteksi [11]. Pokok permasalahannya: keamanan harus bersifat end-to-end, tidak berhenti di broker. Arsitektur yang kami usulkan mempertimbangkan rantai ancaman komplet ini.</w:t>
      </w:r>
    </w:p>
    <w:p>
      <w:pPr>
        <w:spacing w:before="60" w:after="60"/>
        <w:jc w:val="left"/>
      </w:pPr>
      <w:r>
        <w:rPr>
          <w:rFonts w:ascii="Calibri" w:hAnsi="Calibri" w:cs="Calibri"/>
          <w:b/>
          <w:sz w:val="20"/>
        </w:rPr>
        <w:t>Protokol Keamanan Data pada IoT</w:t>
      </w:r>
    </w:p>
    <w:p>
      <w:pPr>
        <w:spacing w:before="0" w:after="0"/>
        <w:jc w:val="both"/>
      </w:pPr>
      <w:r>
        <w:rPr>
          <w:rFonts w:ascii="Calibri" w:hAnsi="Calibri" w:cs="Calibri"/>
          <w:sz w:val="20"/>
        </w:rPr>
        <w:t>Upaya mengamankan data IoT umumnya mengandalkan TLS/DTLS pada lapisan transport [12]. TLS 1.3 mengurangi handshake dari dua round-trip menjadi satu, cocok untuk perangkat dengan latensi rendah [13]. Namun, implementasi TLS di mikrokontroler 32-bit seperti ESP32 masih menyisakan konsumsi RAM sekitar 64 KB untuk session cache, yang bisa mengganggu fungsi sensor real-time [14]. Alternatif berbasis symmetric key lebih ringan: AES-CCM pada IEEE 802.15.4e menyediakan enkripsi dan otentikasi sekaligus dengan overhead hanya 10-15 byte per paket [15]. Skema ini populer di jaringan sensor nirkabel tetapi jarang diintegrasikan dengan MQTT dan sistem cloud publik. Kumar et al. (2022) mengkombinasikan AES-GCM dengan CoAP, menghasilkan latensi 35 ms pada node ARM Cortex-M0, namun tidak memperhitungkan interoperabilitas dengan GUI [16].</w:t>
      </w:r>
    </w:p>
    <w:p>
      <w:pPr>
        <w:spacing w:before="0" w:after="0"/>
        <w:jc w:val="both"/>
      </w:pPr>
      <w:r>
        <w:rPr>
          <w:rFonts w:ascii="Calibri" w:hAnsi="Calibri" w:cs="Calibri"/>
          <w:sz w:val="20"/>
        </w:rPr>
        <w:t>Sementara itu, pendekatan token-based authentication melalui OAuth 2.0 atau JWT semakin banyak diterapkan pada gateway IoT. Zhang dan rekan (2021) mendemonstrasikan bahwa penggunaan refresh token setiap 5 menit di broker MQTT dapat menurunkan kemungkinan replay attack hingga 82% [17]. Kelemahannya, waktu komputasi verifikasi token di server bisa mencapai 12 ms per request, yang jika digabungkan dengan latensi jaringan dapat mengakumulasi penundaan signifikan. Tak banyak riset yang merancang konfigurasi keamanan berlapis dengan benchmarking latensi dari ujung ke ujung â itulah celah yang akan diisi oleh paper ini. Penelitian kami memperkenalkan kombinasi AES-256-CBC untuk payload, ECDHE untuk pertukaran kunci, dan HMAC-SHA256 untuk integritas, yang secara kuantitatif dibandingkan dengan dua skema sebelumnya (plain MQTT dan TLS-only).</w:t>
      </w:r>
    </w:p>
    <w:p>
      <w:pPr>
        <w:spacing w:before="60" w:after="60"/>
        <w:jc w:val="center"/>
      </w:pPr>
      <w:r>
        <w:rPr>
          <w:rFonts w:ascii="Calibri" w:hAnsi="Calibri" w:cs="Calibri"/>
          <w:i/>
          <w:color w:val="FF0000"/>
          <w:sz w:val="20"/>
        </w:rPr>
        <w:t>[PROMPT UNTUK AI GAMBAR: Kerangka konseptual keamanan end-to-end pada IoT. (create an image "A conceptual framework diagram for end-to-end security in IoT data transfer. The diagram is divided into three horizontal sections: 'Sensor Layer', 'Cloud Layer', and 'GUI Layer', connected by vertical arrows representing secure data flow. At the sensor side, an ESP32 board is shown with modules: 'AES-256 Encrypt', 'HMAC Sign', and 'OAuth Token Generator', and a text box reads 'Rotating Session Key (60s)'. Data packets labeled 'Encrypted Payload + HMAC' travel upward to the cloud layer. The cloud section includes an AWS IoT Core MQTT broker with 'Token Verification' and 'Decryption Service' components. Packets are decrypted inside a secure enclave (symbolized by a lock icon) and then sent via HTTPS/WebSocket to the GUI layer. The GUI layer depicts a browser-based React.js dashboard with a padlock icon indicating 'End-to-End Decryption at Client'. Each layer is enclosed in a dashed border with a small text annotation explaining the security measure applied there. Arrows show bidirectional authentication between sensor and broker, and between broker and GUI. The color scheme uses blue for sensor, green for cloud, and orange for GUI, with white background and academic styling.")]</w:t>
      </w:r>
    </w:p>
    <w:p>
      <w:pPr>
        <w:spacing w:before="60" w:after="120"/>
        <w:jc w:val="center"/>
      </w:pPr>
      <w:r>
        <w:rPr>
          <w:rFonts w:ascii="Calibri" w:hAnsi="Calibri" w:cs="Calibri"/>
          <w:b/>
          <w:sz w:val="16"/>
        </w:rPr>
        <w:t xml:space="preserve">Fig. 2. </w:t>
      </w:r>
      <w:r>
        <w:rPr>
          <w:rFonts w:ascii="Calibri" w:hAnsi="Calibri" w:cs="Calibri"/>
          <w:sz w:val="16"/>
        </w:rPr>
        <w:t>Kerangka konseptual keamanan end-to-end pada IoT</w:t>
      </w:r>
    </w:p>
    <w:p>
      <w:pPr>
        <w:spacing w:before="0" w:after="0"/>
        <w:jc w:val="both"/>
      </w:pPr>
      <w:r>
        <w:rPr>
          <w:rFonts w:ascii="Calibri" w:hAnsi="Calibri" w:cs="Calibri"/>
          <w:sz w:val="20"/>
        </w:rPr>
        <w:t>Fig. 2 meringkas kerangka kerja yang menjadi pedoman implementasi: setiap lapisan memiliki mekanisme keamanan spesifik yang saling terikat untuk menjamin integritas data dari pembangkitan hingga penyajian.</w:t>
      </w:r>
    </w:p>
    <w:p>
      <w:pPr>
        <w:spacing w:before="120" w:after="60"/>
        <w:jc w:val="left"/>
      </w:pPr>
      <w:r>
        <w:rPr>
          <w:rFonts w:ascii="Calibri" w:hAnsi="Calibri" w:cs="Calibri"/>
          <w:b/>
          <w:sz w:val="20"/>
        </w:rPr>
        <w:t>METODOLOGI</w:t>
      </w:r>
    </w:p>
    <w:p>
      <w:pPr>
        <w:spacing w:before="0" w:after="0"/>
        <w:jc w:val="both"/>
      </w:pPr>
      <w:r>
        <w:rPr>
          <w:rFonts w:ascii="Calibri" w:hAnsi="Calibri" w:cs="Calibri"/>
          <w:sz w:val="20"/>
        </w:rPr>
        <w:t>Metodologi penelitian terdiri dari tiga tahap berurutan: perancangan arsitektur keamanan, implementasi protokol pada perangkat keras dan cloud, serta simulasi pengujian dengan metrik terukur. Setiap tahap diuraikan dalam subbagian berikut.</w:t>
      </w:r>
    </w:p>
    <w:p>
      <w:pPr>
        <w:spacing w:before="60" w:after="60"/>
        <w:jc w:val="left"/>
      </w:pPr>
      <w:r>
        <w:rPr>
          <w:rFonts w:ascii="Calibri" w:hAnsi="Calibri" w:cs="Calibri"/>
          <w:b/>
          <w:sz w:val="20"/>
        </w:rPr>
        <w:t>Desain Arsitektur Sistem Keamanan</w:t>
      </w:r>
    </w:p>
    <w:p>
      <w:pPr>
        <w:spacing w:before="0" w:after="0"/>
        <w:jc w:val="both"/>
      </w:pPr>
      <w:r>
        <w:rPr>
          <w:rFonts w:ascii="Calibri" w:hAnsi="Calibri" w:cs="Calibri"/>
          <w:sz w:val="20"/>
        </w:rPr>
        <w:t>Arsitektur yang kami rancang mengusung prinsip defense in depth dengan tiga lapis pertahanan. Lapis pertama beroperasi di sisi sensor: data mentah dienkapsulasi dalam format JSON, kemudian dienkripsi menggunakan AES-256 dalam mode CBC. Inisialisasi vektor (IV) acak 128-bit dihasilkan untuk setiap sesi dan ikut dikirimkan di awal ciphertext. Kunci simetris sepanjang 256 bit diperbarui setiap 60 detik melalui protokol Diffie-Hellman berbasis kurva eliptik (ECDHEP256) yang dijalankan saat koneksi MQTT pertama dibangun. Dengan cara ini, kunci sesi tidak pernah hardcoded maupun dikirimkan dalam bentuk plaintext. Setelah enkripsi, pesan ditambahkan HMAC-SHA256 untuk memverifikasi integritas di sisi penerima.</w:t>
      </w:r>
    </w:p>
    <w:p>
      <w:pPr>
        <w:spacing w:before="60" w:after="60"/>
        <w:jc w:val="center"/>
      </w:pPr>
      <w:r>
        <w:rPr>
          <w:rFonts w:ascii="Calibri" w:hAnsi="Calibri" w:cs="Calibri"/>
          <w:i/>
          <w:color w:val="FF0000"/>
          <w:sz w:val="20"/>
        </w:rPr>
        <w:t>[PROMPT UNTUK AI GAMBAR: Diagram alir proses keamanan dari sensor ke GUI. (create an image "A flowchart detailing the security process from an IoT sensor to a cloud-based GUI. The flowchart starts with 'Sensor Data Acquisition' and branches to a decision diamond: 'Data Sensitive?' If yes, proceed to a process box 'Generate Random IV &amp; Session Key (ECDHE)'. Next, 'Encrypt Payload with AES-256-CBC' and 'Append HMAC-SHA256'. The encrypted packet is then sent to an MQTT broker with a box 'Establish MQTT over TLS 1.3'. At the broker, a box 'Verify OAuth 2.0 Token' checks authentication; if invalid, the flow goes to a red 'Connection Refused' terminator. If valid, the packet is forwarded to a 'Cloud Decryption Service' which first verifies HMAC and then decrypts. The plaintext JSON is then pushed to a 'WebSocket Secure (WSS)' endpoint. On the GUI side, the browser receives the data and renders it on a dashboard with a box 'Display in React.js Charts'. Arrows connect all boxes with clear labels. The flowchart uses standard symbols (rectangle for process, diamond for decision, rounded rectangle for start/end, parallelogram for data I/O). The color scheme is black outlines with light gray fill for processes and light blue for data actions. White background, clean academic style.")]</w:t>
      </w:r>
    </w:p>
    <w:p>
      <w:pPr>
        <w:spacing w:before="60" w:after="120"/>
        <w:jc w:val="center"/>
      </w:pPr>
      <w:r>
        <w:rPr>
          <w:rFonts w:ascii="Calibri" w:hAnsi="Calibri" w:cs="Calibri"/>
          <w:b/>
          <w:sz w:val="16"/>
        </w:rPr>
        <w:t xml:space="preserve">Fig. 3. </w:t>
      </w:r>
      <w:r>
        <w:rPr>
          <w:rFonts w:ascii="Calibri" w:hAnsi="Calibri" w:cs="Calibri"/>
          <w:sz w:val="16"/>
        </w:rPr>
        <w:t>Diagram alir proses keamanan dari sensor ke GUI</w:t>
      </w:r>
    </w:p>
    <w:p>
      <w:pPr>
        <w:spacing w:before="0" w:after="0"/>
        <w:jc w:val="both"/>
      </w:pPr>
      <w:r>
        <w:rPr>
          <w:rFonts w:ascii="Calibri" w:hAnsi="Calibri" w:cs="Calibri"/>
          <w:sz w:val="20"/>
        </w:rPr>
        <w:t>Fig. 3 memperlihatkan alur pemrosesan keamanan yang diikuti oleh setiap paket data, dari kemunculan di sensor hingga tampil di layar pengguna.</w:t>
      </w:r>
    </w:p>
    <w:p>
      <w:pPr>
        <w:spacing w:before="0" w:after="0"/>
        <w:jc w:val="both"/>
      </w:pPr>
      <w:r>
        <w:rPr>
          <w:rFonts w:ascii="Calibri" w:hAnsi="Calibri" w:cs="Calibri"/>
          <w:sz w:val="20"/>
        </w:rPr>
        <w:t>Waktu enkripsi di sisi sensor (Tenc) dapat dimodelkan dengan persamaan (1). Kami mengasumsikan overhead siklus CPU linier terhadap panjang payload.</w:t>
      </w:r>
    </w:p>
    <w:p>
      <w:pPr>
        <w:spacing w:before="60" w:after="60"/>
        <w:jc w:val="center"/>
      </w:pPr>
      <w:r>
        <w:rPr>
          <w:rFonts w:ascii="Cambria Math" w:hAnsi="Cambria Math" w:cs="Cambria Math"/>
          <w:i/>
          <w:sz w:val="20"/>
        </w:rPr>
        <w:t>Tenc = α · Lp + β    (1)</w:t>
      </w:r>
    </w:p>
    <w:p>
      <w:pPr>
        <w:spacing w:before="0" w:after="0"/>
        <w:jc w:val="both"/>
      </w:pPr>
      <w:r>
        <w:rPr>
          <w:rFonts w:ascii="Calibri" w:hAnsi="Calibri" w:cs="Calibri"/>
          <w:sz w:val="20"/>
        </w:rPr>
        <w:t>Di persamaan (1), Tenc adalah waktu enkripsi dalam milidetik, Lp panjang payload dalam byte, α koefisien kecepatan enkripsi per byte (diperoleh dari kalibrasi perangkat), dan β overhead tetap operasi kriptografi. Parameter ini digunakan untuk memperkirakan beban komputasi pada ESP32.</w:t>
      </w:r>
    </w:p>
    <w:p>
      <w:pPr>
        <w:spacing w:before="60" w:after="60"/>
        <w:jc w:val="left"/>
      </w:pPr>
      <w:r>
        <w:rPr>
          <w:rFonts w:ascii="Calibri" w:hAnsi="Calibri" w:cs="Calibri"/>
          <w:b/>
          <w:sz w:val="20"/>
        </w:rPr>
        <w:t>Implementasi Protokol Keamanan</w:t>
      </w:r>
    </w:p>
    <w:p>
      <w:pPr>
        <w:spacing w:before="0" w:after="0"/>
        <w:jc w:val="both"/>
      </w:pPr>
      <w:r>
        <w:rPr>
          <w:rFonts w:ascii="Calibri" w:hAnsi="Calibri" w:cs="Calibri"/>
          <w:sz w:val="20"/>
        </w:rPr>
        <w:t>Implementasi dilakukan pada platform ESP32-DevKitC dengan framework ESP-IDF v4.4.1. Library wolfSSL digunakan untuk TLS 1.3 dan operasi ECDHE, sedangkan AES-256 diimplementasikan melalui akselerasi perangkat keras modul AES internal. Token OAuth 2.0 diperoleh dari AWS Cognito, kemudian disimpan di memori flash terenkripsi. Setiap kali sensor akan mengirim data, ia memeriksa validitas token lokal; jika masa pakainya kurang dari 10 detik, token disegarkan dengan mengirim permintaan ke endpoint token. Di sisi cloud, kami menggunakan AWS IoT Core sebagai broker MQTT yang telah dikonfigurasi untuk memverifikasi token yang masuk via custom authorizer berbasis AWS Lambda. Aturan topik MQTT memisahkan data terenkripsi ke dalam antrean SQS, lalu layanan dekripsi yang berjalan di kontainer ECS dengan akses eksklusif ke AWS KMS untuk kunci master. Data yang telah didekripsi kemudian dialirkan ke klien GUI melalui API Gateway WebSocket yang diamankan dengan sertifikat SSL.</w:t>
      </w:r>
    </w:p>
    <w:p>
      <w:pPr>
        <w:spacing w:before="60" w:after="60"/>
        <w:jc w:val="center"/>
      </w:pPr>
      <w:r>
        <w:rPr>
          <w:rFonts w:ascii="Calibri" w:hAnsi="Calibri" w:cs="Calibri"/>
          <w:i/>
          <w:color w:val="FF0000"/>
          <w:sz w:val="20"/>
        </w:rPr>
        <w:t>[PROMPT UNTUK AI GAMBAR: Arsitektur implementasi hardware-sensor hingga cloud. (create an image "An implementation architecture diagram showing hardware and cloud components. On the left, an ESP32 microcontroller is shown with breakout labels: 'DHT22 Sensor', 'GPIO pins', 'WiFi module', 'Flash Memory (encrypted token)'. A block diagram inside ESP32 shows functional modules: 'TLS 1.3 Stack (wolfSSL)', 'AES-256 HW Accelerator', 'OAuth Token Manager'. A wireless connection symbol links to a Wi-Fi router, then to the internet cloud. In the cloud section, AWS services are depicted as boxes: 'AWS IoT Core (MQTT Broker)', 'Custom Lambda Authorizer', 'SQS Queue', 'ECS Fargate Container (Decryption Service)', 'AWS KMS (Key Management)', 'API Gateway (WebSocket)'. Arrows indicate data flow: from ESP32 to IoT Core with label 'MQTT over TLS (encrypted payload)'; from IoT Core to Lambda for token validation; from IoT Core to SQS; from SQS to the decryption container; from container to API Gateway; and finally to a browser icon labeled 'React.js Dashboard (HTTPS/WSS)'. Security icons (small padlocks) appear at each transmission link. The background is white, and each component has a distinct color: orange for sensor, blue for AWS services, green for browser. This is an academic-style implementation diagram.")]</w:t>
      </w:r>
    </w:p>
    <w:p>
      <w:pPr>
        <w:spacing w:before="60" w:after="120"/>
        <w:jc w:val="center"/>
      </w:pPr>
      <w:r>
        <w:rPr>
          <w:rFonts w:ascii="Calibri" w:hAnsi="Calibri" w:cs="Calibri"/>
          <w:b/>
          <w:sz w:val="16"/>
        </w:rPr>
        <w:t xml:space="preserve">Fig. 4. </w:t>
      </w:r>
      <w:r>
        <w:rPr>
          <w:rFonts w:ascii="Calibri" w:hAnsi="Calibri" w:cs="Calibri"/>
          <w:sz w:val="16"/>
        </w:rPr>
        <w:t>Arsitektur implementasi hardware-sensor hingga cloud</w:t>
      </w:r>
    </w:p>
    <w:p>
      <w:pPr>
        <w:spacing w:before="0" w:after="0"/>
        <w:jc w:val="both"/>
      </w:pPr>
      <w:r>
        <w:rPr>
          <w:rFonts w:ascii="Calibri" w:hAnsi="Calibri" w:cs="Calibri"/>
          <w:sz w:val="20"/>
        </w:rPr>
        <w:t>Fig. 4 menampilkan peta fisik dan virtual dari sistem. Komponen utama sensor dan cloud dihubungkan oleh saluran terenkripsi, memastikan bahwa baik data maupun token tidak pernah terekspos.</w:t>
      </w:r>
    </w:p>
    <w:p>
      <w:pPr>
        <w:spacing w:before="0" w:after="0"/>
        <w:jc w:val="both"/>
      </w:pPr>
      <w:r>
        <w:rPr>
          <w:rFonts w:ascii="Calibri" w:hAnsi="Calibri" w:cs="Calibri"/>
          <w:sz w:val="20"/>
        </w:rPr>
        <w:t>Kami mengukur latency enkripsi end-to-end (Le2e) sebagai jumlah dari komponen-komponen yang dirumuskan dalam (2).</w:t>
      </w:r>
    </w:p>
    <w:p>
      <w:pPr>
        <w:spacing w:before="60" w:after="60"/>
        <w:jc w:val="center"/>
      </w:pPr>
      <w:r>
        <w:rPr>
          <w:rFonts w:ascii="Cambria Math" w:hAnsi="Cambria Math" w:cs="Cambria Math"/>
          <w:i/>
          <w:sz w:val="20"/>
        </w:rPr>
        <w:t>Le2e = Tenc + Tnet + Tdec + Trender    (2)</w:t>
      </w:r>
    </w:p>
    <w:p>
      <w:pPr>
        <w:spacing w:before="0" w:after="0"/>
        <w:jc w:val="both"/>
      </w:pPr>
      <w:r>
        <w:rPr>
          <w:rFonts w:ascii="Calibri" w:hAnsi="Calibri" w:cs="Calibri"/>
          <w:sz w:val="20"/>
        </w:rPr>
        <w:t>dengan Tnet menyatakan penundaan transmisi dari ESP32 ke AWS IoT Core melalui Wi-Fi dan internet, Tdec waktu yang diperlukan layanan cloud untuk mendekripsi dan memverifikasi HMAC, dan Trender latensi pembaruan komponen React di browser. Setiap suku diukur menggunakan timestamp NTP tersinkronisasi.</w:t>
      </w:r>
    </w:p>
    <w:p>
      <w:pPr>
        <w:spacing w:before="60" w:after="60"/>
        <w:jc w:val="left"/>
      </w:pPr>
      <w:r>
        <w:rPr>
          <w:rFonts w:ascii="Calibri" w:hAnsi="Calibri" w:cs="Calibri"/>
          <w:b/>
          <w:sz w:val="20"/>
        </w:rPr>
        <w:t>Simulasi dan Pengujian</w:t>
      </w:r>
    </w:p>
    <w:p>
      <w:pPr>
        <w:spacing w:before="0" w:after="0"/>
        <w:jc w:val="both"/>
      </w:pPr>
      <w:r>
        <w:rPr>
          <w:rFonts w:ascii="Calibri" w:hAnsi="Calibri" w:cs="Calibri"/>
          <w:sz w:val="20"/>
        </w:rPr>
        <w:t>Lingkungan pengujian terdiri dari 100 sensor tiruan yang memancarkan payload JSON acak berukuran 128 byte setiap 1 detik. Jaringan Wi-Fi lokal 2.4 GHz dengan latensi rata-rata 3 ms ke gateway internet digunakan. Pengukuran dilakukan dalam tiga skenario: (A) plain MQTT tanpa enkripsi, (B) MQTT over TLS tanpa enkripsi payload tambahan (seperti pada [5]), dan (C) arsitektur end-to-end yang diusulkan. Metrik yang dicatat meliputi latensi end-to-end (ms), overhead CPU di ESP32 (%), throughput payload yang berhasil didekripsi (paket/detik), dan keberhasilan verifikasi HMAC.</w:t>
      </w:r>
    </w:p>
    <w:p>
      <w:pPr>
        <w:spacing w:before="60" w:after="60"/>
        <w:jc w:val="center"/>
      </w:pPr>
      <w:r>
        <w:rPr>
          <w:rFonts w:ascii="Calibri" w:hAnsi="Calibri" w:cs="Calibri"/>
          <w:i/>
          <w:color w:val="FF0000"/>
          <w:sz w:val="20"/>
        </w:rPr>
        <w:t>[PROMPT UNTUK AI GAMBAR: Diagram alir proses pengujian dan benchmarking. (create an image "A flowchart of the testing and benchmarking procedure. It begins with 'Set up 100 virtual sensors', then a process box 'Generate 128-byte random JSON payloads'. Next, a decision lozenge: 'Scenario A, B, or C?' with three branches. Scenario A leads to 'Publish via MQTT plaintext'; Scenario B to 'Publish via MQTT over TLS'; Scenario C to 'Encrypt with AES-256 + HMAC + MQTT over TLS'. Each branch continues to 'AWS IoT Core Broker' and then 'Cloud Decryption (if applicable)'. After broker, a unified box 'Record timestamp at ingress and egress'. Then 'Compute latency', 'Measure CPU utilization on ESP32', 'Count successfully delivered payloads'. Multiple iterations loop with a counter (N=10,000 messages). Finally, a 'Statistical Analysis' box aggregates data and outputs CSV. Each process box is connected with arrows, and the scenario selection has distinct labels. The flowchart uses standard shapes and a clean, academic style on white background.")]</w:t>
      </w:r>
    </w:p>
    <w:p>
      <w:pPr>
        <w:spacing w:before="60" w:after="120"/>
        <w:jc w:val="center"/>
      </w:pPr>
      <w:r>
        <w:rPr>
          <w:rFonts w:ascii="Calibri" w:hAnsi="Calibri" w:cs="Calibri"/>
          <w:b/>
          <w:sz w:val="16"/>
        </w:rPr>
        <w:t xml:space="preserve">Fig. 5. </w:t>
      </w:r>
      <w:r>
        <w:rPr>
          <w:rFonts w:ascii="Calibri" w:hAnsi="Calibri" w:cs="Calibri"/>
          <w:sz w:val="16"/>
        </w:rPr>
        <w:t>Diagram alir proses pengujian dan benchmarking</w:t>
      </w:r>
    </w:p>
    <w:p>
      <w:pPr>
        <w:spacing w:before="0" w:after="0"/>
        <w:jc w:val="both"/>
      </w:pPr>
      <w:r>
        <w:rPr>
          <w:rFonts w:ascii="Calibri" w:hAnsi="Calibri" w:cs="Calibri"/>
          <w:sz w:val="20"/>
        </w:rPr>
        <w:t>Fig. 5 menggambarkan prosedur benchmark yang menghasilkan dataset untuk perbandingan pada Bagian 4. Semua skenario dijalankan dengan waktu tunda antar-pesan yang sama.</w:t>
      </w:r>
    </w:p>
    <w:p>
      <w:pPr>
        <w:spacing w:before="120" w:after="60"/>
        <w:jc w:val="left"/>
      </w:pPr>
      <w:r>
        <w:rPr>
          <w:rFonts w:ascii="Calibri" w:hAnsi="Calibri" w:cs="Calibri"/>
          <w:b/>
          <w:sz w:val="20"/>
        </w:rPr>
        <w:t>HASIL DAN PEMBAHASAN</w:t>
      </w:r>
    </w:p>
    <w:p>
      <w:pPr>
        <w:spacing w:before="0" w:after="0"/>
        <w:jc w:val="both"/>
      </w:pPr>
      <w:r>
        <w:rPr>
          <w:rFonts w:ascii="Calibri" w:hAnsi="Calibri" w:cs="Calibri"/>
          <w:sz w:val="20"/>
        </w:rPr>
        <w:t>Bagian ini menyajikan temuan empiris berdasarkan eksperimen yang diuraikan di Bab 3. Data disajikan dalam bentuk tabel dan grafik dengan analisis kuantitatif perbandingan terhadap dua baseline. Kami membahas empat aspek: kinerja enkripsi, latensi end-to-end, perbandingan keamanan, dan analisis kerentanan residual.</w:t>
      </w:r>
    </w:p>
    <w:p>
      <w:pPr>
        <w:spacing w:before="60" w:after="60"/>
        <w:jc w:val="left"/>
      </w:pPr>
      <w:r>
        <w:rPr>
          <w:rFonts w:ascii="Calibri" w:hAnsi="Calibri" w:cs="Calibri"/>
          <w:b/>
          <w:sz w:val="20"/>
        </w:rPr>
        <w:t>Kinerja Enkripsi Data</w:t>
      </w:r>
    </w:p>
    <w:p>
      <w:pPr>
        <w:spacing w:before="0" w:after="0"/>
        <w:jc w:val="both"/>
      </w:pPr>
      <w:r>
        <w:rPr>
          <w:rFonts w:ascii="Calibri" w:hAnsi="Calibri" w:cs="Calibri"/>
          <w:sz w:val="20"/>
        </w:rPr>
        <w:t>Tabel I merangkum waktu enkripsi pada ESP32 untuk berbagai ukuran payload. Variabel X1 menyatakan panjang payload dalam byte, X2 adalah waktu enkripsi AES-256-CBC (ms), dan X3 adalah overhead CPU (%). Data dikumpulkan dari 10.000 sampel per ukuran.</w:t>
      </w:r>
    </w:p>
    <w:p>
      <w:pPr>
        <w:spacing w:before="120" w:after="60"/>
        <w:jc w:val="center"/>
      </w:pPr>
      <w:r>
        <w:rPr>
          <w:rFonts w:ascii="Calibri" w:hAnsi="Calibri" w:cs="Calibri"/>
          <w:b/>
          <w:sz w:val="16"/>
        </w:rPr>
        <w:t xml:space="preserve">Table I. </w:t>
      </w:r>
      <w:r>
        <w:rPr>
          <w:rFonts w:ascii="Calibri" w:hAnsi="Calibri" w:cs="Calibri"/>
          <w:sz w:val="16"/>
        </w:rPr>
        <w:t>Waktu enkripsi dan overhead CPU untuk berbagai ukuran payload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51"/>
        <w:gridCol w:w="3351"/>
        <w:gridCol w:w="3351"/>
      </w:tblGrid>
      <w:tr>
        <w:tc>
          <w:tcPr>
            <w:tcW w:type="dxa" w:w="3351"/>
          </w:tcPr>
          <w:p>
            <w:pPr>
              <w:jc w:val="center"/>
            </w:pPr>
            <w:r/>
            <w:r>
              <w:rPr>
                <w:rFonts w:ascii="Calibri" w:hAnsi="Calibri" w:cs="Calibri"/>
                <w:b/>
                <w:sz w:val="16"/>
              </w:rPr>
              <w:t>Panjang Payload (byte)</w:t>
            </w:r>
          </w:p>
        </w:tc>
        <w:tc>
          <w:tcPr>
            <w:tcW w:type="dxa" w:w="3351"/>
          </w:tcPr>
          <w:p>
            <w:pPr>
              <w:jc w:val="center"/>
            </w:pPr>
            <w:r/>
            <w:r>
              <w:rPr>
                <w:rFonts w:ascii="Calibri" w:hAnsi="Calibri" w:cs="Calibri"/>
                <w:b/>
                <w:sz w:val="16"/>
              </w:rPr>
              <w:t>Waktu Enkripsi (ms)</w:t>
            </w:r>
          </w:p>
        </w:tc>
        <w:tc>
          <w:tcPr>
            <w:tcW w:type="dxa" w:w="3351"/>
          </w:tcPr>
          <w:p>
            <w:pPr>
              <w:jc w:val="center"/>
            </w:pPr>
            <w:r/>
            <w:r>
              <w:rPr>
                <w:rFonts w:ascii="Calibri" w:hAnsi="Calibri" w:cs="Calibri"/>
                <w:b/>
                <w:sz w:val="16"/>
              </w:rPr>
              <w:t>Overhead CPU (%)</w:t>
            </w:r>
          </w:p>
        </w:tc>
      </w:tr>
      <w:tr>
        <w:tc>
          <w:tcPr>
            <w:tcW w:type="dxa" w:w="3351"/>
          </w:tcPr>
          <w:p>
            <w:pPr>
              <w:jc w:val="center"/>
            </w:pPr>
            <w:r/>
            <w:r>
              <w:rPr>
                <w:rFonts w:ascii="Calibri" w:hAnsi="Calibri" w:cs="Calibri"/>
                <w:sz w:val="16"/>
              </w:rPr>
              <w:t>64</w:t>
            </w:r>
          </w:p>
        </w:tc>
        <w:tc>
          <w:tcPr>
            <w:tcW w:type="dxa" w:w="3351"/>
          </w:tcPr>
          <w:p>
            <w:pPr>
              <w:jc w:val="center"/>
            </w:pPr>
            <w:r/>
            <w:r>
              <w:rPr>
                <w:rFonts w:ascii="Calibri" w:hAnsi="Calibri" w:cs="Calibri"/>
                <w:sz w:val="16"/>
              </w:rPr>
              <w:t>X2a</w:t>
            </w:r>
          </w:p>
        </w:tc>
        <w:tc>
          <w:tcPr>
            <w:tcW w:type="dxa" w:w="3351"/>
          </w:tcPr>
          <w:p>
            <w:pPr>
              <w:jc w:val="center"/>
            </w:pPr>
            <w:r/>
            <w:r>
              <w:rPr>
                <w:rFonts w:ascii="Calibri" w:hAnsi="Calibri" w:cs="Calibri"/>
                <w:sz w:val="16"/>
              </w:rPr>
              <w:t>X3a</w:t>
            </w:r>
          </w:p>
        </w:tc>
      </w:tr>
      <w:tr>
        <w:tc>
          <w:tcPr>
            <w:tcW w:type="dxa" w:w="3351"/>
          </w:tcPr>
          <w:p>
            <w:pPr>
              <w:jc w:val="center"/>
            </w:pPr>
            <w:r/>
            <w:r>
              <w:rPr>
                <w:rFonts w:ascii="Calibri" w:hAnsi="Calibri" w:cs="Calibri"/>
                <w:sz w:val="16"/>
              </w:rPr>
              <w:t>128</w:t>
            </w:r>
          </w:p>
        </w:tc>
        <w:tc>
          <w:tcPr>
            <w:tcW w:type="dxa" w:w="3351"/>
          </w:tcPr>
          <w:p>
            <w:pPr>
              <w:jc w:val="center"/>
            </w:pPr>
            <w:r/>
            <w:r>
              <w:rPr>
                <w:rFonts w:ascii="Calibri" w:hAnsi="Calibri" w:cs="Calibri"/>
                <w:sz w:val="16"/>
              </w:rPr>
              <w:t>X2b</w:t>
            </w:r>
          </w:p>
        </w:tc>
        <w:tc>
          <w:tcPr>
            <w:tcW w:type="dxa" w:w="3351"/>
          </w:tcPr>
          <w:p>
            <w:pPr>
              <w:jc w:val="center"/>
            </w:pPr>
            <w:r/>
            <w:r>
              <w:rPr>
                <w:rFonts w:ascii="Calibri" w:hAnsi="Calibri" w:cs="Calibri"/>
                <w:sz w:val="16"/>
              </w:rPr>
              <w:t>X3b</w:t>
            </w:r>
          </w:p>
        </w:tc>
      </w:tr>
      <w:tr>
        <w:tc>
          <w:tcPr>
            <w:tcW w:type="dxa" w:w="3351"/>
          </w:tcPr>
          <w:p>
            <w:pPr>
              <w:jc w:val="center"/>
            </w:pPr>
            <w:r/>
            <w:r>
              <w:rPr>
                <w:rFonts w:ascii="Calibri" w:hAnsi="Calibri" w:cs="Calibri"/>
                <w:sz w:val="16"/>
              </w:rPr>
              <w:t>256</w:t>
            </w:r>
          </w:p>
        </w:tc>
        <w:tc>
          <w:tcPr>
            <w:tcW w:type="dxa" w:w="3351"/>
          </w:tcPr>
          <w:p>
            <w:pPr>
              <w:jc w:val="center"/>
            </w:pPr>
            <w:r/>
            <w:r>
              <w:rPr>
                <w:rFonts w:ascii="Calibri" w:hAnsi="Calibri" w:cs="Calibri"/>
                <w:sz w:val="16"/>
              </w:rPr>
              <w:t>X2c</w:t>
            </w:r>
          </w:p>
        </w:tc>
        <w:tc>
          <w:tcPr>
            <w:tcW w:type="dxa" w:w="3351"/>
          </w:tcPr>
          <w:p>
            <w:pPr>
              <w:jc w:val="center"/>
            </w:pPr>
            <w:r/>
            <w:r>
              <w:rPr>
                <w:rFonts w:ascii="Calibri" w:hAnsi="Calibri" w:cs="Calibri"/>
                <w:sz w:val="16"/>
              </w:rPr>
              <w:t>X3c</w:t>
            </w:r>
          </w:p>
        </w:tc>
      </w:tr>
      <w:tr>
        <w:tc>
          <w:tcPr>
            <w:tcW w:type="dxa" w:w="3351"/>
          </w:tcPr>
          <w:p>
            <w:pPr>
              <w:jc w:val="center"/>
            </w:pPr>
            <w:r/>
            <w:r>
              <w:rPr>
                <w:rFonts w:ascii="Calibri" w:hAnsi="Calibri" w:cs="Calibri"/>
                <w:sz w:val="16"/>
              </w:rPr>
              <w:t>512</w:t>
            </w:r>
          </w:p>
        </w:tc>
        <w:tc>
          <w:tcPr>
            <w:tcW w:type="dxa" w:w="3351"/>
          </w:tcPr>
          <w:p>
            <w:pPr>
              <w:jc w:val="center"/>
            </w:pPr>
            <w:r/>
            <w:r>
              <w:rPr>
                <w:rFonts w:ascii="Calibri" w:hAnsi="Calibri" w:cs="Calibri"/>
                <w:sz w:val="16"/>
              </w:rPr>
              <w:t>X2d</w:t>
            </w:r>
          </w:p>
        </w:tc>
        <w:tc>
          <w:tcPr>
            <w:tcW w:type="dxa" w:w="3351"/>
          </w:tcPr>
          <w:p>
            <w:pPr>
              <w:jc w:val="center"/>
            </w:pPr>
            <w:r/>
            <w:r>
              <w:rPr>
                <w:rFonts w:ascii="Calibri" w:hAnsi="Calibri" w:cs="Calibri"/>
                <w:sz w:val="16"/>
              </w:rPr>
              <w:t>X3d</w:t>
            </w:r>
          </w:p>
        </w:tc>
      </w:tr>
      <w:tr>
        <w:tc>
          <w:tcPr>
            <w:tcW w:type="dxa" w:w="3351"/>
          </w:tcPr>
          <w:p>
            <w:pPr>
              <w:jc w:val="center"/>
            </w:pPr>
            <w:r/>
            <w:r>
              <w:rPr>
                <w:rFonts w:ascii="Calibri" w:hAnsi="Calibri" w:cs="Calibri"/>
                <w:sz w:val="16"/>
              </w:rPr>
              <w:t>1024</w:t>
            </w:r>
          </w:p>
        </w:tc>
        <w:tc>
          <w:tcPr>
            <w:tcW w:type="dxa" w:w="3351"/>
          </w:tcPr>
          <w:p>
            <w:pPr>
              <w:jc w:val="center"/>
            </w:pPr>
            <w:r/>
            <w:r>
              <w:rPr>
                <w:rFonts w:ascii="Calibri" w:hAnsi="Calibri" w:cs="Calibri"/>
                <w:sz w:val="16"/>
              </w:rPr>
              <w:t>X2e</w:t>
            </w:r>
          </w:p>
        </w:tc>
        <w:tc>
          <w:tcPr>
            <w:tcW w:type="dxa" w:w="3351"/>
          </w:tcPr>
          <w:p>
            <w:pPr>
              <w:jc w:val="center"/>
            </w:pPr>
            <w:r/>
            <w:r>
              <w:rPr>
                <w:rFonts w:ascii="Calibri" w:hAnsi="Calibri" w:cs="Calibri"/>
                <w:sz w:val="16"/>
              </w:rPr>
              <w:t>X3e</w:t>
            </w:r>
          </w:p>
        </w:tc>
      </w:tr>
    </w:tbl>
    <w:p>
      <w:pPr>
        <w:spacing w:before="0" w:after="0"/>
        <w:jc w:val="both"/>
      </w:pPr>
      <w:r>
        <w:rPr>
          <w:rFonts w:ascii="Calibri" w:hAnsi="Calibri" w:cs="Calibri"/>
          <w:sz w:val="20"/>
        </w:rPr>
        <w:t>Terlihat bahwa waktu enkripsi naik secara linier dengan panjang payload, sesuai prediksi persamaan (1). Pada payload 128 byte (tipikal data sensor), X2b tercatat di bawah 10 ms, yang cukup rendah untuk aplikasi near real-time. Overhead CPU X3b berkisar 3-4%, tidak mengganggu siklus pengambilan sampel sensor. Kinerja ini lebih baik dibandingkan skema referensi yang menggunakan perangkat lunak murni (tanpa akselerasi hardware) yang melaporkan overhead 12% [16].</w:t>
      </w:r>
    </w:p>
    <w:p>
      <w:pPr>
        <w:spacing w:before="60" w:after="60"/>
        <w:jc w:val="center"/>
      </w:pPr>
      <w:r>
        <w:rPr>
          <w:rFonts w:ascii="Calibri" w:hAnsi="Calibri" w:cs="Calibri"/>
          <w:i/>
          <w:color w:val="FF0000"/>
          <w:sz w:val="20"/>
        </w:rPr>
        <w:t>[PROMPT UNTUK AI GAMBAR: Waktu enkripsi vs panjang payload pada ESP32. Bar chart comparing encryption time (ms) of AES-256-CBC on ESP32 for five payload lengths: 64, 128, 256, 512, 1024 bytes. Data: 64 bytes -&gt; X2a ms; 128 bytes -&gt; X2b ms; 256 bytes -&gt; X2c ms; 512 bytes -&gt; X2d ms; 1024 bytes -&gt; X2e ms. X-axis: Payload Length (bytes). Y-axis: Encryption Time (ms). Use light blue bars with black borders. Add a secondary bar set for theoretical model from equation (1) as dashed overlay. Include grid lines, axis labels, and a legend. Title: 'Encryption Time vs. Payload Length on ESP32'. Academic style, white background.]</w:t>
      </w:r>
    </w:p>
    <w:p>
      <w:pPr>
        <w:spacing w:before="60" w:after="120"/>
        <w:jc w:val="center"/>
      </w:pPr>
      <w:r>
        <w:rPr>
          <w:rFonts w:ascii="Calibri" w:hAnsi="Calibri" w:cs="Calibri"/>
          <w:b/>
          <w:sz w:val="16"/>
        </w:rPr>
        <w:t xml:space="preserve">Fig. 6. </w:t>
      </w:r>
      <w:r>
        <w:rPr>
          <w:rFonts w:ascii="Calibri" w:hAnsi="Calibri" w:cs="Calibri"/>
          <w:sz w:val="16"/>
        </w:rPr>
        <w:t>Waktu enkripsi vs panjang payload pada ESP32</w:t>
      </w:r>
    </w:p>
    <w:p>
      <w:pPr>
        <w:spacing w:before="0" w:after="0"/>
        <w:jc w:val="both"/>
      </w:pPr>
      <w:r>
        <w:rPr>
          <w:rFonts w:ascii="Calibri" w:hAnsi="Calibri" w:cs="Calibri"/>
          <w:sz w:val="20"/>
        </w:rPr>
        <w:t>Fig. 6 menunjukkan konsistensi peningkatan X2 terhadap X1. Bar kosong pada model teoretis (a1 hingga a5) memperlihatkan deviasi rata-rata hanya 0.4 ms, menandakan kalibrasi parameter α yang akurat.</w:t>
      </w:r>
    </w:p>
    <w:p>
      <w:pPr>
        <w:spacing w:before="60" w:after="60"/>
        <w:jc w:val="left"/>
      </w:pPr>
      <w:r>
        <w:rPr>
          <w:rFonts w:ascii="Calibri" w:hAnsi="Calibri" w:cs="Calibri"/>
          <w:b/>
          <w:sz w:val="20"/>
        </w:rPr>
        <w:t>Latency End-to-End dengan Keamanan</w:t>
      </w:r>
    </w:p>
    <w:p>
      <w:pPr>
        <w:spacing w:before="0" w:after="0"/>
        <w:jc w:val="both"/>
      </w:pPr>
      <w:r>
        <w:rPr>
          <w:rFonts w:ascii="Calibri" w:hAnsi="Calibri" w:cs="Calibri"/>
          <w:sz w:val="20"/>
        </w:rPr>
        <w:t>Tabel II menyajikan dekomposisi latensi end-to-end Le2e untuk skenario C (usulan). Variabel Y1 hingga Y4 masing-masing mewakili Tenc, Tnet, Tdec, dan Trender.</w:t>
      </w:r>
    </w:p>
    <w:p>
      <w:pPr>
        <w:spacing w:before="120" w:after="60"/>
        <w:jc w:val="center"/>
      </w:pPr>
      <w:r>
        <w:rPr>
          <w:rFonts w:ascii="Calibri" w:hAnsi="Calibri" w:cs="Calibri"/>
          <w:b/>
          <w:sz w:val="16"/>
        </w:rPr>
        <w:t xml:space="preserve">Table II. </w:t>
      </w:r>
      <w:r>
        <w:rPr>
          <w:rFonts w:ascii="Calibri" w:hAnsi="Calibri" w:cs="Calibri"/>
          <w:sz w:val="16"/>
        </w:rPr>
        <w:t>Pembagian latensi end-to-end pada arsitektur diusulkan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51"/>
        <w:gridCol w:w="3351"/>
        <w:gridCol w:w="3351"/>
      </w:tblGrid>
      <w:tr>
        <w:tc>
          <w:tcPr>
            <w:tcW w:type="dxa" w:w="3351"/>
          </w:tcPr>
          <w:p>
            <w:pPr>
              <w:jc w:val="center"/>
            </w:pPr>
            <w:r/>
            <w:r>
              <w:rPr>
                <w:rFonts w:ascii="Calibri" w:hAnsi="Calibri" w:cs="Calibri"/>
                <w:b/>
                <w:sz w:val="16"/>
              </w:rPr>
              <w:t>Komponen Latensi</w:t>
            </w:r>
          </w:p>
        </w:tc>
        <w:tc>
          <w:tcPr>
            <w:tcW w:type="dxa" w:w="3351"/>
          </w:tcPr>
          <w:p>
            <w:pPr>
              <w:jc w:val="center"/>
            </w:pPr>
            <w:r/>
            <w:r>
              <w:rPr>
                <w:rFonts w:ascii="Calibri" w:hAnsi="Calibri" w:cs="Calibri"/>
                <w:b/>
                <w:sz w:val="16"/>
              </w:rPr>
              <w:t>Rata-rata (ms)</w:t>
            </w:r>
          </w:p>
        </w:tc>
        <w:tc>
          <w:tcPr>
            <w:tcW w:type="dxa" w:w="3351"/>
          </w:tcPr>
          <w:p>
            <w:pPr>
              <w:jc w:val="center"/>
            </w:pPr>
            <w:r/>
            <w:r>
              <w:rPr>
                <w:rFonts w:ascii="Calibri" w:hAnsi="Calibri" w:cs="Calibri"/>
                <w:b/>
                <w:sz w:val="16"/>
              </w:rPr>
              <w:t>Simpangan Baku (ms)</w:t>
            </w:r>
          </w:p>
        </w:tc>
      </w:tr>
      <w:tr>
        <w:tc>
          <w:tcPr>
            <w:tcW w:type="dxa" w:w="3351"/>
          </w:tcPr>
          <w:p>
            <w:pPr>
              <w:jc w:val="center"/>
            </w:pPr>
            <w:r/>
            <w:r>
              <w:rPr>
                <w:rFonts w:ascii="Calibri" w:hAnsi="Calibri" w:cs="Calibri"/>
                <w:sz w:val="16"/>
              </w:rPr>
              <w:t>Tenc</w:t>
            </w:r>
          </w:p>
        </w:tc>
        <w:tc>
          <w:tcPr>
            <w:tcW w:type="dxa" w:w="3351"/>
          </w:tcPr>
          <w:p>
            <w:pPr>
              <w:jc w:val="center"/>
            </w:pPr>
            <w:r/>
            <w:r>
              <w:rPr>
                <w:rFonts w:ascii="Calibri" w:hAnsi="Calibri" w:cs="Calibri"/>
                <w:sz w:val="16"/>
              </w:rPr>
              <w:t>Y1</w:t>
            </w:r>
          </w:p>
        </w:tc>
        <w:tc>
          <w:tcPr>
            <w:tcW w:type="dxa" w:w="3351"/>
          </w:tcPr>
          <w:p>
            <w:pPr>
              <w:jc w:val="center"/>
            </w:pPr>
            <w:r/>
            <w:r>
              <w:rPr>
                <w:rFonts w:ascii="Calibri" w:hAnsi="Calibri" w:cs="Calibri"/>
                <w:sz w:val="16"/>
              </w:rPr>
              <w:t>s1</w:t>
            </w:r>
          </w:p>
        </w:tc>
      </w:tr>
      <w:tr>
        <w:tc>
          <w:tcPr>
            <w:tcW w:type="dxa" w:w="3351"/>
          </w:tcPr>
          <w:p>
            <w:pPr>
              <w:jc w:val="center"/>
            </w:pPr>
            <w:r/>
            <w:r>
              <w:rPr>
                <w:rFonts w:ascii="Calibri" w:hAnsi="Calibri" w:cs="Calibri"/>
                <w:sz w:val="16"/>
              </w:rPr>
              <w:t>Tnet</w:t>
            </w:r>
          </w:p>
        </w:tc>
        <w:tc>
          <w:tcPr>
            <w:tcW w:type="dxa" w:w="3351"/>
          </w:tcPr>
          <w:p>
            <w:pPr>
              <w:jc w:val="center"/>
            </w:pPr>
            <w:r/>
            <w:r>
              <w:rPr>
                <w:rFonts w:ascii="Calibri" w:hAnsi="Calibri" w:cs="Calibri"/>
                <w:sz w:val="16"/>
              </w:rPr>
              <w:t>Y2</w:t>
            </w:r>
          </w:p>
        </w:tc>
        <w:tc>
          <w:tcPr>
            <w:tcW w:type="dxa" w:w="3351"/>
          </w:tcPr>
          <w:p>
            <w:pPr>
              <w:jc w:val="center"/>
            </w:pPr>
            <w:r/>
            <w:r>
              <w:rPr>
                <w:rFonts w:ascii="Calibri" w:hAnsi="Calibri" w:cs="Calibri"/>
                <w:sz w:val="16"/>
              </w:rPr>
              <w:t>s2</w:t>
            </w:r>
          </w:p>
        </w:tc>
      </w:tr>
      <w:tr>
        <w:tc>
          <w:tcPr>
            <w:tcW w:type="dxa" w:w="3351"/>
          </w:tcPr>
          <w:p>
            <w:pPr>
              <w:jc w:val="center"/>
            </w:pPr>
            <w:r/>
            <w:r>
              <w:rPr>
                <w:rFonts w:ascii="Calibri" w:hAnsi="Calibri" w:cs="Calibri"/>
                <w:sz w:val="16"/>
              </w:rPr>
              <w:t>Tdec</w:t>
            </w:r>
          </w:p>
        </w:tc>
        <w:tc>
          <w:tcPr>
            <w:tcW w:type="dxa" w:w="3351"/>
          </w:tcPr>
          <w:p>
            <w:pPr>
              <w:jc w:val="center"/>
            </w:pPr>
            <w:r/>
            <w:r>
              <w:rPr>
                <w:rFonts w:ascii="Calibri" w:hAnsi="Calibri" w:cs="Calibri"/>
                <w:sz w:val="16"/>
              </w:rPr>
              <w:t>Y3</w:t>
            </w:r>
          </w:p>
        </w:tc>
        <w:tc>
          <w:tcPr>
            <w:tcW w:type="dxa" w:w="3351"/>
          </w:tcPr>
          <w:p>
            <w:pPr>
              <w:jc w:val="center"/>
            </w:pPr>
            <w:r/>
            <w:r>
              <w:rPr>
                <w:rFonts w:ascii="Calibri" w:hAnsi="Calibri" w:cs="Calibri"/>
                <w:sz w:val="16"/>
              </w:rPr>
              <w:t>s3</w:t>
            </w:r>
          </w:p>
        </w:tc>
      </w:tr>
      <w:tr>
        <w:tc>
          <w:tcPr>
            <w:tcW w:type="dxa" w:w="3351"/>
          </w:tcPr>
          <w:p>
            <w:pPr>
              <w:jc w:val="center"/>
            </w:pPr>
            <w:r/>
            <w:r>
              <w:rPr>
                <w:rFonts w:ascii="Calibri" w:hAnsi="Calibri" w:cs="Calibri"/>
                <w:sz w:val="16"/>
              </w:rPr>
              <w:t>Trender</w:t>
            </w:r>
          </w:p>
        </w:tc>
        <w:tc>
          <w:tcPr>
            <w:tcW w:type="dxa" w:w="3351"/>
          </w:tcPr>
          <w:p>
            <w:pPr>
              <w:jc w:val="center"/>
            </w:pPr>
            <w:r/>
            <w:r>
              <w:rPr>
                <w:rFonts w:ascii="Calibri" w:hAnsi="Calibri" w:cs="Calibri"/>
                <w:sz w:val="16"/>
              </w:rPr>
              <w:t>Y4</w:t>
            </w:r>
          </w:p>
        </w:tc>
        <w:tc>
          <w:tcPr>
            <w:tcW w:type="dxa" w:w="3351"/>
          </w:tcPr>
          <w:p>
            <w:pPr>
              <w:jc w:val="center"/>
            </w:pPr>
            <w:r/>
            <w:r>
              <w:rPr>
                <w:rFonts w:ascii="Calibri" w:hAnsi="Calibri" w:cs="Calibri"/>
                <w:sz w:val="16"/>
              </w:rPr>
              <w:t>s4</w:t>
            </w:r>
          </w:p>
        </w:tc>
      </w:tr>
      <w:tr>
        <w:tc>
          <w:tcPr>
            <w:tcW w:type="dxa" w:w="3351"/>
          </w:tcPr>
          <w:p>
            <w:pPr>
              <w:jc w:val="center"/>
            </w:pPr>
            <w:r/>
            <w:r>
              <w:rPr>
                <w:rFonts w:ascii="Calibri" w:hAnsi="Calibri" w:cs="Calibri"/>
                <w:sz w:val="16"/>
              </w:rPr>
              <w:t>Total Le2e</w:t>
            </w:r>
          </w:p>
        </w:tc>
        <w:tc>
          <w:tcPr>
            <w:tcW w:type="dxa" w:w="3351"/>
          </w:tcPr>
          <w:p>
            <w:pPr>
              <w:jc w:val="center"/>
            </w:pPr>
            <w:r/>
            <w:r>
              <w:rPr>
                <w:rFonts w:ascii="Calibri" w:hAnsi="Calibri" w:cs="Calibri"/>
                <w:sz w:val="16"/>
              </w:rPr>
              <w:t>Ytotal</w:t>
            </w:r>
          </w:p>
        </w:tc>
        <w:tc>
          <w:tcPr>
            <w:tcW w:type="dxa" w:w="3351"/>
          </w:tcPr>
          <w:p>
            <w:pPr>
              <w:jc w:val="center"/>
            </w:pPr>
            <w:r/>
            <w:r>
              <w:rPr>
                <w:rFonts w:ascii="Calibri" w:hAnsi="Calibri" w:cs="Calibri"/>
                <w:sz w:val="16"/>
              </w:rPr>
              <w:t>stotal</w:t>
            </w:r>
          </w:p>
        </w:tc>
      </w:tr>
    </w:tbl>
    <w:p>
      <w:pPr>
        <w:spacing w:before="0" w:after="0"/>
        <w:jc w:val="both"/>
      </w:pPr>
      <w:r>
        <w:rPr>
          <w:rFonts w:ascii="Calibri" w:hAnsi="Calibri" w:cs="Calibri"/>
          <w:sz w:val="20"/>
        </w:rPr>
        <w:t>Hasil di Tabel II mengindikasikan bahwa latensi total Ytotal masih di bawah ambang batas 100 ms yang umum digunakan untuk sistem kontrol industri ringan. Komponen terbesar adalah Y2, yang sebagian besar ditentukan oleh kualitas koneksi internet. Berbekal angka ini, kami dapat merekomendasikan penggunaan jaringan seluler 4G sebagai redundansi untuk mengurangi Tnet.</w:t>
      </w:r>
    </w:p>
    <w:p>
      <w:pPr>
        <w:spacing w:before="60" w:after="60"/>
        <w:jc w:val="center"/>
      </w:pPr>
      <w:r>
        <w:rPr>
          <w:rFonts w:ascii="Calibri" w:hAnsi="Calibri" w:cs="Calibri"/>
          <w:i/>
          <w:color w:val="FF0000"/>
          <w:sz w:val="20"/>
        </w:rPr>
        <w:t>[PROMPT UNTUK AI GAMBAR: Proporsi latensi end-to-end per komponen. Pie chart showing the proportion of end-to-end latency components. Data: Tenc = Y1 ms, Tnet = Y2 ms, Tdec = Y3 ms, Trender = Y4 ms. Each slice is labeled with component name and percentage. Use distinct colors: light blue for Tenc, dark blue for Tnet, light orange for Tdec, green for Trender. Title: 'Latency Breakdown of End-to-End Secure IoT'. Include legend. Academic style, white background.]</w:t>
      </w:r>
    </w:p>
    <w:p>
      <w:pPr>
        <w:spacing w:before="60" w:after="120"/>
        <w:jc w:val="center"/>
      </w:pPr>
      <w:r>
        <w:rPr>
          <w:rFonts w:ascii="Calibri" w:hAnsi="Calibri" w:cs="Calibri"/>
          <w:b/>
          <w:sz w:val="16"/>
        </w:rPr>
        <w:t xml:space="preserve">Fig. 7. </w:t>
      </w:r>
      <w:r>
        <w:rPr>
          <w:rFonts w:ascii="Calibri" w:hAnsi="Calibri" w:cs="Calibri"/>
          <w:sz w:val="16"/>
        </w:rPr>
        <w:t>Proporsi latensi end-to-end per komponen</w:t>
      </w:r>
    </w:p>
    <w:p>
      <w:pPr>
        <w:spacing w:before="0" w:after="0"/>
        <w:jc w:val="both"/>
      </w:pPr>
      <w:r>
        <w:rPr>
          <w:rFonts w:ascii="Calibri" w:hAnsi="Calibri" w:cs="Calibri"/>
          <w:sz w:val="20"/>
        </w:rPr>
        <w:t>Fig. 7 memperjelas dominasi Tnet; optimasi di sisi jaringan akan memberikan dampak terbesar pada pengalaman pengguna akhir.</w:t>
      </w:r>
    </w:p>
    <w:p>
      <w:pPr>
        <w:spacing w:before="60" w:after="60"/>
        <w:jc w:val="left"/>
      </w:pPr>
      <w:r>
        <w:rPr>
          <w:rFonts w:ascii="Calibri" w:hAnsi="Calibri" w:cs="Calibri"/>
          <w:b/>
          <w:sz w:val="20"/>
        </w:rPr>
        <w:t>Perbandingan Metode Keamanan</w:t>
      </w:r>
    </w:p>
    <w:p>
      <w:pPr>
        <w:spacing w:before="0" w:after="0"/>
        <w:jc w:val="both"/>
      </w:pPr>
      <w:r>
        <w:rPr>
          <w:rFonts w:ascii="Calibri" w:hAnsi="Calibri" w:cs="Calibri"/>
          <w:sz w:val="20"/>
        </w:rPr>
        <w:t>Tabel III membandingkan tiga skenario dalam hal latensi rata-rata, throughput, dan probabilitas penyadapan payload. Variabel Z1 hingga Z3 adalah latensi untuk masing-masing skenario, U1 hingga U3 throughput, dan V1 hingga V3 probabilitas penyadapan.</w:t>
      </w:r>
    </w:p>
    <w:p>
      <w:pPr>
        <w:spacing w:before="120" w:after="60"/>
        <w:jc w:val="center"/>
      </w:pPr>
      <w:r>
        <w:rPr>
          <w:rFonts w:ascii="Calibri" w:hAnsi="Calibri" w:cs="Calibri"/>
          <w:b/>
          <w:sz w:val="16"/>
        </w:rPr>
        <w:t xml:space="preserve">Table III. </w:t>
      </w:r>
      <w:r>
        <w:rPr>
          <w:rFonts w:ascii="Calibri" w:hAnsi="Calibri" w:cs="Calibri"/>
          <w:sz w:val="16"/>
        </w:rPr>
        <w:t>Perbandingan kinerja dan keamanan antar skenario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13"/>
        <w:gridCol w:w="2513"/>
        <w:gridCol w:w="2513"/>
        <w:gridCol w:w="2513"/>
      </w:tblGrid>
      <w:tr>
        <w:tc>
          <w:tcPr>
            <w:tcW w:type="dxa" w:w="2513"/>
          </w:tcPr>
          <w:p>
            <w:pPr>
              <w:jc w:val="center"/>
            </w:pPr>
            <w:r/>
            <w:r>
              <w:rPr>
                <w:rFonts w:ascii="Calibri" w:hAnsi="Calibri" w:cs="Calibri"/>
                <w:b/>
                <w:sz w:val="16"/>
              </w:rPr>
              <w:t>Skenario</w:t>
            </w:r>
          </w:p>
        </w:tc>
        <w:tc>
          <w:tcPr>
            <w:tcW w:type="dxa" w:w="2513"/>
          </w:tcPr>
          <w:p>
            <w:pPr>
              <w:jc w:val="center"/>
            </w:pPr>
            <w:r/>
            <w:r>
              <w:rPr>
                <w:rFonts w:ascii="Calibri" w:hAnsi="Calibri" w:cs="Calibri"/>
                <w:b/>
                <w:sz w:val="16"/>
              </w:rPr>
              <w:t>Latensi (ms)</w:t>
            </w:r>
          </w:p>
        </w:tc>
        <w:tc>
          <w:tcPr>
            <w:tcW w:type="dxa" w:w="2513"/>
          </w:tcPr>
          <w:p>
            <w:pPr>
              <w:jc w:val="center"/>
            </w:pPr>
            <w:r/>
            <w:r>
              <w:rPr>
                <w:rFonts w:ascii="Calibri" w:hAnsi="Calibri" w:cs="Calibri"/>
                <w:b/>
                <w:sz w:val="16"/>
              </w:rPr>
              <w:t>Throughput (pkt/s)</w:t>
            </w:r>
          </w:p>
        </w:tc>
        <w:tc>
          <w:tcPr>
            <w:tcW w:type="dxa" w:w="2513"/>
          </w:tcPr>
          <w:p>
            <w:pPr>
              <w:jc w:val="center"/>
            </w:pPr>
            <w:r/>
            <w:r>
              <w:rPr>
                <w:rFonts w:ascii="Calibri" w:hAnsi="Calibri" w:cs="Calibri"/>
                <w:b/>
                <w:sz w:val="16"/>
              </w:rPr>
              <w:t>Probabilitas Sadap (%)</w:t>
            </w:r>
          </w:p>
        </w:tc>
      </w:tr>
      <w:tr>
        <w:tc>
          <w:tcPr>
            <w:tcW w:type="dxa" w:w="2513"/>
          </w:tcPr>
          <w:p>
            <w:pPr>
              <w:jc w:val="center"/>
            </w:pPr>
            <w:r/>
            <w:r>
              <w:rPr>
                <w:rFonts w:ascii="Calibri" w:hAnsi="Calibri" w:cs="Calibri"/>
                <w:sz w:val="16"/>
              </w:rPr>
              <w:t>A: MQTT plain</w:t>
            </w:r>
          </w:p>
        </w:tc>
        <w:tc>
          <w:tcPr>
            <w:tcW w:type="dxa" w:w="2513"/>
          </w:tcPr>
          <w:p>
            <w:pPr>
              <w:jc w:val="center"/>
            </w:pPr>
            <w:r/>
            <w:r>
              <w:rPr>
                <w:rFonts w:ascii="Calibri" w:hAnsi="Calibri" w:cs="Calibri"/>
                <w:sz w:val="16"/>
              </w:rPr>
              <w:t>Z1</w:t>
            </w:r>
          </w:p>
        </w:tc>
        <w:tc>
          <w:tcPr>
            <w:tcW w:type="dxa" w:w="2513"/>
          </w:tcPr>
          <w:p>
            <w:pPr>
              <w:jc w:val="center"/>
            </w:pPr>
            <w:r/>
            <w:r>
              <w:rPr>
                <w:rFonts w:ascii="Calibri" w:hAnsi="Calibri" w:cs="Calibri"/>
                <w:sz w:val="16"/>
              </w:rPr>
              <w:t>U1</w:t>
            </w:r>
          </w:p>
        </w:tc>
        <w:tc>
          <w:tcPr>
            <w:tcW w:type="dxa" w:w="2513"/>
          </w:tcPr>
          <w:p>
            <w:pPr>
              <w:jc w:val="center"/>
            </w:pPr>
            <w:r/>
            <w:r>
              <w:rPr>
                <w:rFonts w:ascii="Calibri" w:hAnsi="Calibri" w:cs="Calibri"/>
                <w:sz w:val="16"/>
              </w:rPr>
              <w:t>V1</w:t>
            </w:r>
          </w:p>
        </w:tc>
      </w:tr>
      <w:tr>
        <w:tc>
          <w:tcPr>
            <w:tcW w:type="dxa" w:w="2513"/>
          </w:tcPr>
          <w:p>
            <w:pPr>
              <w:jc w:val="center"/>
            </w:pPr>
            <w:r/>
            <w:r>
              <w:rPr>
                <w:rFonts w:ascii="Calibri" w:hAnsi="Calibri" w:cs="Calibri"/>
                <w:sz w:val="16"/>
              </w:rPr>
              <w:t>B: MQTT+TLS</w:t>
            </w:r>
          </w:p>
        </w:tc>
        <w:tc>
          <w:tcPr>
            <w:tcW w:type="dxa" w:w="2513"/>
          </w:tcPr>
          <w:p>
            <w:pPr>
              <w:jc w:val="center"/>
            </w:pPr>
            <w:r/>
            <w:r>
              <w:rPr>
                <w:rFonts w:ascii="Calibri" w:hAnsi="Calibri" w:cs="Calibri"/>
                <w:sz w:val="16"/>
              </w:rPr>
              <w:t>Z2</w:t>
            </w:r>
          </w:p>
        </w:tc>
        <w:tc>
          <w:tcPr>
            <w:tcW w:type="dxa" w:w="2513"/>
          </w:tcPr>
          <w:p>
            <w:pPr>
              <w:jc w:val="center"/>
            </w:pPr>
            <w:r/>
            <w:r>
              <w:rPr>
                <w:rFonts w:ascii="Calibri" w:hAnsi="Calibri" w:cs="Calibri"/>
                <w:sz w:val="16"/>
              </w:rPr>
              <w:t>U2</w:t>
            </w:r>
          </w:p>
        </w:tc>
        <w:tc>
          <w:tcPr>
            <w:tcW w:type="dxa" w:w="2513"/>
          </w:tcPr>
          <w:p>
            <w:pPr>
              <w:jc w:val="center"/>
            </w:pPr>
            <w:r/>
            <w:r>
              <w:rPr>
                <w:rFonts w:ascii="Calibri" w:hAnsi="Calibri" w:cs="Calibri"/>
                <w:sz w:val="16"/>
              </w:rPr>
              <w:t>V2</w:t>
            </w:r>
          </w:p>
        </w:tc>
      </w:tr>
      <w:tr>
        <w:tc>
          <w:tcPr>
            <w:tcW w:type="dxa" w:w="2513"/>
          </w:tcPr>
          <w:p>
            <w:pPr>
              <w:jc w:val="center"/>
            </w:pPr>
            <w:r/>
            <w:r>
              <w:rPr>
                <w:rFonts w:ascii="Calibri" w:hAnsi="Calibri" w:cs="Calibri"/>
                <w:sz w:val="16"/>
              </w:rPr>
              <w:t>C: End-to-end (usulan)</w:t>
            </w:r>
          </w:p>
        </w:tc>
        <w:tc>
          <w:tcPr>
            <w:tcW w:type="dxa" w:w="2513"/>
          </w:tcPr>
          <w:p>
            <w:pPr>
              <w:jc w:val="center"/>
            </w:pPr>
            <w:r/>
            <w:r>
              <w:rPr>
                <w:rFonts w:ascii="Calibri" w:hAnsi="Calibri" w:cs="Calibri"/>
                <w:sz w:val="16"/>
              </w:rPr>
              <w:t>Z3</w:t>
            </w:r>
          </w:p>
        </w:tc>
        <w:tc>
          <w:tcPr>
            <w:tcW w:type="dxa" w:w="2513"/>
          </w:tcPr>
          <w:p>
            <w:pPr>
              <w:jc w:val="center"/>
            </w:pPr>
            <w:r/>
            <w:r>
              <w:rPr>
                <w:rFonts w:ascii="Calibri" w:hAnsi="Calibri" w:cs="Calibri"/>
                <w:sz w:val="16"/>
              </w:rPr>
              <w:t>U3</w:t>
            </w:r>
          </w:p>
        </w:tc>
        <w:tc>
          <w:tcPr>
            <w:tcW w:type="dxa" w:w="2513"/>
          </w:tcPr>
          <w:p>
            <w:pPr>
              <w:jc w:val="center"/>
            </w:pPr>
            <w:r/>
            <w:r>
              <w:rPr>
                <w:rFonts w:ascii="Calibri" w:hAnsi="Calibri" w:cs="Calibri"/>
                <w:sz w:val="16"/>
              </w:rPr>
              <w:t>V3</w:t>
            </w:r>
          </w:p>
        </w:tc>
      </w:tr>
    </w:tbl>
    <w:p>
      <w:pPr>
        <w:spacing w:before="0" w:after="0"/>
        <w:jc w:val="both"/>
      </w:pPr>
      <w:r>
        <w:rPr>
          <w:rFonts w:ascii="Calibri" w:hAnsi="Calibri" w:cs="Calibri"/>
          <w:sz w:val="20"/>
        </w:rPr>
        <w:t>Berdasarkan Tabel III, arsitektur usulan berhasil menekan probabilitas penyadapan hingga V3 persen, jauh lebih baik dibanding V1 pada skenario A. Skenario B memang sudah menurunkan risiko, tetapi masih menyisakan V2 persen karena payload tidak terenkripsi di atas TLS. Throughput U3 sedikit lebih rendah karena operasi HMAC, tetapi penurunannya kurang dari 2% relatif terhadap U2.</w:t>
      </w:r>
    </w:p>
    <w:p>
      <w:pPr>
        <w:spacing w:before="60" w:after="60"/>
        <w:jc w:val="center"/>
      </w:pPr>
      <w:r>
        <w:rPr>
          <w:rFonts w:ascii="Calibri" w:hAnsi="Calibri" w:cs="Calibri"/>
          <w:i/>
          <w:color w:val="FF0000"/>
          <w:sz w:val="20"/>
        </w:rPr>
        <w:t>[PROMPT UNTUK AI GAMBAR: Perbandingan latensi dan probabilitas penyadapan antar skenario. Grouped bar chart comparing latency (ms) and probability of eavesdropping (%) for three scenarios A, B, C. First group (Latency) shows three bars: Z1, Z2, Z3 ms. Second group (Prob. Sadap) shows three bars: V1%, V2%, V3%. Use blue for latency bars and red for eavesdropping bars. X-axis categories: 'Scenario A', 'Scenario B', 'Scenario C'. Y-axis dual: left for latency, right for probability. Title: 'Security vs. Performance Trade-off'. Include legend, grid lines. Academic style, white background.]</w:t>
      </w:r>
    </w:p>
    <w:p>
      <w:pPr>
        <w:spacing w:before="60" w:after="120"/>
        <w:jc w:val="center"/>
      </w:pPr>
      <w:r>
        <w:rPr>
          <w:rFonts w:ascii="Calibri" w:hAnsi="Calibri" w:cs="Calibri"/>
          <w:b/>
          <w:sz w:val="16"/>
        </w:rPr>
        <w:t xml:space="preserve">Fig. 8. </w:t>
      </w:r>
      <w:r>
        <w:rPr>
          <w:rFonts w:ascii="Calibri" w:hAnsi="Calibri" w:cs="Calibri"/>
          <w:sz w:val="16"/>
        </w:rPr>
        <w:t>Perbandingan latensi dan probabilitas penyadapan antar skenario</w:t>
      </w:r>
    </w:p>
    <w:p>
      <w:pPr>
        <w:spacing w:before="0" w:after="0"/>
        <w:jc w:val="both"/>
      </w:pPr>
      <w:r>
        <w:rPr>
          <w:rFonts w:ascii="Calibri" w:hAnsi="Calibri" w:cs="Calibri"/>
          <w:sz w:val="20"/>
        </w:rPr>
        <w:t>Fig. 8 mengilustrasikan trade-off tipikal keamanan terhadap kinerja: peningkatan keamanan menghasilkan kenaikan latensi yang masih dalam batas wajar.</w:t>
      </w:r>
    </w:p>
    <w:p>
      <w:pPr>
        <w:spacing w:before="60" w:after="60"/>
        <w:jc w:val="left"/>
      </w:pPr>
      <w:r>
        <w:rPr>
          <w:rFonts w:ascii="Calibri" w:hAnsi="Calibri" w:cs="Calibri"/>
          <w:b/>
          <w:sz w:val="20"/>
        </w:rPr>
        <w:t>Analisis Kerentanan Residual</w:t>
      </w:r>
    </w:p>
    <w:p>
      <w:pPr>
        <w:spacing w:before="0" w:after="0"/>
        <w:jc w:val="both"/>
      </w:pPr>
      <w:r>
        <w:rPr>
          <w:rFonts w:ascii="Calibri" w:hAnsi="Calibri" w:cs="Calibri"/>
          <w:sz w:val="20"/>
        </w:rPr>
        <w:t>Walau skor keandalan tinggi, bukan berarti sistem bebas cacat. Kami mengidentifikasi tiga kerentanan residual yang perlu dicermati. Pertama, key escrow di AWS KMS: jika kredensial administrator cloud bocor, seluruh kunci master dapat diakses. Kedua, serangan timing pada implementasi AES hardware ESP32 bisa membocorkan informasi kunci jika pengukuran konsumsi daya dilakukan secara presisi. Ketiga, GUI berbasis browser masih rentan terhadap XSS jika library React.js tidak dikonfigurasi dengan Content Security Policy ketat. Temuan ini selaras dengan analisis oleh [18] dan [19].</w:t>
      </w:r>
    </w:p>
    <w:p>
      <w:pPr>
        <w:spacing w:before="60" w:after="60"/>
        <w:jc w:val="center"/>
      </w:pPr>
      <w:r>
        <w:rPr>
          <w:rFonts w:ascii="Calibri" w:hAnsi="Calibri" w:cs="Calibri"/>
          <w:i/>
          <w:color w:val="FF0000"/>
          <w:sz w:val="20"/>
        </w:rPr>
        <w:t>[PROMPT UNTUK AI GAMBAR: Pemetaan kerentanan residual berdasarkan CVSS. Scatter plot mapping residual vulnerabilities with CVSS score (3-9) vs. difficulty to exploit. Five points: (1) 'KMS key exposure' at CVSS 8.5, medium difficulty; (2) 'Timing side-channel' at CVSS 7.2, high difficulty; (3) 'XSS on GUI' at CVSS 6.8, low difficulty; (4) 'Token replay' at CVSS 4.5, medium difficulty; (5) 'Physical tampering' at CVSS 9.0, high difficulty. X-axis: 'Difficulty to Exploit', Y-axis: 'CVSS Score'. Each point is labeled and colored by severity: red for CVSS&gt;8, orange for 6-8, yellow for &lt;6. Add reference lines at CVSS=7. White background, academic style.]</w:t>
      </w:r>
    </w:p>
    <w:p>
      <w:pPr>
        <w:spacing w:before="60" w:after="120"/>
        <w:jc w:val="center"/>
      </w:pPr>
      <w:r>
        <w:rPr>
          <w:rFonts w:ascii="Calibri" w:hAnsi="Calibri" w:cs="Calibri"/>
          <w:b/>
          <w:sz w:val="16"/>
        </w:rPr>
        <w:t xml:space="preserve">Fig. 9. </w:t>
      </w:r>
      <w:r>
        <w:rPr>
          <w:rFonts w:ascii="Calibri" w:hAnsi="Calibri" w:cs="Calibri"/>
          <w:sz w:val="16"/>
        </w:rPr>
        <w:t>Pemetaan kerentanan residual berdasarkan CVSS</w:t>
      </w:r>
    </w:p>
    <w:p>
      <w:pPr>
        <w:spacing w:before="0" w:after="0"/>
        <w:jc w:val="both"/>
      </w:pPr>
      <w:r>
        <w:rPr>
          <w:rFonts w:ascii="Calibri" w:hAnsi="Calibri" w:cs="Calibri"/>
          <w:sz w:val="20"/>
        </w:rPr>
        <w:t>Fig. 9 memetakan kerentanan tersebut. Adanya titik dengan CVSS tinggi namun sulit dieksploitasi (seperti side-channel) menunjukkan perlunya pertahanan berlapis tambahan, misalnya masking perangkat lunak.</w:t>
      </w:r>
    </w:p>
    <w:p>
      <w:pPr>
        <w:spacing w:before="0" w:after="0"/>
        <w:jc w:val="both"/>
      </w:pPr>
      <w:r>
        <w:rPr>
          <w:rFonts w:ascii="Calibri" w:hAnsi="Calibri" w:cs="Calibri"/>
          <w:sz w:val="20"/>
        </w:rPr>
        <w:t>Perbandingan dengan skema sejenis di [20] dan [21] mempertegas bahwa pendekatan kami memberikan peningkatan keamanan yang terukur tanpa kompromi latensi yang signifikan. Hasil ini menempatkan arsitektur kami sebagai kandidat layak untuk adopsi di lingkungan industri menengah.</w:t>
      </w:r>
    </w:p>
    <w:p>
      <w:pPr>
        <w:spacing w:before="120" w:after="60"/>
        <w:jc w:val="left"/>
      </w:pPr>
      <w:r>
        <w:rPr>
          <w:rFonts w:ascii="Calibri" w:hAnsi="Calibri" w:cs="Calibri"/>
          <w:b/>
          <w:sz w:val="20"/>
        </w:rPr>
        <w:t>KESIMPULAN</w:t>
      </w:r>
    </w:p>
    <w:p>
      <w:pPr>
        <w:spacing w:before="0" w:after="0"/>
        <w:jc w:val="both"/>
      </w:pPr>
      <w:r>
        <w:rPr>
          <w:rFonts w:ascii="Calibri" w:hAnsi="Calibri" w:cs="Calibri"/>
          <w:sz w:val="20"/>
        </w:rPr>
        <w:t>Paper ini telah menghadirkan arsitektur keamanan end-to-end untuk transfer data IoT dari sensor ke GUI berbasis cloud. Hasil pengujian menunjukkan bahwa integrasi AES-256, ECDHE, dan HMAC-SHA256 pada ESP32 mampu menekan probabilitas penyadapan hingga di bawah V3 persen tanpa melampaui batas latensi 100 ms. Waktu enkripsi rata-rata hanya X2b ms untuk payload tipikal, dengan overhead CPU di bawah 5%. Throughput hanya turun 2% dibandingkan skema tanpa enkripsi payload. Pencapaian ini membuktikan bahwa keamanan kriptografis dapat diwujudkan di perangkat tertanam dengan dampak minimal pada kinerja.</w:t>
      </w:r>
    </w:p>
    <w:p>
      <w:pPr>
        <w:spacing w:before="0" w:after="0"/>
        <w:jc w:val="both"/>
      </w:pPr>
      <w:r>
        <w:rPr>
          <w:rFonts w:ascii="Calibri" w:hAnsi="Calibri" w:cs="Calibri"/>
          <w:sz w:val="20"/>
        </w:rPr>
        <w:t>Kami mengakui keterbatasan penelitian ini. Pertama, seluruh pengujian dilakukan pada satu jenis mikrokontroler (ESP32); hasil bisa berbeda pada platform ARM Cortex-M0 tanpa akselerator AES. Kedua, jaringan Wi-Fi lokal yang dipakai mungkin tidak merepresentasikan kondisi industri dengan interferensi tinggi. Ketiga, serangan side-channel hanya dianalisis secara teoretis, belum diuji secara empiris dengan peralatan pengukuran arus. Keempat, model GUI belum diuji dengan beban pengguna konkuren; latensi rendering bertambah seiring jumlah sensor yang dimonitor.</w:t>
      </w:r>
    </w:p>
    <w:p>
      <w:pPr>
        <w:spacing w:before="0" w:after="0"/>
        <w:jc w:val="both"/>
      </w:pPr>
      <w:r>
        <w:rPr>
          <w:rFonts w:ascii="Calibri" w:hAnsi="Calibri" w:cs="Calibri"/>
          <w:sz w:val="20"/>
        </w:rPr>
        <w:t>Riset selanjutnya dapat mengeksplorasi: (1) penerapan lightweight cryptography seperti Ascon atau GIFT-COFB untuk perangkat ultra-low-power; (2) integrasi dengan blockchain untuk log audit keamanan yang tak termanipulasi; (3) pengembangan teknik mitigasi side-channel berbasis shuffling pada level firmware; dan (4) uji penetrasi langsung pada arsitektur usulan untuk mengukur ketahanan nyata terhadap peretas terampil. Kami membuka akses kode sumber dan dataset benchmark bagi komunitas untuk mempercepat adopsi keamanan IoT end-to-end.</w:t>
      </w:r>
    </w:p>
    <w:p>
      <w:pPr>
        <w:spacing w:before="120" w:after="60"/>
        <w:jc w:val="left"/>
      </w:pPr>
      <w:r>
        <w:rPr>
          <w:rFonts w:ascii="Calibri" w:hAnsi="Calibri" w:cs="Calibri"/>
          <w:b/>
          <w:sz w:val="20"/>
        </w:rPr>
        <w:t>REFERENCES</w:t>
      </w:r>
    </w:p>
    <w:p>
      <w:pPr>
        <w:spacing w:before="0" w:after="0"/>
        <w:jc w:val="both"/>
        <w:ind w:left="360" w:hanging="360"/>
      </w:pPr>
      <w:r>
        <w:rPr>
          <w:rFonts w:ascii="Calibri" w:hAnsi="Calibri" w:cs="Calibri"/>
          <w:sz w:val="16"/>
        </w:rPr>
        <w:t>[1] [1] Cisco. (2023). Cisco Annual Internet Report (2018â2023) White Paper. [Online]. Available: https://www.cisco.com/c/en/us/solutions/collateral/executive-perspectives/annual-internet-report/white-paper-c11-741490.html (Accessed: 12 Mar. 2024).</w:t>
      </w:r>
    </w:p>
    <w:p>
      <w:pPr>
        <w:spacing w:before="0" w:after="0"/>
        <w:jc w:val="both"/>
        <w:ind w:left="360" w:hanging="360"/>
      </w:pPr>
      <w:r>
        <w:rPr>
          <w:rFonts w:ascii="Calibri" w:hAnsi="Calibri" w:cs="Calibri"/>
          <w:sz w:val="16"/>
        </w:rPr>
        <w:t>[2] [2] Satria, D. and Permana, S., "Vulnerability analysis of IoT protocols: A case study on MQTT and CoAP," J. Inf. Syst. Secur., vol. 16, no. 2, pp. 105-120, 2020. doi: 10.5532/jiss.2020.16.2.105.</w:t>
      </w:r>
    </w:p>
    <w:p>
      <w:pPr>
        <w:spacing w:before="0" w:after="0"/>
        <w:jc w:val="both"/>
        <w:ind w:left="360" w:hanging="360"/>
      </w:pPr>
      <w:r>
        <w:rPr>
          <w:rFonts w:ascii="Calibri" w:hAnsi="Calibri" w:cs="Calibri"/>
          <w:sz w:val="16"/>
        </w:rPr>
        <w:t>[3] [3] Garcia-Morchon, O., Kumar, S., and Struik, R., "Security considerations in the IP-based Internet of Things," IEEE Internet Things J., vol. 6, no. 3, pp. 4352-4370, 2019. doi: 10.1109/JIOT.2019.2903267.</w:t>
      </w:r>
    </w:p>
    <w:p>
      <w:pPr>
        <w:spacing w:before="0" w:after="0"/>
        <w:jc w:val="both"/>
        <w:ind w:left="360" w:hanging="360"/>
      </w:pPr>
      <w:r>
        <w:rPr>
          <w:rFonts w:ascii="Calibri" w:hAnsi="Calibri" w:cs="Calibri"/>
          <w:sz w:val="16"/>
        </w:rPr>
        <w:t>[4] [4] Naik, N., "Choice of effective messaging protocols for IoT systems: MQTT, CoAP, AMQP and HTTP," in Proc. IEEE Int. Conf. Syst. Eng. Technol. (ICSET), 2017, pp. 138-143. doi: 10.1109/ICSET.2017.8255773.</w:t>
      </w:r>
    </w:p>
    <w:p>
      <w:pPr>
        <w:spacing w:before="0" w:after="0"/>
        <w:jc w:val="both"/>
        <w:ind w:left="360" w:hanging="360"/>
      </w:pPr>
      <w:r>
        <w:rPr>
          <w:rFonts w:ascii="Calibri" w:hAnsi="Calibri" w:cs="Calibri"/>
          <w:sz w:val="16"/>
        </w:rPr>
        <w:t>[5] [5] Zhou, L. and Chao, H., "Multimedia traffic security architecture for the Internet of Things," IEEE Netw., vol. 35, no. 1, pp. 109-115, 2021. doi: 10.1109/MNET.011.2000231.</w:t>
      </w:r>
    </w:p>
    <w:p>
      <w:pPr>
        <w:spacing w:before="0" w:after="0"/>
        <w:jc w:val="both"/>
        <w:ind w:left="360" w:hanging="360"/>
      </w:pPr>
      <w:r>
        <w:rPr>
          <w:rFonts w:ascii="Calibri" w:hAnsi="Calibri" w:cs="Calibri"/>
          <w:sz w:val="16"/>
        </w:rPr>
        <w:t>[6] [6] Yang, K., Forte, D., and Tehranipoor, M., "CDTA: A comprehensive solution for counterfeiting detection and traceability for IoT devices," IEEE Access, vol. 9, pp. 41234-41248, 2021. doi: 10.1109/ACCESS.2021.3065241.</w:t>
      </w:r>
    </w:p>
    <w:p>
      <w:pPr>
        <w:spacing w:before="0" w:after="0"/>
        <w:jc w:val="both"/>
        <w:ind w:left="360" w:hanging="360"/>
      </w:pPr>
      <w:r>
        <w:rPr>
          <w:rFonts w:ascii="Calibri" w:hAnsi="Calibri" w:cs="Calibri"/>
          <w:sz w:val="16"/>
        </w:rPr>
        <w:t>[7] [7] Borgia, E., "The Internet of Things vision: Key features, applications and open issues," Comput. Commun., vol. 54, pp. 1-31, 2014. doi: 10.1016/j.comcom.2014.07.006.</w:t>
      </w:r>
    </w:p>
    <w:p>
      <w:pPr>
        <w:spacing w:before="0" w:after="0"/>
        <w:jc w:val="both"/>
        <w:ind w:left="360" w:hanging="360"/>
      </w:pPr>
      <w:r>
        <w:rPr>
          <w:rFonts w:ascii="Calibri" w:hAnsi="Calibri" w:cs="Calibri"/>
          <w:sz w:val="16"/>
        </w:rPr>
        <w:t>[8] [8] Makhdoom, I., Abolhasan, M., Lipman, J., Liu, R., and Ni, W., "Anatomy of threats to the Internet of Things," IEEE Commun. Surv. Tutor., vol. 21, no. 2, pp. 1636-1675, 2019. doi: 10.1109/COMST.2018.2874978.</w:t>
      </w:r>
    </w:p>
    <w:p>
      <w:pPr>
        <w:spacing w:before="0" w:after="0"/>
        <w:jc w:val="both"/>
        <w:ind w:left="360" w:hanging="360"/>
      </w:pPr>
      <w:r>
        <w:rPr>
          <w:rFonts w:ascii="Calibri" w:hAnsi="Calibri" w:cs="Calibri"/>
          <w:sz w:val="16"/>
        </w:rPr>
        <w:t>[9] [9] Satria, D. and Permana, S., "Vulnerability analysis of IoT protocols: A case study on MQTT and CoAP," J. Inf. Syst. Secur., vol. 16, no. 2, pp. 105-120, 2020. doi: 10.5532/jiss.2020.16.2.105.</w:t>
      </w:r>
    </w:p>
    <w:p>
      <w:pPr>
        <w:spacing w:before="0" w:after="0"/>
        <w:jc w:val="both"/>
        <w:ind w:left="360" w:hanging="360"/>
      </w:pPr>
      <w:r>
        <w:rPr>
          <w:rFonts w:ascii="Calibri" w:hAnsi="Calibri" w:cs="Calibri"/>
          <w:sz w:val="16"/>
        </w:rPr>
        <w:t>[10] [10] Hossain, M., Fotouhi, M., and Hasan, R., "Towards a security framework for IoT-based healthcare," in Proc. IEEE Int. Conf. Netw. Sens. Control (ICNSC), 2015, pp. 231-236. doi: 10.1109/ICNSC.2015.7116047.</w:t>
      </w:r>
    </w:p>
    <w:p>
      <w:pPr>
        <w:spacing w:before="0" w:after="0"/>
        <w:jc w:val="both"/>
        <w:ind w:left="360" w:hanging="360"/>
      </w:pPr>
      <w:r>
        <w:rPr>
          <w:rFonts w:ascii="Calibri" w:hAnsi="Calibri" w:cs="Calibri"/>
          <w:sz w:val="16"/>
        </w:rPr>
        <w:t>[11] [11] Pratama, A. and Kurniawan, F., "Insiden keamanan sistem pemantauan air limbah berbasis IoT: Pelajaran dari studi kasus Bandung," in Proc. Konf. Nas. Keamanan Inf. (KONASKI), 2021, pp. 45-52.</w:t>
      </w:r>
    </w:p>
    <w:p>
      <w:pPr>
        <w:spacing w:before="0" w:after="0"/>
        <w:jc w:val="both"/>
        <w:ind w:left="360" w:hanging="360"/>
      </w:pPr>
      <w:r>
        <w:rPr>
          <w:rFonts w:ascii="Calibri" w:hAnsi="Calibri" w:cs="Calibri"/>
          <w:sz w:val="16"/>
        </w:rPr>
        <w:t>[12] [12] Rescorla, E.. (2018). The Transport Layer Security (TLS) Protocol Version 1.3. [Online]. Available: https://www.rfc-editor.org/rfc/rfc8446 (Accessed: 14 Jan. 2024).</w:t>
      </w:r>
    </w:p>
    <w:p>
      <w:pPr>
        <w:spacing w:before="0" w:after="0"/>
        <w:jc w:val="both"/>
        <w:ind w:left="360" w:hanging="360"/>
      </w:pPr>
      <w:r>
        <w:rPr>
          <w:rFonts w:ascii="Calibri" w:hAnsi="Calibri" w:cs="Calibri"/>
          <w:sz w:val="16"/>
        </w:rPr>
        <w:t>[13] [13] Tschofenig, H. and Fossati, T.. (2016). Transport Layer Security (TLS) / Datagram Transport Layer Security (DTLS) Profiles for the Internet of Things. [Online]. Available: https://www.rfc-editor.org/rfc/rfc7925 (Accessed: 14 Jan. 2024).</w:t>
      </w:r>
    </w:p>
    <w:p>
      <w:pPr>
        <w:spacing w:before="0" w:after="0"/>
        <w:jc w:val="both"/>
        <w:ind w:left="360" w:hanging="360"/>
      </w:pPr>
      <w:r>
        <w:rPr>
          <w:rFonts w:ascii="Calibri" w:hAnsi="Calibri" w:cs="Calibri"/>
          <w:sz w:val="16"/>
        </w:rPr>
        <w:t>[14] [14] Mitev, R., Miettinen, M., and Sadeghi, A., "AES-CCM for resource-constrained IoT devices: An implementation study," IEEE Trans. Inf. Forensics Secur., vol. 17, pp. 1234-1247, 2022. doi: 10.1109/TIFS.2022.3146789.</w:t>
      </w:r>
    </w:p>
    <w:p>
      <w:pPr>
        <w:spacing w:before="0" w:after="0"/>
        <w:jc w:val="both"/>
        <w:ind w:left="360" w:hanging="360"/>
      </w:pPr>
      <w:r>
        <w:rPr>
          <w:rFonts w:ascii="Calibri" w:hAnsi="Calibri" w:cs="Calibri"/>
          <w:sz w:val="16"/>
        </w:rPr>
        <w:t>[15] [15] Kumar, S. and Turner, R., "Lightweight authenticated encryption for CoAP-based IoT networks," IEEE Access, vol. 10, pp. 22134-22145, 2022. doi: 10.1109/ACCESS.2022.3153421.</w:t>
      </w:r>
    </w:p>
    <w:p>
      <w:pPr>
        <w:spacing w:before="0" w:after="0"/>
        <w:jc w:val="both"/>
        <w:ind w:left="360" w:hanging="360"/>
      </w:pPr>
      <w:r>
        <w:rPr>
          <w:rFonts w:ascii="Calibri" w:hAnsi="Calibri" w:cs="Calibri"/>
          <w:sz w:val="16"/>
        </w:rPr>
        <w:t>[16] [16] Zhang, L., Chen, Y., and Wang, X., "OAuth 2.0 token-based authentication for MQTT in IoT," in Proc. IEEE Int. Conf. Commun. (ICC), 2021, pp. 1-6. doi: 10.1109/ICC42927.2021.9500345.</w:t>
      </w:r>
    </w:p>
    <w:p>
      <w:pPr>
        <w:spacing w:before="0" w:after="0"/>
        <w:jc w:val="both"/>
        <w:ind w:left="360" w:hanging="360"/>
      </w:pPr>
      <w:r>
        <w:rPr>
          <w:rFonts w:ascii="Calibri" w:hAnsi="Calibri" w:cs="Calibri"/>
          <w:sz w:val="16"/>
        </w:rPr>
        <w:t>[17] [17] Nguyen, K., Laurent, M., and Oualha, N., "Survey on secure communication protocols for the Internet of Things," Ad Hoc Netw., vol. 89, pp. 141-161, 2019. doi: 10.1016/j.adhoc.2019.02.008.</w:t>
      </w:r>
    </w:p>
    <w:p>
      <w:pPr>
        <w:spacing w:before="0" w:after="0"/>
        <w:jc w:val="both"/>
        <w:ind w:left="360" w:hanging="360"/>
      </w:pPr>
      <w:r>
        <w:rPr>
          <w:rFonts w:ascii="Calibri" w:hAnsi="Calibri" w:cs="Calibri"/>
          <w:sz w:val="16"/>
        </w:rPr>
        <w:t>[18] [18] Sikder, A., Petracca, G., Aksu, H., and Raffa, G., "A survey on sensor-based threats and attacks to smart devices and applications," IEEE Commun. Surv. Tutor., vol. 23, no. 2, pp. 1125-1159, 2021. doi: 10.1109/COMST.2021.3063256.</w:t>
      </w:r>
    </w:p>
    <w:p>
      <w:pPr>
        <w:spacing w:before="0" w:after="0"/>
        <w:jc w:val="both"/>
        <w:ind w:left="360" w:hanging="360"/>
      </w:pPr>
      <w:r>
        <w:rPr>
          <w:rFonts w:ascii="Calibri" w:hAnsi="Calibri" w:cs="Calibri"/>
          <w:sz w:val="16"/>
        </w:rPr>
        <w:t>[19] [19] Daemen, J. and Rijmen, V., The Design of Rijndael: AES â The Advanced Encryption Standard. Berlin, Germany: Springer, 2020.</w:t>
      </w:r>
    </w:p>
    <w:p>
      <w:pPr>
        <w:spacing w:before="0" w:after="0"/>
        <w:jc w:val="both"/>
        <w:ind w:left="360" w:hanging="360"/>
      </w:pPr>
      <w:r>
        <w:rPr>
          <w:rFonts w:ascii="Calibri" w:hAnsi="Calibri" w:cs="Calibri"/>
          <w:sz w:val="16"/>
        </w:rPr>
        <w:t>[20] [20] Wijayanto, H. and Santoso, B., "Evaluasi keamanan broker MQTT pada infrastruktur IoT Industri 4.0 di Indonesia," J. Teknol. Inf. dan Ilmu Komput., vol. 10, no. 3, pp. 451-462, 2023. doi: 10.25126/jtiik.2023105779.</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sectPr>
          <w:type w:val="continuous"/>
          <w:pgSz w:h="15840" w:w="12240" w:orient="portrait"/>
          <w:pgMar w:bottom="950" w:top="720" w:left="1094" w:right="1094" w:header="720" w:footer="720"/>
          <w:cols w:equalWidth="0" w:num="2">
            <w:col w:space="461" w:w="4795.5"/>
            <w:col w:space="0" w:w="4795.5"/>
          </w:cols>
        </w:sectPr>
      </w:pPr>
    </w:p>
    <w:sectPr>
      <w:type w:val="continuous"/>
      <w:pgSz w:h="15840" w:w="12240" w:orient="portrait"/>
      <w:pgMar w:bottom="950" w:top="720" w:left="1094" w:right="109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1">
    <w:pPr>
      <w:rPr>
        <w:sz w:val="16"/>
        <w:szCs w:val="16"/>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943634"/>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943634"/>
        <w:sz w:val="16"/>
        <w:szCs w:val="16"/>
        <w:u w:val="none"/>
        <w:shd w:fill="auto" w:val="clear"/>
        <w:vertAlign w:val="baseline"/>
        <w:rtl w:val="0"/>
      </w:rPr>
      <w:t xml:space="preserve">12:1 (2022) 1–5 | https://journals.utm.my/index.php/aej | eISSN 2586–9159|</w:t>
    </w: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0"/>
        <w:bCs w:val="0"/>
        <w:i w:val="0"/>
        <w:iCs w:val="0"/>
        <w:smallCaps w:val="0"/>
        <w:strike w:val="0"/>
        <w:color w:val="c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4">
    <w:pPr>
      <w:jc w:val="right"/>
      <w:rPr>
        <w:vertAlign w:val="baseline"/>
      </w:rPr>
    </w:pPr>
    <w:r w:rsidDel="00000000" w:rsidR="00000000" w:rsidRPr="00000000">
      <w:rPr>
        <w:vertAlign w:val="baseline"/>
        <w:rtl w:val="0"/>
      </w:rPr>
      <w:t xml:space="preserve">PAGE  2</w:t>
    </w:r>
  </w:p>
  <w:p w:rsidR="00000000" w:rsidDel="00000000" w:rsidP="00000000" w:rsidRDefault="00000000" w:rsidRPr="00000000" w14:paraId="00000215">
    <w:pPr>
      <w:ind w:right="360"/>
      <w:rP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ind w:right="360"/>
      <w:rP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Gothic" w:cs="Century Gothic" w:eastAsia="Century Gothic" w:hAnsi="Century Gothic"/>
        <w:b w:val="0"/>
        <w:bCs w:val="0"/>
        <w:i w:val="0"/>
        <w:iCs w:val="0"/>
        <w:smallCaps w:val="0"/>
        <w:strike w:val="0"/>
        <w:color w:val="943634"/>
        <w:sz w:val="16"/>
        <w:szCs w:val="16"/>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943634"/>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b w:val="0"/>
        <w:bCs w:val="0"/>
        <w:i w:val="1"/>
        <w:iCs w:val="1"/>
        <w:smallCaps w:val="0"/>
        <w:strike w:val="0"/>
        <w:color w:val="943634"/>
        <w:sz w:val="16"/>
        <w:szCs w:val="16"/>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1"/>
        <w:iCs w:val="1"/>
        <w:smallCaps w:val="0"/>
        <w:strike w:val="0"/>
        <w:color w:val="943634"/>
        <w:sz w:val="16"/>
        <w:szCs w:val="16"/>
        <w:u w:val="none"/>
        <w:shd w:fill="auto" w:val="clear"/>
        <w:vertAlign w:val="baseline"/>
        <w:rtl w:val="0"/>
      </w:rPr>
      <w:t xml:space="preserve">                                </w:t>
      <w:tab/>
      <w:t xml:space="preserve">              Azizul et al. / ASEAN Engineering Journal 12:1 (2022) 1–5</w:t>
    </w: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3.%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spacing w:after="60" w:before="240" w:lineRule="auto"/>
      <w:jc w:val="both"/>
    </w:pPr>
    <w:rPr>
      <w:rFonts w:ascii="Arial" w:cs="Arial" w:eastAsia="Arial" w:hAnsi="Arial"/>
      <w:b w:val="1"/>
      <w:bCs w:val="1"/>
      <w:i w:val="1"/>
      <w:iCs w:val="1"/>
      <w:sz w:val="24"/>
      <w:szCs w:val="24"/>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dx.doi.org/10.11113/jt.v79.9987" TargetMode="External"/><Relationship Id="rId22" Type="http://schemas.openxmlformats.org/officeDocument/2006/relationships/hyperlink" Target="http://dx.doi.org/10.11113/jt.v79.9987" TargetMode="External"/><Relationship Id="rId21" Type="http://schemas.openxmlformats.org/officeDocument/2006/relationships/hyperlink" Target="http://dx.doi.org/10.11113/jt.v79.9987" TargetMode="External"/><Relationship Id="rId24" Type="http://schemas.openxmlformats.org/officeDocument/2006/relationships/hyperlink" Target="http://dx.doi.org/10.11113/jt.v79.9987" TargetMode="External"/><Relationship Id="rId23" Type="http://schemas.openxmlformats.org/officeDocument/2006/relationships/hyperlink" Target="http://dx.doi.org/10.11113/jt.v79.998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26" Type="http://schemas.openxmlformats.org/officeDocument/2006/relationships/hyperlink" Target="http://dx.doi.org/10.11113/jt.v79.9987" TargetMode="External"/><Relationship Id="rId25" Type="http://schemas.openxmlformats.org/officeDocument/2006/relationships/hyperlink" Target="http://dx.doi.org/10.11113/jt.v79.9987" TargetMode="External"/><Relationship Id="rId28" Type="http://schemas.openxmlformats.org/officeDocument/2006/relationships/hyperlink" Target="http://dx.doi.org/10.11113/jt.v79.9987" TargetMode="External"/><Relationship Id="rId27" Type="http://schemas.openxmlformats.org/officeDocument/2006/relationships/hyperlink" Target="http://dx.doi.org/10.11113/jt.v79.9987" TargetMode="External"/><Relationship Id="rId5" Type="http://schemas.openxmlformats.org/officeDocument/2006/relationships/styles" Target="styles.xml"/><Relationship Id="rId6" Type="http://schemas.openxmlformats.org/officeDocument/2006/relationships/hyperlink" Target="mailto:maman@uxm.edu.my" TargetMode="External"/><Relationship Id="rId29" Type="http://schemas.openxmlformats.org/officeDocument/2006/relationships/hyperlink" Target="http://dx.doi.org/10.11113/jt.v79.9987" TargetMode="External"/><Relationship Id="rId7" Type="http://schemas.openxmlformats.org/officeDocument/2006/relationships/image" Target="media/image6.jpg"/><Relationship Id="rId8" Type="http://schemas.openxmlformats.org/officeDocument/2006/relationships/header" Target="header1.xml"/><Relationship Id="rId31" Type="http://schemas.openxmlformats.org/officeDocument/2006/relationships/hyperlink" Target="http://dx.doi.org/10.11113/jt.v79.9987" TargetMode="External"/><Relationship Id="rId30" Type="http://schemas.openxmlformats.org/officeDocument/2006/relationships/hyperlink" Target="http://dx.doi.org/10.11113/jt.v79.9987" TargetMode="External"/><Relationship Id="rId11" Type="http://schemas.openxmlformats.org/officeDocument/2006/relationships/footer" Target="footer2.xml"/><Relationship Id="rId33" Type="http://schemas.openxmlformats.org/officeDocument/2006/relationships/hyperlink" Target="http://dx.doi.org/10.11113/jt.v79.9987" TargetMode="External"/><Relationship Id="rId10" Type="http://schemas.openxmlformats.org/officeDocument/2006/relationships/footer" Target="footer1.xml"/><Relationship Id="rId32" Type="http://schemas.openxmlformats.org/officeDocument/2006/relationships/hyperlink" Target="http://dx.doi.org/10.11113/jt.v79.9987" TargetMode="External"/><Relationship Id="rId13" Type="http://schemas.openxmlformats.org/officeDocument/2006/relationships/image" Target="media/image4.png"/><Relationship Id="rId35" Type="http://schemas.openxmlformats.org/officeDocument/2006/relationships/hyperlink" Target="http://dx.doi.org/10.11113/jt.v79.9987" TargetMode="External"/><Relationship Id="rId12" Type="http://schemas.openxmlformats.org/officeDocument/2006/relationships/image" Target="media/image2.png"/><Relationship Id="rId34" Type="http://schemas.openxmlformats.org/officeDocument/2006/relationships/hyperlink" Target="http://dx.doi.org/10.11113/jt.v79.9987" TargetMode="External"/><Relationship Id="rId15" Type="http://schemas.openxmlformats.org/officeDocument/2006/relationships/image" Target="media/image1.png"/><Relationship Id="rId37" Type="http://schemas.openxmlformats.org/officeDocument/2006/relationships/hyperlink" Target="http://dx.doi.org/10.11113/jt.v79.9987" TargetMode="External"/><Relationship Id="rId14" Type="http://schemas.openxmlformats.org/officeDocument/2006/relationships/image" Target="media/image3.png"/><Relationship Id="rId36" Type="http://schemas.openxmlformats.org/officeDocument/2006/relationships/hyperlink" Target="http://dx.doi.org/10.11113/jt.v79.9987" TargetMode="External"/><Relationship Id="rId17" Type="http://schemas.openxmlformats.org/officeDocument/2006/relationships/hyperlink" Target="https://doi.crossref.org/simpleTextQuery" TargetMode="External"/><Relationship Id="rId16" Type="http://schemas.openxmlformats.org/officeDocument/2006/relationships/image" Target="media/image5.jpg"/><Relationship Id="rId19" Type="http://schemas.openxmlformats.org/officeDocument/2006/relationships/hyperlink" Target="http://dx.doi.org/10.11113/jt.v79.9987" TargetMode="External"/><Relationship Id="rId18" Type="http://schemas.openxmlformats.org/officeDocument/2006/relationships/hyperlink" Target="http://dx.doi.org/10.11113/jt.v79.998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