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40" w:lineRule="auto"/>
        <w:jc w:val="center"/>
      </w:pPr>
      <w:r>
        <w:rPr>
          <w:rFonts w:ascii="Times New Roman" w:hAnsi="Times New Roman" w:eastAsia="Times New Roman" w:cs="Times New Roman"/>
          <w:b/>
          <w:i w:val="0"/>
          <w:sz w:val="24"/>
        </w:rPr>
        <w:t>Machine Learning Applications in Healthcare: A Comprehensive Review</w:t>
      </w:r>
    </w:p>
    <w:p>
      <w:pPr>
        <w:spacing w:before="0" w:after="0" w:line="240" w:lineRule="auto"/>
        <w:jc w:val="center"/>
      </w:pPr>
      <w:r>
        <w:rPr>
          <w:rFonts w:ascii="Times New Roman" w:hAnsi="Times New Roman" w:eastAsia="Times New Roman" w:cs="Times New Roman"/>
          <w:b w:val="0"/>
          <w:i w:val="0"/>
          <w:sz w:val="24"/>
        </w:rPr>
        <w:t>John Smith,</w:t>
      </w: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Jane Doe,</w:t>
      </w:r>
      <w:r>
        <w:rPr>
          <w:rFonts w:ascii="Times New Roman" w:hAnsi="Times New Roman" w:eastAsia="Times New Roman" w:cs="Times New Roman"/>
          <w:b w:val="0"/>
          <w:i w:val="0"/>
          <w:sz w:val="24"/>
          <w:vertAlign w:val="superscript"/>
        </w:rPr>
        <w:t>2</w:t>
      </w:r>
    </w:p>
    <w:p>
      <w:pPr>
        <w:spacing w:before="0" w:after="0" w:line="240" w:lineRule="auto"/>
        <w:jc w:val="center"/>
      </w:pPr>
      <w:r>
        <w:rPr>
          <w:rFonts w:ascii="Times New Roman" w:hAnsi="Times New Roman" w:eastAsia="Times New Roman" w:cs="Times New Roman"/>
          <w:b w:val="0"/>
          <w:i w:val="0"/>
          <w:sz w:val="24"/>
          <w:vertAlign w:val="superscript"/>
        </w:rPr>
        <w:t>1</w:t>
      </w:r>
      <w:r>
        <w:rPr>
          <w:rFonts w:ascii="Times New Roman" w:hAnsi="Times New Roman" w:eastAsia="Times New Roman" w:cs="Times New Roman"/>
          <w:b w:val="0"/>
          <w:i w:val="0"/>
          <w:sz w:val="24"/>
        </w:rPr>
        <w:t xml:space="preserve"> Department of Computer Science, University of Technology, New York, USA</w:t>
      </w:r>
    </w:p>
    <w:p>
      <w:pPr>
        <w:spacing w:before="0" w:after="0" w:line="240" w:lineRule="auto"/>
        <w:jc w:val="center"/>
      </w:pPr>
      <w:r>
        <w:rPr>
          <w:rFonts w:ascii="Times New Roman" w:hAnsi="Times New Roman" w:eastAsia="Times New Roman" w:cs="Times New Roman"/>
          <w:b w:val="0"/>
          <w:i w:val="0"/>
          <w:sz w:val="24"/>
          <w:vertAlign w:val="superscript"/>
        </w:rPr>
        <w:t>2</w:t>
      </w:r>
      <w:r>
        <w:rPr>
          <w:rFonts w:ascii="Times New Roman" w:hAnsi="Times New Roman" w:eastAsia="Times New Roman" w:cs="Times New Roman"/>
          <w:b w:val="0"/>
          <w:i w:val="0"/>
          <w:sz w:val="24"/>
        </w:rPr>
        <w:t xml:space="preserve"> School of Medicine, Medical University, Boston, USA</w:t>
      </w:r>
    </w:p>
    <w:p>
      <w:pPr>
        <w:spacing w:before="0" w:after="0" w:line="240" w:lineRule="auto"/>
        <w:jc w:val="center"/>
      </w:pPr>
      <w:r>
        <w:rPr>
          <w:rFonts w:ascii="Times New Roman" w:hAnsi="Times New Roman" w:eastAsia="Times New Roman" w:cs="Times New Roman"/>
          <w:b w:val="0"/>
          <w:i/>
          <w:sz w:val="24"/>
        </w:rPr>
        <w:t xml:space="preserve">Email: </w:t>
      </w:r>
      <w:r>
        <w:rPr>
          <w:rFonts w:ascii="Times New Roman" w:hAnsi="Times New Roman" w:eastAsia="Times New Roman" w:cs="Times New Roman"/>
          <w:b w:val="0"/>
          <w:i/>
          <w:sz w:val="24"/>
        </w:rPr>
        <w:t>john.smith@university.edu, jane.doe@meduni.edu</w:t>
      </w:r>
    </w:p>
    <w:p>
      <w:pPr>
        <w:spacing w:before="0" w:after="0" w:line="240" w:lineRule="auto"/>
        <w:jc w:val="both"/>
      </w:pPr>
      <w:r>
        <w:rPr>
          <w:rFonts w:ascii="Times New Roman" w:hAnsi="Times New Roman" w:eastAsia="Times New Roman" w:cs="Times New Roman"/>
          <w:b w:val="0"/>
          <w:i w:val="0"/>
          <w:sz w:val="24"/>
        </w:rPr>
      </w:r>
    </w:p>
    <w:p>
      <w:pPr>
        <w:spacing w:before="0" w:after="0" w:line="240" w:lineRule="auto"/>
        <w:jc w:val="center"/>
      </w:pPr>
      <w:r>
        <w:rPr>
          <w:rFonts w:ascii="Times New Roman" w:hAnsi="Times New Roman" w:eastAsia="Times New Roman" w:cs="Times New Roman"/>
          <w:b/>
          <w:i/>
          <w:sz w:val="24"/>
        </w:rPr>
        <w:t>Abstract</w:t>
      </w:r>
    </w:p>
    <w:p>
      <w:pPr>
        <w:spacing w:before="0" w:after="0" w:line="240" w:lineRule="auto"/>
        <w:jc w:val="both"/>
      </w:pPr>
      <w:r>
        <w:rPr>
          <w:rFonts w:ascii="Times New Roman" w:hAnsi="Times New Roman" w:eastAsia="Times New Roman" w:cs="Times New Roman"/>
          <w:b w:val="0"/>
          <w:i/>
          <w:sz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0" w:after="0" w:line="240" w:lineRule="auto"/>
        <w:jc w:val="both"/>
      </w:pPr>
      <w:r>
        <w:rPr>
          <w:rFonts w:ascii="Times New Roman" w:hAnsi="Times New Roman" w:eastAsia="Times New Roman" w:cs="Times New Roman"/>
          <w:b/>
          <w:i/>
          <w:sz w:val="24"/>
        </w:rPr>
        <w:t xml:space="preserve">Keywords: </w:t>
      </w:r>
      <w:r>
        <w:rPr>
          <w:rFonts w:ascii="Times New Roman" w:hAnsi="Times New Roman" w:eastAsia="Times New Roman" w:cs="Times New Roman"/>
          <w:b/>
          <w:i/>
          <w:sz w:val="24"/>
        </w:rPr>
        <w:t>machine learning, healthcare, deep learning, medical imaging, predictive analytics, clinical decision support</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sz w:val="24"/>
        </w:rPr>
        <w:t>Introduction</w:t>
      </w:r>
    </w:p>
    <w:p>
      <w:pPr>
        <w:spacing w:before="0" w:after="0" w:line="240" w:lineRule="auto"/>
        <w:ind w:firstLine="720"/>
        <w:jc w:val="both"/>
      </w:pPr>
      <w:r>
        <w:rPr>
          <w:rFonts w:ascii="Times New Roman" w:hAnsi="Times New Roman" w:eastAsia="Times New Roman" w:cs="Times New Roman"/>
          <w:b w:val="0"/>
          <w:i w:val="0"/>
          <w:sz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240" w:lineRule="auto"/>
        <w:ind w:firstLine="720"/>
        <w:jc w:val="both"/>
      </w:pPr>
      <w:r>
        <w:rPr>
          <w:rFonts w:ascii="Times New Roman" w:hAnsi="Times New Roman" w:eastAsia="Times New Roman" w:cs="Times New Roman"/>
          <w:b w:val="0"/>
          <w:i w:val="0"/>
          <w:sz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60" w:after="60" w:line="240" w:lineRule="auto"/>
        <w:jc w:val="both"/>
      </w:pPr>
      <w:r>
        <w:rPr>
          <w:rFonts w:ascii="Times New Roman" w:hAnsi="Times New Roman" w:eastAsia="Times New Roman" w:cs="Times New Roman"/>
          <w:b/>
          <w:i w:val="0"/>
          <w:sz w:val="24"/>
        </w:rPr>
        <w:t>Motivation</w:t>
      </w:r>
    </w:p>
    <w:p>
      <w:pPr>
        <w:spacing w:before="0" w:after="0" w:line="240" w:lineRule="auto"/>
        <w:ind w:firstLine="720"/>
        <w:jc w:val="both"/>
      </w:pPr>
      <w:r>
        <w:rPr>
          <w:rFonts w:ascii="Times New Roman" w:hAnsi="Times New Roman" w:eastAsia="Times New Roman" w:cs="Times New Roman"/>
          <w:b w:val="0"/>
          <w:i w:val="0"/>
          <w:sz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60" w:after="60" w:line="240" w:lineRule="auto"/>
        <w:jc w:val="both"/>
      </w:pPr>
      <w:r>
        <w:rPr>
          <w:rFonts w:ascii="Times New Roman" w:hAnsi="Times New Roman" w:eastAsia="Times New Roman" w:cs="Times New Roman"/>
          <w:b/>
          <w:i w:val="0"/>
          <w:sz w:val="24"/>
        </w:rPr>
        <w:t>Contributions</w:t>
      </w:r>
    </w:p>
    <w:p>
      <w:pPr>
        <w:spacing w:before="0" w:after="0" w:line="240" w:lineRule="auto"/>
        <w:ind w:firstLine="720"/>
        <w:jc w:val="both"/>
      </w:pPr>
      <w:r>
        <w:rPr>
          <w:rFonts w:ascii="Times New Roman" w:hAnsi="Times New Roman" w:eastAsia="Times New Roman" w:cs="Times New Roman"/>
          <w:b w:val="0"/>
          <w:i w:val="0"/>
          <w:sz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60" w:after="60" w:line="240" w:lineRule="auto"/>
        <w:jc w:val="both"/>
      </w:pPr>
      <w:r>
        <w:rPr>
          <w:rFonts w:ascii="Times New Roman" w:hAnsi="Times New Roman" w:eastAsia="Times New Roman" w:cs="Times New Roman"/>
          <w:b/>
          <w:i/>
          <w:sz w:val="24"/>
        </w:rPr>
        <w:t>Background and Related Work</w:t>
      </w:r>
    </w:p>
    <w:p>
      <w:pPr>
        <w:spacing w:before="0" w:after="0" w:line="240" w:lineRule="auto"/>
        <w:ind w:firstLine="720"/>
        <w:jc w:val="both"/>
      </w:pPr>
      <w:r>
        <w:rPr>
          <w:rFonts w:ascii="Times New Roman" w:hAnsi="Times New Roman" w:eastAsia="Times New Roman" w:cs="Times New Roman"/>
          <w:b w:val="0"/>
          <w:i w:val="0"/>
          <w:sz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60" w:after="60" w:line="240" w:lineRule="auto"/>
        <w:jc w:val="both"/>
      </w:pPr>
      <w:r>
        <w:rPr>
          <w:rFonts w:ascii="Times New Roman" w:hAnsi="Times New Roman" w:eastAsia="Times New Roman" w:cs="Times New Roman"/>
          <w:b/>
          <w:i w:val="0"/>
          <w:sz w:val="24"/>
        </w:rPr>
        <w:t>Machine Learning Fundamentals</w:t>
      </w:r>
    </w:p>
    <w:p>
      <w:pPr>
        <w:spacing w:before="0" w:after="0" w:line="240" w:lineRule="auto"/>
        <w:ind w:firstLine="720"/>
        <w:jc w:val="both"/>
      </w:pPr>
      <w:r>
        <w:rPr>
          <w:rFonts w:ascii="Times New Roman" w:hAnsi="Times New Roman" w:eastAsia="Times New Roman" w:cs="Times New Roman"/>
          <w:b w:val="0"/>
          <w:i w:val="0"/>
          <w:sz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60" w:after="60" w:line="240" w:lineRule="auto"/>
        <w:jc w:val="both"/>
      </w:pPr>
      <w:r>
        <w:rPr>
          <w:rFonts w:ascii="Times New Roman" w:hAnsi="Times New Roman" w:eastAsia="Times New Roman" w:cs="Times New Roman"/>
          <w:b/>
          <w:i w:val="0"/>
          <w:sz w:val="24"/>
        </w:rPr>
        <w:t>Healthcare Data Sources</w:t>
      </w:r>
    </w:p>
    <w:p>
      <w:pPr>
        <w:spacing w:before="0" w:after="0" w:line="240" w:lineRule="auto"/>
        <w:ind w:firstLine="720"/>
        <w:jc w:val="both"/>
      </w:pPr>
      <w:r>
        <w:rPr>
          <w:rFonts w:ascii="Times New Roman" w:hAnsi="Times New Roman" w:eastAsia="Times New Roman" w:cs="Times New Roman"/>
          <w:b w:val="0"/>
          <w:i w:val="0"/>
          <w:sz w:val="24"/>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60" w:after="60" w:line="240" w:lineRule="auto"/>
        <w:jc w:val="both"/>
      </w:pPr>
      <w:r>
        <w:rPr>
          <w:rFonts w:ascii="Times New Roman" w:hAnsi="Times New Roman" w:eastAsia="Times New Roman" w:cs="Times New Roman"/>
          <w:b/>
          <w:i/>
          <w:sz w:val="24"/>
        </w:rPr>
        <w:t>Machine Learning Applications</w:t>
      </w:r>
    </w:p>
    <w:p>
      <w:pPr>
        <w:spacing w:before="0" w:after="0" w:line="240" w:lineRule="auto"/>
        <w:ind w:firstLine="720"/>
        <w:jc w:val="both"/>
      </w:pPr>
      <w:r>
        <w:rPr>
          <w:rFonts w:ascii="Times New Roman" w:hAnsi="Times New Roman" w:eastAsia="Times New Roman" w:cs="Times New Roman"/>
          <w:b w:val="0"/>
          <w:i w:val="0"/>
          <w:sz w:val="24"/>
        </w:rPr>
        <w:t>This section reviews major application areas of machine learning in healthcare, organized by clinical domain and task type.</w:t>
      </w:r>
    </w:p>
    <w:p>
      <w:pPr>
        <w:spacing w:before="60" w:after="60" w:line="240" w:lineRule="auto"/>
        <w:jc w:val="both"/>
      </w:pPr>
      <w:r>
        <w:rPr>
          <w:rFonts w:ascii="Times New Roman" w:hAnsi="Times New Roman" w:eastAsia="Times New Roman" w:cs="Times New Roman"/>
          <w:b/>
          <w:i w:val="0"/>
          <w:sz w:val="24"/>
        </w:rPr>
        <w:t>Medical Imaging</w:t>
      </w:r>
    </w:p>
    <w:p>
      <w:pPr>
        <w:spacing w:before="60" w:after="0" w:line="240" w:lineRule="auto"/>
        <w:jc w:val="center"/>
      </w:pPr>
      <w:r>
        <w:rPr>
          <w:rFonts w:ascii="Times New Roman" w:hAnsi="Times New Roman" w:eastAsia="Times New Roman" w:cs="Times New Roman"/>
          <w:b w:val="0"/>
          <w:i/>
          <w:color w:val="FF0000"/>
          <w:sz w:val="24"/>
        </w:rPr>
        <w:t>[PROMPT UNTUK AI GAMBAR: Sample Figure. A diagram showing the system architecture]</w:t>
      </w:r>
    </w:p>
    <w:p>
      <w:pPr>
        <w:spacing w:before="0" w:after="120" w:line="240" w:lineRule="auto"/>
        <w:jc w:val="center"/>
      </w:pPr>
      <w:r>
        <w:rPr>
          <w:rFonts w:ascii="Times New Roman" w:hAnsi="Times New Roman" w:eastAsia="Times New Roman" w:cs="Times New Roman"/>
          <w:b/>
          <w:i w:val="0"/>
          <w:sz w:val="24"/>
        </w:rPr>
        <w:t xml:space="preserve">Gbr. 1. </w:t>
      </w:r>
      <w:r>
        <w:rPr>
          <w:rFonts w:ascii="Times New Roman" w:hAnsi="Times New Roman" w:eastAsia="Times New Roman" w:cs="Times New Roman"/>
          <w:b w:val="0"/>
          <w:i w:val="0"/>
          <w:sz w:val="24"/>
        </w:rPr>
        <w:t>Sample Figure</w:t>
      </w:r>
    </w:p>
    <w:p>
      <w:pPr>
        <w:spacing w:before="0" w:after="0" w:line="240" w:lineRule="auto"/>
        <w:ind w:firstLine="720"/>
        <w:jc w:val="both"/>
      </w:pPr>
      <w:r>
        <w:rPr>
          <w:rFonts w:ascii="Times New Roman" w:hAnsi="Times New Roman" w:eastAsia="Times New Roman" w:cs="Times New Roman"/>
          <w:b w:val="0"/>
          <w:i w:val="0"/>
          <w:sz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60" w:after="60" w:line="240" w:lineRule="auto"/>
        <w:jc w:val="center"/>
      </w:pPr>
      <w:r>
        <w:rPr>
          <w:rFonts w:ascii="Times New Roman" w:hAnsi="Times New Roman" w:eastAsia="Times New Roman" w:cs="Times New Roman"/>
          <w:b w:val="0"/>
          <w:i/>
          <w:sz w:val="24"/>
        </w:rPr>
      </w:r>
      <w:r>
        <w:rPr>
          <w:rFonts w:ascii="Times New Roman" w:hAnsi="Times New Roman" w:eastAsia="Times New Roman" w:cs="Times New Roman"/>
          <w:b w:val="0"/>
          <w:i w:val="0"/>
          <w:sz w:val="24"/>
        </w:rPr>
        <w:t xml:space="preserve">   (1)</w:t>
      </w:r>
    </w:p>
    <w:p>
      <w:pPr>
        <w:spacing w:before="60" w:after="60" w:line="240" w:lineRule="auto"/>
        <w:jc w:val="both"/>
      </w:pPr>
      <w:r>
        <w:rPr>
          <w:rFonts w:ascii="Times New Roman" w:hAnsi="Times New Roman" w:eastAsia="Times New Roman" w:cs="Times New Roman"/>
          <w:b/>
          <w:i w:val="0"/>
          <w:sz w:val="24"/>
        </w:rPr>
        <w:t>Disease Prediction</w:t>
      </w:r>
    </w:p>
    <w:p>
      <w:pPr>
        <w:spacing w:before="0" w:after="0" w:line="240" w:lineRule="auto"/>
        <w:ind w:firstLine="720"/>
        <w:jc w:val="both"/>
      </w:pPr>
      <w:r>
        <w:rPr>
          <w:rFonts w:ascii="Times New Roman" w:hAnsi="Times New Roman" w:eastAsia="Times New Roman" w:cs="Times New Roman"/>
          <w:b w:val="0"/>
          <w:i w:val="0"/>
          <w:sz w:val="24"/>
        </w:rPr>
        <w:t>Predictive models use patient data to forecast disease onset, progression, and outcomes. Random forests, gradient boosting, and neural networks are commonly employed for risk stratification and early warning systems.</w:t>
      </w:r>
    </w:p>
    <w:p>
      <w:pPr>
        <w:spacing w:before="60" w:after="60" w:line="240" w:lineRule="auto"/>
        <w:jc w:val="both"/>
      </w:pPr>
      <w:r>
        <w:rPr>
          <w:rFonts w:ascii="Times New Roman" w:hAnsi="Times New Roman" w:eastAsia="Times New Roman" w:cs="Times New Roman"/>
          <w:b/>
          <w:i w:val="0"/>
          <w:sz w:val="24"/>
        </w:rPr>
        <w:t>Drug Discovery</w:t>
      </w:r>
    </w:p>
    <w:p>
      <w:pPr>
        <w:spacing w:before="0" w:after="0" w:line="240" w:lineRule="auto"/>
        <w:ind w:firstLine="720"/>
        <w:jc w:val="both"/>
      </w:pPr>
      <w:r>
        <w:rPr>
          <w:rFonts w:ascii="Times New Roman" w:hAnsi="Times New Roman" w:eastAsia="Times New Roman" w:cs="Times New Roman"/>
          <w:b w:val="0"/>
          <w:i w:val="0"/>
          <w:sz w:val="24"/>
        </w:rPr>
        <w:t>ML accelerates drug discovery by predicting molecular properties, identifying drug targets, and optimizing compound structures. Deep learning models can screen millions of compounds in silico, significantly reducing time and cost.</w:t>
      </w:r>
    </w:p>
    <w:p>
      <w:pPr>
        <w:spacing w:before="60" w:after="60" w:line="240" w:lineRule="auto"/>
        <w:jc w:val="both"/>
      </w:pPr>
      <w:r>
        <w:rPr>
          <w:rFonts w:ascii="Times New Roman" w:hAnsi="Times New Roman" w:eastAsia="Times New Roman" w:cs="Times New Roman"/>
          <w:b/>
          <w:i/>
          <w:sz w:val="24"/>
        </w:rPr>
        <w:t>Challenges and Limitations</w:t>
      </w:r>
    </w:p>
    <w:p>
      <w:pPr>
        <w:spacing w:before="0" w:after="0" w:line="240" w:lineRule="auto"/>
        <w:ind w:firstLine="720"/>
        <w:jc w:val="both"/>
      </w:pPr>
      <w:r>
        <w:rPr>
          <w:rFonts w:ascii="Times New Roman" w:hAnsi="Times New Roman" w:eastAsia="Times New Roman" w:cs="Times New Roman"/>
          <w:b w:val="0"/>
          <w:i w:val="0"/>
          <w:sz w:val="24"/>
        </w:rPr>
        <w:t>Despite significant progress, several challenges hinder widespread adoption of ML in healthcare.</w:t>
      </w:r>
    </w:p>
    <w:p>
      <w:pPr>
        <w:spacing w:before="60" w:after="60" w:line="240" w:lineRule="auto"/>
        <w:jc w:val="both"/>
      </w:pPr>
      <w:r>
        <w:rPr>
          <w:rFonts w:ascii="Times New Roman" w:hAnsi="Times New Roman" w:eastAsia="Times New Roman" w:cs="Times New Roman"/>
          <w:b/>
          <w:i w:val="0"/>
          <w:sz w:val="24"/>
        </w:rPr>
        <w:t>Data Privacy and Security</w:t>
      </w:r>
    </w:p>
    <w:p>
      <w:pPr>
        <w:spacing w:before="0" w:after="0" w:line="240" w:lineRule="auto"/>
        <w:ind w:firstLine="720"/>
        <w:jc w:val="both"/>
      </w:pPr>
      <w:r>
        <w:rPr>
          <w:rFonts w:ascii="Times New Roman" w:hAnsi="Times New Roman" w:eastAsia="Times New Roman" w:cs="Times New Roman"/>
          <w:b w:val="0"/>
          <w:i w:val="0"/>
          <w:sz w:val="24"/>
        </w:rPr>
        <w:t>Healthcare data is highly sensitive and subject to strict regulations (HIPAA, GDPR). Ensuring privacy while enabling ML model training requires techniques such as federated learning, differential privacy, and secure multi-party computation.</w:t>
      </w:r>
    </w:p>
    <w:p>
      <w:pPr>
        <w:spacing w:before="60" w:after="60" w:line="240" w:lineRule="auto"/>
        <w:jc w:val="both"/>
      </w:pPr>
      <w:r>
        <w:rPr>
          <w:rFonts w:ascii="Times New Roman" w:hAnsi="Times New Roman" w:eastAsia="Times New Roman" w:cs="Times New Roman"/>
          <w:b/>
          <w:i w:val="0"/>
          <w:sz w:val="24"/>
        </w:rPr>
        <w:t>Model Interpretability</w:t>
      </w:r>
    </w:p>
    <w:p>
      <w:pPr>
        <w:spacing w:before="0" w:after="0" w:line="240" w:lineRule="auto"/>
        <w:ind w:firstLine="720"/>
        <w:jc w:val="both"/>
      </w:pPr>
      <w:r>
        <w:rPr>
          <w:rFonts w:ascii="Times New Roman" w:hAnsi="Times New Roman" w:eastAsia="Times New Roman" w:cs="Times New Roman"/>
          <w:b w:val="0"/>
          <w:i w:val="0"/>
          <w:sz w:val="24"/>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60" w:after="60" w:line="240" w:lineRule="auto"/>
        <w:jc w:val="both"/>
      </w:pPr>
      <w:r>
        <w:rPr>
          <w:rFonts w:ascii="Times New Roman" w:hAnsi="Times New Roman" w:eastAsia="Times New Roman" w:cs="Times New Roman"/>
          <w:b/>
          <w:i w:val="0"/>
          <w:sz w:val="24"/>
        </w:rPr>
        <w:t>Clinical Integration</w:t>
      </w:r>
    </w:p>
    <w:p>
      <w:pPr>
        <w:spacing w:before="0" w:after="0" w:line="240" w:lineRule="auto"/>
        <w:ind w:firstLine="720"/>
        <w:jc w:val="both"/>
      </w:pPr>
      <w:r>
        <w:rPr>
          <w:rFonts w:ascii="Times New Roman" w:hAnsi="Times New Roman" w:eastAsia="Times New Roman" w:cs="Times New Roman"/>
          <w:b w:val="0"/>
          <w:i w:val="0"/>
          <w:sz w:val="24"/>
        </w:rPr>
        <w:t>Integrating ML systems into clinical workflows requires careful consideration of usability, validation, and regulatory approval. Models must be robust, reliable, and aligned with clinical practice guidelines.</w:t>
      </w:r>
    </w:p>
    <w:p>
      <w:pPr>
        <w:spacing w:before="60" w:after="60" w:line="240" w:lineRule="auto"/>
        <w:jc w:val="both"/>
      </w:pPr>
      <w:r>
        <w:rPr>
          <w:rFonts w:ascii="Times New Roman" w:hAnsi="Times New Roman" w:eastAsia="Times New Roman" w:cs="Times New Roman"/>
          <w:b/>
          <w:i/>
          <w:sz w:val="24"/>
        </w:rPr>
        <w:t>Future Directions</w:t>
      </w:r>
    </w:p>
    <w:p>
      <w:pPr>
        <w:spacing w:before="0" w:after="0" w:line="240" w:lineRule="auto"/>
        <w:ind w:firstLine="720"/>
        <w:jc w:val="both"/>
      </w:pPr>
      <w:r>
        <w:rPr>
          <w:rFonts w:ascii="Times New Roman" w:hAnsi="Times New Roman" w:eastAsia="Times New Roman" w:cs="Times New Roman"/>
          <w:b w:val="0"/>
          <w:i w:val="0"/>
          <w:sz w:val="24"/>
        </w:rPr>
        <w:t>The future of ML in healthcare is promising, with several emerging trends and research directions.</w:t>
      </w:r>
    </w:p>
    <w:p>
      <w:pPr>
        <w:spacing w:before="60" w:after="60" w:line="240" w:lineRule="auto"/>
        <w:jc w:val="both"/>
      </w:pPr>
      <w:r>
        <w:rPr>
          <w:rFonts w:ascii="Times New Roman" w:hAnsi="Times New Roman" w:eastAsia="Times New Roman" w:cs="Times New Roman"/>
          <w:b/>
          <w:i w:val="0"/>
          <w:sz w:val="24"/>
        </w:rPr>
        <w:t>Federated Learning</w:t>
      </w:r>
    </w:p>
    <w:p>
      <w:pPr>
        <w:spacing w:before="0" w:after="0" w:line="240" w:lineRule="auto"/>
        <w:ind w:firstLine="720"/>
        <w:jc w:val="both"/>
      </w:pPr>
      <w:r>
        <w:rPr>
          <w:rFonts w:ascii="Times New Roman" w:hAnsi="Times New Roman" w:eastAsia="Times New Roman" w:cs="Times New Roman"/>
          <w:b w:val="0"/>
          <w:i w:val="0"/>
          <w:sz w:val="24"/>
        </w:rPr>
        <w:t>Federated learning enables collaborative model training across institutions without sharing raw data, addressing privacy concerns while leveraging diverse datasets.</w:t>
      </w:r>
    </w:p>
    <w:p>
      <w:pPr>
        <w:spacing w:before="60" w:after="60" w:line="240" w:lineRule="auto"/>
        <w:jc w:val="both"/>
      </w:pPr>
      <w:r>
        <w:rPr>
          <w:rFonts w:ascii="Times New Roman" w:hAnsi="Times New Roman" w:eastAsia="Times New Roman" w:cs="Times New Roman"/>
          <w:b/>
          <w:i w:val="0"/>
          <w:sz w:val="24"/>
        </w:rPr>
        <w:t>Multimodal Learning</w:t>
      </w:r>
    </w:p>
    <w:p>
      <w:pPr>
        <w:spacing w:before="0" w:after="0" w:line="240" w:lineRule="auto"/>
        <w:ind w:firstLine="720"/>
        <w:jc w:val="both"/>
      </w:pPr>
      <w:r>
        <w:rPr>
          <w:rFonts w:ascii="Times New Roman" w:hAnsi="Times New Roman" w:eastAsia="Times New Roman" w:cs="Times New Roman"/>
          <w:b w:val="0"/>
          <w:i w:val="0"/>
          <w:sz w:val="24"/>
        </w:rPr>
        <w:t>Integrating multiple data modalities (imaging, genomics, EHRs) can improve diagnostic accuracy and enable more comprehensive patient assessment.</w:t>
      </w:r>
    </w:p>
    <w:p>
      <w:pPr>
        <w:spacing w:before="60" w:after="60" w:line="240" w:lineRule="auto"/>
        <w:jc w:val="both"/>
      </w:pPr>
      <w:r>
        <w:rPr>
          <w:rFonts w:ascii="Times New Roman" w:hAnsi="Times New Roman" w:eastAsia="Times New Roman" w:cs="Times New Roman"/>
          <w:b/>
          <w:i w:val="0"/>
          <w:sz w:val="24"/>
        </w:rPr>
        <w:t>Real-time Clinical Decision Support</w:t>
      </w:r>
    </w:p>
    <w:p>
      <w:pPr>
        <w:spacing w:before="0" w:after="0" w:line="240" w:lineRule="auto"/>
        <w:ind w:firstLine="720"/>
        <w:jc w:val="both"/>
      </w:pPr>
      <w:r>
        <w:rPr>
          <w:rFonts w:ascii="Times New Roman" w:hAnsi="Times New Roman" w:eastAsia="Times New Roman" w:cs="Times New Roman"/>
          <w:b w:val="0"/>
          <w:i w:val="0"/>
          <w:sz w:val="24"/>
        </w:rPr>
        <w:t>Deploying ML models at the point of care can provide real-time recommendations, alerts, and decision support to clinicians, improving patient outcomes and reducing errors.</w:t>
      </w:r>
    </w:p>
    <w:p>
      <w:pPr>
        <w:spacing w:before="60" w:after="60" w:line="240" w:lineRule="auto"/>
        <w:jc w:val="both"/>
      </w:pPr>
      <w:r>
        <w:rPr>
          <w:rFonts w:ascii="Times New Roman" w:hAnsi="Times New Roman" w:eastAsia="Times New Roman" w:cs="Times New Roman"/>
          <w:b/>
          <w:i/>
          <w:sz w:val="24"/>
        </w:rPr>
        <w:t>Conclusion</w:t>
      </w:r>
    </w:p>
    <w:p>
      <w:pPr>
        <w:spacing w:before="0" w:after="0" w:line="240" w:lineRule="auto"/>
        <w:ind w:firstLine="720"/>
        <w:jc w:val="both"/>
      </w:pPr>
      <w:r>
        <w:rPr>
          <w:rFonts w:ascii="Times New Roman" w:hAnsi="Times New Roman" w:eastAsia="Times New Roman" w:cs="Times New Roman"/>
          <w:b w:val="0"/>
          <w:i w:val="0"/>
          <w:sz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0" w:after="0" w:line="240" w:lineRule="auto"/>
        <w:jc w:val="both"/>
      </w:pPr>
      <w:r>
        <w:rPr>
          <w:rFonts w:ascii="Times New Roman" w:hAnsi="Times New Roman" w:eastAsia="Times New Roman" w:cs="Times New Roman"/>
          <w:b w:val="0"/>
          <w:i w:val="0"/>
          <w:sz w:val="24"/>
        </w:rPr>
      </w:r>
    </w:p>
    <w:p>
      <w:pPr>
        <w:spacing w:before="60" w:after="60" w:line="240" w:lineRule="auto"/>
        <w:jc w:val="both"/>
      </w:pPr>
      <w:r>
        <w:rPr>
          <w:rFonts w:ascii="Times New Roman" w:hAnsi="Times New Roman" w:eastAsia="Times New Roman" w:cs="Times New Roman"/>
          <w:b/>
          <w:i w:val="0"/>
          <w:sz w:val="24"/>
        </w:rPr>
        <w:t>REFERENCES</w:t>
      </w:r>
    </w:p>
    <w:p>
      <w:pPr>
        <w:spacing w:before="0" w:after="0" w:line="240" w:lineRule="auto"/>
        <w:ind w:left="567" w:hanging="567"/>
        <w:jc w:val="both"/>
      </w:pPr>
      <w:r>
        <w:rPr>
          <w:rFonts w:ascii="Times New Roman" w:hAnsi="Times New Roman" w:eastAsia="Times New Roman" w:cs="Times New Roman"/>
          <w:b w:val="0"/>
          <w:i w:val="0"/>
          <w:color w:val="000000"/>
          <w:sz w:val="24"/>
        </w:rPr>
        <w:t>[1] Esteva, A., Kuprel, B., Novoa, R. A., Ko, J., Swetter, S. M., Blau, H. M., &amp; Thrun, S. (2017). Dermatologist-level classification of skin cancer with deep neural networks. Nature, 542(7639), 115-118.</w:t>
      </w:r>
    </w:p>
    <w:p>
      <w:pPr>
        <w:spacing w:before="0" w:after="0" w:line="240" w:lineRule="auto"/>
        <w:ind w:left="567" w:hanging="567"/>
        <w:jc w:val="both"/>
      </w:pPr>
      <w:r>
        <w:rPr>
          <w:rFonts w:ascii="Times New Roman" w:hAnsi="Times New Roman" w:eastAsia="Times New Roman" w:cs="Times New Roman"/>
          <w:b w:val="0"/>
          <w:i w:val="0"/>
          <w:color w:val="000000"/>
          <w:sz w:val="24"/>
        </w:rPr>
        <w:t>[2] Rajkomar, A., Dean, J., &amp; Kohane, I. (2019). Machine learning in medicine. New England Journal of Medicine, 380(14), 1347-1358.</w:t>
      </w:r>
    </w:p>
    <w:p>
      <w:pPr>
        <w:spacing w:before="0" w:after="0" w:line="240" w:lineRule="auto"/>
        <w:ind w:left="567" w:hanging="567"/>
        <w:jc w:val="both"/>
      </w:pPr>
      <w:r>
        <w:rPr>
          <w:rFonts w:ascii="Times New Roman" w:hAnsi="Times New Roman" w:eastAsia="Times New Roman" w:cs="Times New Roman"/>
          <w:b w:val="0"/>
          <w:i w:val="0"/>
          <w:color w:val="000000"/>
          <w:sz w:val="24"/>
        </w:rPr>
        <w:t>[3] Topol, E. J. (2019). High-performance medicine: the convergence of human and artificial intelligence. Nature Medicine, 25(1), 44-56.</w:t>
      </w:r>
    </w:p>
    <w:p>
      <w:pPr>
        <w:spacing w:before="0" w:after="0" w:line="240" w:lineRule="auto"/>
        <w:ind w:left="567" w:hanging="567"/>
        <w:jc w:val="both"/>
      </w:pPr>
      <w:r>
        <w:rPr>
          <w:rFonts w:ascii="Times New Roman" w:hAnsi="Times New Roman" w:eastAsia="Times New Roman" w:cs="Times New Roman"/>
          <w:b w:val="0"/>
          <w:i w:val="0"/>
          <w:color w:val="000000"/>
          <w:sz w:val="24"/>
        </w:rPr>
        <w:t>[4] Beam, A. L., &amp; Kohane, I. S. (2018). Big data and machine learning in health care. JAMA, 319(13), 1317-1318.</w:t>
      </w:r>
    </w:p>
    <w:p>
      <w:pPr>
        <w:spacing w:before="0" w:after="0" w:line="240" w:lineRule="auto"/>
        <w:ind w:left="567" w:hanging="567"/>
        <w:jc w:val="both"/>
      </w:pPr>
      <w:r>
        <w:rPr>
          <w:rFonts w:ascii="Times New Roman" w:hAnsi="Times New Roman" w:eastAsia="Times New Roman" w:cs="Times New Roman"/>
          <w:b w:val="0"/>
          <w:i w:val="0"/>
          <w:color w:val="000000"/>
          <w:sz w:val="24"/>
        </w:rPr>
        <w:t>[5] Ching, T., Himmelstein, D. S., Beaulieu-Jones, B. K., Kalinin, A. A., Do, B. T., Way, G. P., ... &amp; Greene, C. S. (2018). Opportunities and obstacles for deep learning in biology and medicine. Journal of The Royal Society Interface, 15(141), 20170387.</w:t>
      </w:r>
    </w:p>
    <w:sectPr>
      <w:headerReference r:id="rId9" w:type="default"/>
      <w:headerReference r:id="rId10" w:type="first"/>
      <w:headerReference r:id="rId11" w:type="even"/>
      <w:footerReference r:id="rId12" w:type="default"/>
      <w:footerReference r:id="rId13" w:type="first"/>
      <w:footerReference r:id="rId14" w:type="even"/>
      <w:pgSz w:h="14181" w:w="9979" w:orient="portrait"/>
      <w:pgMar w:bottom="1134" w:top="1134" w:left="1134" w:right="1134" w:header="709" w:footer="709"/>
      <w:pgNumType w:start="4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Maidin Gultom, </w:t>
      </w:r>
      <w:r w:rsidDel="00000000" w:rsidR="00000000" w:rsidRPr="00000000">
        <w:rPr>
          <w:rFonts w:ascii="Times" w:cs="Times" w:eastAsia="Times" w:hAnsi="Times"/>
          <w:i w:val="1"/>
          <w:iCs w:val="1"/>
          <w:color w:val="000000"/>
          <w:sz w:val="20"/>
          <w:szCs w:val="20"/>
          <w:rtl w:val="0"/>
        </w:rPr>
        <w:t xml:space="preserve">Legal Protection of Children in the Juvenile Criminal Justice System in Indonesia</w:t>
      </w:r>
      <w:r w:rsidDel="00000000" w:rsidR="00000000" w:rsidRPr="00000000">
        <w:rPr>
          <w:rFonts w:ascii="Times" w:cs="Times" w:eastAsia="Times" w:hAnsi="Times"/>
          <w:color w:val="000000"/>
          <w:sz w:val="20"/>
          <w:szCs w:val="20"/>
          <w:rtl w:val="0"/>
        </w:rPr>
        <w:t xml:space="preserve">, (Bandung: Refika Aditama, 2008), p. 1</w:t>
      </w:r>
    </w:p>
  </w:footnote>
  <w:footnote w:id="1">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Isnadul Hamdi, "Ta'aruf and Khitbah Before Marriage," </w:t>
      </w:r>
      <w:r w:rsidDel="00000000" w:rsidR="00000000" w:rsidRPr="00000000">
        <w:rPr>
          <w:rFonts w:ascii="Times" w:cs="Times" w:eastAsia="Times" w:hAnsi="Times"/>
          <w:i w:val="1"/>
          <w:iCs w:val="1"/>
          <w:color w:val="000000"/>
          <w:sz w:val="20"/>
          <w:szCs w:val="20"/>
          <w:rtl w:val="0"/>
        </w:rPr>
        <w:t xml:space="preserve">JURIS (Sharia Scientific Journal)</w:t>
      </w:r>
      <w:r w:rsidDel="00000000" w:rsidR="00000000" w:rsidRPr="00000000">
        <w:rPr>
          <w:rFonts w:ascii="Times" w:cs="Times" w:eastAsia="Times" w:hAnsi="Times"/>
          <w:color w:val="000000"/>
          <w:sz w:val="20"/>
          <w:szCs w:val="20"/>
          <w:rtl w:val="0"/>
        </w:rPr>
        <w:t xml:space="preserve"> 16, no. 1 (2017), p.  43–52.</w:t>
      </w:r>
    </w:p>
  </w:footnote>
  <w:footnote w:id="2">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firstLine="720"/>
        <w:rPr>
          <w:rFonts w:ascii="Times" w:cs="Times" w:eastAsia="Times" w:hAnsi="Times"/>
          <w:color w:val="000000"/>
          <w:sz w:val="20"/>
          <w:szCs w:val="20"/>
        </w:rPr>
      </w:pPr>
      <w:r w:rsidDel="00000000" w:rsidR="00000000" w:rsidRPr="00000000">
        <w:rPr>
          <w:rStyle w:val="FootnoteReference"/>
          <w:vertAlign w:val="superscript"/>
        </w:rPr>
        <w:footnoteRef/>
      </w:r>
      <w:r w:rsidDel="00000000" w:rsidR="00000000" w:rsidRPr="00000000">
        <w:rPr>
          <w:rFonts w:ascii="Times" w:cs="Times" w:eastAsia="Times" w:hAnsi="Times"/>
          <w:color w:val="000000"/>
          <w:sz w:val="20"/>
          <w:szCs w:val="20"/>
          <w:rtl w:val="0"/>
        </w:rPr>
        <w:t xml:space="preserve"> Abdul Bari Awang and Imam Mahdie, "Solicitation or Application, and Its Consequences According to Islamic Law and Islamic Law in Indonesia," </w:t>
      </w:r>
      <w:r w:rsidDel="00000000" w:rsidR="00000000" w:rsidRPr="00000000">
        <w:rPr>
          <w:rFonts w:ascii="Times" w:cs="Times" w:eastAsia="Times" w:hAnsi="Times"/>
          <w:i w:val="1"/>
          <w:iCs w:val="1"/>
          <w:color w:val="000000"/>
          <w:sz w:val="20"/>
          <w:szCs w:val="20"/>
          <w:rtl w:val="0"/>
        </w:rPr>
        <w:t xml:space="preserve">Community Mind</w:t>
      </w:r>
      <w:r w:rsidDel="00000000" w:rsidR="00000000" w:rsidRPr="00000000">
        <w:rPr>
          <w:rFonts w:ascii="Times" w:cs="Times" w:eastAsia="Times" w:hAnsi="Times"/>
          <w:color w:val="000000"/>
          <w:sz w:val="20"/>
          <w:szCs w:val="20"/>
          <w:rtl w:val="0"/>
        </w:rPr>
        <w:t xml:space="preserve"> 6, No. 2 (2018), p.  77–82.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Author Name and Author Name,</w:t>
    </w:r>
    <w:r w:rsidDel="00000000" w:rsidR="00000000" w:rsidRPr="00000000">
      <w:rPr>
        <w:rFonts w:ascii="Times New Roman" w:cs="Times New Roman" w:eastAsia="Times New Roman" w:hAnsi="Times New Roman"/>
        <w:b w:val="1"/>
        <w:bCs w:val="1"/>
        <w:i w:val="1"/>
        <w:iCs w:val="1"/>
        <w:color w:val="000000"/>
        <w:sz w:val="20"/>
        <w:szCs w:val="20"/>
        <w:rtl w:val="0"/>
      </w:rPr>
      <w:t xml:space="preserve"> Article Title </w:t>
    </w:r>
    <w:r w:rsidDel="00000000" w:rsidR="00000000" w:rsidRPr="00000000">
      <w:rPr>
        <w:rFonts w:ascii="Times New Roman" w:cs="Times New Roman" w:eastAsia="Times New Roman" w:hAnsi="Times New Roman"/>
        <w:i w:val="1"/>
        <w:iCs w:val="1"/>
        <w:color w:val="000000"/>
        <w:sz w:val="20"/>
        <w:szCs w:val="20"/>
        <w:rtl w:val="0"/>
      </w:rPr>
      <w:tab/>
    </w: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El-Usrah</w:t>
    </w:r>
    <w:r w:rsidDel="00000000" w:rsidR="00000000" w:rsidRPr="00000000">
      <w:rPr>
        <w:rFonts w:ascii="Times New Roman" w:cs="Times New Roman" w:eastAsia="Times New Roman" w:hAnsi="Times New Roman"/>
        <w:sz w:val="20"/>
        <w:szCs w:val="20"/>
        <w:rtl w:val="0"/>
      </w:rPr>
      <w:t xml:space="preserve">: Jurnal Hukum Keluarga</w:t>
    </w:r>
    <w:r w:rsidDel="00000000" w:rsidR="00000000" w:rsidRPr="00000000">
      <w:drawing>
        <wp:anchor allowOverlap="1" behindDoc="1" distB="0" distT="0" distL="0" distR="0" hidden="0" layoutInCell="1" locked="0" relativeHeight="0" simplePos="0">
          <wp:simplePos x="0" y="0"/>
          <wp:positionH relativeFrom="column">
            <wp:posOffset>428625</wp:posOffset>
          </wp:positionH>
          <wp:positionV relativeFrom="paragraph">
            <wp:posOffset>-189863</wp:posOffset>
          </wp:positionV>
          <wp:extent cx="1094105" cy="109410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94105" cy="1094105"/>
                  </a:xfrm>
                  <a:prstGeom prst="rect"/>
                  <a:ln/>
                </pic:spPr>
              </pic:pic>
            </a:graphicData>
          </a:graphic>
        </wp:anchor>
      </w:drawing>
    </w:r>
  </w:p>
  <w:p w:rsidR="00000000" w:rsidDel="00000000" w:rsidP="00000000" w:rsidRDefault="00000000" w:rsidRPr="00000000" w14:paraId="00000040">
    <w:pPr>
      <w:widowControl w:val="0"/>
      <w:spacing w:after="0" w:line="240" w:lineRule="auto"/>
      <w:ind w:left="2694" w:right="56"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https://jurnal.ar-raniry.ac.id/index.php/usrah/index</w:t>
    </w:r>
    <w:r w:rsidDel="00000000" w:rsidR="00000000" w:rsidRPr="00000000">
      <w:rPr>
        <w:rtl w:val="0"/>
      </w:rPr>
    </w:r>
  </w:p>
  <w:p w:rsidR="00000000" w:rsidDel="00000000" w:rsidP="00000000" w:rsidRDefault="00000000" w:rsidRPr="00000000" w14:paraId="00000041">
    <w:pPr>
      <w:widowControl w:val="0"/>
      <w:spacing w:after="0" w:line="240" w:lineRule="auto"/>
      <w:ind w:left="27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ISSN: 2620 – 8075 ║ E-ISSN: 2620 – 8083</w:t>
    </w:r>
  </w:p>
  <w:p w:rsidR="00000000" w:rsidDel="00000000" w:rsidP="00000000" w:rsidRDefault="00000000" w:rsidRPr="00000000" w14:paraId="00000042">
    <w:pPr>
      <w:widowControl w:val="0"/>
      <w:spacing w:after="0" w:line="240" w:lineRule="auto"/>
      <w:ind w:left="269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 6 No. 1 January- June 2023</w:t>
    </w:r>
  </w:p>
  <w:p w:rsidR="00000000" w:rsidDel="00000000" w:rsidP="00000000" w:rsidRDefault="00000000" w:rsidRPr="00000000" w14:paraId="00000043">
    <w:pPr>
      <w:widowControl w:val="0"/>
      <w:spacing w:after="0" w:line="240" w:lineRule="auto"/>
      <w:rPr>
        <w:rFonts w:ascii="Times New Roman" w:cs="Times New Roman" w:eastAsia="Times New Roman" w:hAnsi="Times New Roman"/>
        <w:b w:val="1"/>
        <w:b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A36B4"/>
    <w:rPr>
      <w:rFonts w:cs="Arial"/>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FootnoteText">
    <w:name w:val="footnote text"/>
    <w:basedOn w:val="Normal"/>
    <w:link w:val="FootnoteTextChar"/>
    <w:uiPriority w:val="99"/>
    <w:unhideWhenUsed w:val="1"/>
    <w:rsid w:val="007A36B4"/>
    <w:pPr>
      <w:spacing w:after="0" w:line="240" w:lineRule="auto"/>
    </w:pPr>
    <w:rPr>
      <w:sz w:val="20"/>
      <w:szCs w:val="20"/>
    </w:rPr>
  </w:style>
  <w:style w:type="character" w:styleId="FootnoteTextChar" w:customStyle="1">
    <w:name w:val="Footnote Text Char"/>
    <w:basedOn w:val="DefaultParagraphFont"/>
    <w:link w:val="FootnoteText"/>
    <w:uiPriority w:val="99"/>
    <w:rsid w:val="007A36B4"/>
    <w:rPr>
      <w:rFonts w:ascii="Calibri" w:cs="Arial" w:eastAsia="Calibri" w:hAnsi="Calibri"/>
      <w:kern w:val="0"/>
      <w:sz w:val="20"/>
      <w:szCs w:val="20"/>
      <w:lang w:val="id-ID"/>
    </w:rPr>
  </w:style>
  <w:style w:type="character" w:styleId="FootnoteReference">
    <w:name w:val="footnote reference"/>
    <w:uiPriority w:val="99"/>
    <w:semiHidden w:val="1"/>
    <w:unhideWhenUsed w:val="1"/>
    <w:rsid w:val="007A36B4"/>
    <w:rPr>
      <w:vertAlign w:val="superscript"/>
    </w:rPr>
  </w:style>
  <w:style w:type="paragraph" w:styleId="Header">
    <w:name w:val="header"/>
    <w:basedOn w:val="Normal"/>
    <w:link w:val="HeaderChar"/>
    <w:uiPriority w:val="99"/>
    <w:unhideWhenUsed w:val="1"/>
    <w:rsid w:val="007A36B4"/>
    <w:pPr>
      <w:tabs>
        <w:tab w:val="center" w:pos="4680"/>
        <w:tab w:val="right" w:pos="9360"/>
      </w:tabs>
    </w:pPr>
  </w:style>
  <w:style w:type="character" w:styleId="HeaderChar" w:customStyle="1">
    <w:name w:val="Header Char"/>
    <w:basedOn w:val="DefaultParagraphFont"/>
    <w:link w:val="Header"/>
    <w:uiPriority w:val="99"/>
    <w:rsid w:val="007A36B4"/>
    <w:rPr>
      <w:rFonts w:ascii="Calibri" w:cs="Arial" w:eastAsia="Calibri" w:hAnsi="Calibri"/>
      <w:kern w:val="0"/>
      <w:lang w:val="id-ID"/>
    </w:rPr>
  </w:style>
  <w:style w:type="paragraph" w:styleId="Footer">
    <w:name w:val="footer"/>
    <w:basedOn w:val="Normal"/>
    <w:link w:val="FooterChar"/>
    <w:uiPriority w:val="99"/>
    <w:unhideWhenUsed w:val="1"/>
    <w:rsid w:val="007A36B4"/>
    <w:pPr>
      <w:tabs>
        <w:tab w:val="center" w:pos="4680"/>
        <w:tab w:val="right" w:pos="9360"/>
      </w:tabs>
    </w:pPr>
  </w:style>
  <w:style w:type="character" w:styleId="FooterChar" w:customStyle="1">
    <w:name w:val="Footer Char"/>
    <w:basedOn w:val="DefaultParagraphFont"/>
    <w:link w:val="Footer"/>
    <w:uiPriority w:val="99"/>
    <w:rsid w:val="007A36B4"/>
    <w:rPr>
      <w:rFonts w:ascii="Calibri" w:cs="Arial" w:eastAsia="Calibri" w:hAnsi="Calibri"/>
      <w:kern w:val="0"/>
      <w:lang w:val="id-ID"/>
    </w:rPr>
  </w:style>
  <w:style w:type="character" w:styleId="Hyperlink">
    <w:name w:val="Hyperlink"/>
    <w:uiPriority w:val="99"/>
    <w:unhideWhenUsed w:val="1"/>
    <w:rsid w:val="007A36B4"/>
    <w:rPr>
      <w:color w:val="0563c1"/>
      <w:u w:val="single"/>
    </w:rPr>
  </w:style>
  <w:style w:type="character" w:styleId="CommentReference">
    <w:name w:val="annotation reference"/>
    <w:basedOn w:val="DefaultParagraphFont"/>
    <w:uiPriority w:val="99"/>
    <w:semiHidden w:val="1"/>
    <w:unhideWhenUsed w:val="1"/>
    <w:rsid w:val="007A36B4"/>
    <w:rPr>
      <w:sz w:val="16"/>
      <w:szCs w:val="16"/>
    </w:rPr>
  </w:style>
  <w:style w:type="paragraph" w:styleId="CommentText">
    <w:name w:val="annotation text"/>
    <w:basedOn w:val="Normal"/>
    <w:link w:val="CommentTextChar"/>
    <w:uiPriority w:val="99"/>
    <w:semiHidden w:val="1"/>
    <w:unhideWhenUsed w:val="1"/>
    <w:rsid w:val="007A36B4"/>
    <w:pPr>
      <w:spacing w:line="240" w:lineRule="auto"/>
    </w:pPr>
    <w:rPr>
      <w:sz w:val="20"/>
      <w:szCs w:val="20"/>
    </w:rPr>
  </w:style>
  <w:style w:type="character" w:styleId="CommentTextChar" w:customStyle="1">
    <w:name w:val="Comment Text Char"/>
    <w:basedOn w:val="DefaultParagraphFont"/>
    <w:link w:val="CommentText"/>
    <w:uiPriority w:val="99"/>
    <w:semiHidden w:val="1"/>
    <w:rsid w:val="007A36B4"/>
    <w:rPr>
      <w:rFonts w:ascii="Calibri" w:cs="Arial" w:eastAsia="Calibri" w:hAnsi="Calibri"/>
      <w:kern w:val="0"/>
      <w:sz w:val="20"/>
      <w:szCs w:val="20"/>
      <w:lang w:val="id-ID"/>
    </w:rPr>
  </w:style>
  <w:style w:type="paragraph" w:styleId="CommentSubject">
    <w:name w:val="annotation subject"/>
    <w:basedOn w:val="CommentText"/>
    <w:next w:val="CommentText"/>
    <w:link w:val="CommentSubjectChar"/>
    <w:uiPriority w:val="99"/>
    <w:semiHidden w:val="1"/>
    <w:unhideWhenUsed w:val="1"/>
    <w:rsid w:val="007A36B4"/>
    <w:rPr>
      <w:b w:val="1"/>
      <w:bCs w:val="1"/>
    </w:rPr>
  </w:style>
  <w:style w:type="character" w:styleId="CommentSubjectChar" w:customStyle="1">
    <w:name w:val="Comment Subject Char"/>
    <w:basedOn w:val="CommentTextChar"/>
    <w:link w:val="CommentSubject"/>
    <w:uiPriority w:val="99"/>
    <w:semiHidden w:val="1"/>
    <w:rsid w:val="007A36B4"/>
    <w:rPr>
      <w:rFonts w:ascii="Calibri" w:cs="Arial" w:eastAsia="Calibri" w:hAnsi="Calibri"/>
      <w:b w:val="1"/>
      <w:bCs w:val="1"/>
      <w:kern w:val="0"/>
      <w:sz w:val="20"/>
      <w:szCs w:val="20"/>
      <w:lang w:val="id-ID"/>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PlaceholderText">
    <w:name w:val="Placeholder Text"/>
    <w:basedOn w:val="DefaultParagraphFont"/>
    <w:uiPriority w:val="99"/>
    <w:semiHidden w:val="1"/>
    <w:rsid w:val="00AD573F"/>
    <w:rPr>
      <w:color w:val="808080"/>
    </w:rPr>
  </w:style>
  <w:style w:type="character" w:styleId="UnresolvedMention">
    <w:name w:val="Unresolved Mention"/>
    <w:basedOn w:val="DefaultParagraphFont"/>
    <w:uiPriority w:val="99"/>
    <w:semiHidden w:val="1"/>
    <w:unhideWhenUsed w:val="1"/>
    <w:rsid w:val="00AD573F"/>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jurnal.elusrah@ar-raniry.ac.id"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m2NfWpPeHTAtanqGs5ECY1sQvw==">CgMxLjA4AHIhMUVLTHlqNDlwLU50SG1XbW96N2M3QW0xOVZob1E4SWxl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2023-07-11T05:24:00Z</dcterms:created>
  <dc:creator>Rahmatul Akbar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3f16682faa30ceac9dc81d07513bf2f0a2f3e2a4773c391aa49977872975ec26</vt:lpwstr>
  </property>
</Properties>
</file>