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22"/>
      </w:tblGrid>
      <w:tr w:rsidR="00EA5DCC" w:rsidRPr="00A96E00" w14:paraId="75E0D899" w14:textId="77777777" w:rsidTr="00512D87">
        <w:trPr>
          <w:trHeight w:val="422"/>
        </w:trPr>
        <w:tc>
          <w:tcPr>
            <w:tcW w:w="10422" w:type="dxa"/>
          </w:tcPr>
          <w:p w14:paraId="049EA196" w14:textId="0DED3AD9" w:rsidR="00EA5DCC" w:rsidRPr="00A96E00" w:rsidRDefault="00EA5DCC" w:rsidP="00EA5D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7"/>
              <w:rPr>
                <w:rFonts w:eastAsiaTheme="minorEastAsia"/>
                <w:color w:val="000000" w:themeColor="text1"/>
                <w:sz w:val="12"/>
                <w:szCs w:val="12"/>
                <w:lang w:val="en-US" w:eastAsia="ko-KR"/>
              </w:rPr>
            </w:pPr>
            <w:r w:rsidRPr="00A96E00">
              <w:rPr>
                <w:rFonts w:eastAsiaTheme="minorEastAsia"/>
                <w:color w:val="000000" w:themeColor="text1"/>
                <w:sz w:val="12"/>
                <w:szCs w:val="12"/>
                <w:lang w:val="en-US" w:eastAsia="ko-KR"/>
              </w:rPr>
              <w:t>© Jurnal Nasional Teknik Elektro dan Teknologi Informasi</w:t>
            </w:r>
          </w:p>
          <w:p w14:paraId="54A9B934" w14:textId="77777777" w:rsidR="00EA5DCC" w:rsidRPr="00A96E00" w:rsidRDefault="00EA5DCC" w:rsidP="00EA5D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7"/>
              <w:rPr>
                <w:rFonts w:eastAsiaTheme="minorEastAsia"/>
                <w:color w:val="000000" w:themeColor="text1"/>
                <w:sz w:val="12"/>
                <w:szCs w:val="12"/>
                <w:lang w:val="en-US" w:eastAsia="ko-KR"/>
              </w:rPr>
            </w:pPr>
            <w:r w:rsidRPr="00A96E00">
              <w:rPr>
                <w:rFonts w:eastAsiaTheme="minorEastAsia"/>
                <w:color w:val="000000" w:themeColor="text1"/>
                <w:sz w:val="12"/>
                <w:szCs w:val="12"/>
                <w:lang w:val="en-US" w:eastAsia="ko-KR"/>
              </w:rPr>
              <w:t>This work is licensed under a Creative Commons Attribution-ShareAlike 4.0 International License</w:t>
            </w:r>
          </w:p>
          <w:p w14:paraId="2E39AE4F" w14:textId="0E32E532" w:rsidR="00EA5DCC" w:rsidRPr="00A96E00" w:rsidRDefault="00EA5DCC" w:rsidP="00EA5DCC">
            <w:pPr>
              <w:ind w:left="-57"/>
              <w:rPr>
                <w:rFonts w:ascii="Helvetica" w:hAnsi="Helvetica"/>
                <w:b/>
                <w:bCs/>
                <w:color w:val="0070C0"/>
                <w:sz w:val="40"/>
                <w:szCs w:val="40"/>
                <w:lang w:val="en-US"/>
              </w:rPr>
            </w:pPr>
            <w:r w:rsidRPr="00A96E00">
              <w:rPr>
                <w:rFonts w:eastAsiaTheme="minorEastAsia"/>
                <w:color w:val="000000" w:themeColor="text1"/>
                <w:sz w:val="12"/>
                <w:szCs w:val="12"/>
                <w:lang w:val="en-US" w:eastAsia="ko-KR"/>
              </w:rPr>
              <w:t>DOI: 10.22146/jnteti.DOI number</w:t>
            </w:r>
          </w:p>
        </w:tc>
      </w:tr>
    </w:tbl>
    <w:p>
      <w:pPr>
        <w:spacing w:before="120" w:after="120"/>
        <w:rPr>
          <w:rFonts w:ascii="Helvetica" w:hAnsi="Helvetica"/>
          <w:b/>
          <w:bCs/>
          <w:sz w:val="18"/>
          <w:szCs w:val="18"/>
          <w:lang w:val="en-US"/>
        </w:rPr>
      </w:pPr>
      <w:r>
        <w:rPr>
          <w:rFonts w:ascii="Helvetica" w:hAnsi="Helvetica"/>
          <w:b/>
          <w:bCs/>
          <w:color w:val="0070C0"/>
          <w:sz w:val="40"/>
          <w:szCs w:val="40"/>
          <w:lang w:val="en-US"/>
        </w:rPr>
        <w:t>Machine Learning Applications in Healthcare: A Comprehensive Review</w:t>
      </w:r>
    </w:p>
    <w:p>
      <w:pPr>
        <w:spacing w:after="120"/>
        <w:rPr>
          <w:rFonts w:ascii="Helvetica" w:hAnsi="Helvetica"/>
          <w:b/>
          <w:bCs/>
          <w:sz w:val="18"/>
          <w:szCs w:val="18"/>
          <w:vertAlign w:val="superscript"/>
          <w:lang w:val="en-US"/>
        </w:rPr>
      </w:pPr>
      <w:r>
        <w:rPr>
          <w:rFonts w:ascii="Helvetica" w:hAnsi="Helvetica"/>
          <w:b/>
          <w:bCs/>
          <w:sz w:val="18"/>
          <w:szCs w:val="18"/>
          <w:lang w:val="en-US"/>
        </w:rPr>
        <w:t>John Smith</w:t>
      </w:r>
      <w:r>
        <w:rPr>
          <w:rFonts w:ascii="Helvetica" w:hAnsi="Helvetica"/>
          <w:b/>
          <w:bCs/>
          <w:sz w:val="18"/>
          <w:szCs w:val="18"/>
          <w:vertAlign w:val="superscript"/>
          <w:lang w:val="en-US"/>
        </w:rPr>
        <w:t>1</w:t>
      </w:r>
      <w:r>
        <w:rPr>
          <w:rFonts w:ascii="Helvetica" w:hAnsi="Helvetica"/>
          <w:b/>
          <w:bCs/>
          <w:sz w:val="18"/>
          <w:szCs w:val="18"/>
          <w:lang w:val="en-US"/>
        </w:rPr>
        <w:t xml:space="preserve">, </w:t>
      </w:r>
      <w:r>
        <w:rPr>
          <w:rFonts w:ascii="Helvetica" w:hAnsi="Helvetica"/>
          <w:b/>
          <w:bCs/>
          <w:sz w:val="18"/>
          <w:szCs w:val="18"/>
          <w:lang w:val="en-US"/>
        </w:rPr>
        <w:t>Jane Doe</w:t>
      </w:r>
      <w:r>
        <w:rPr>
          <w:rFonts w:ascii="Helvetica" w:hAnsi="Helvetica"/>
          <w:b/>
          <w:bCs/>
          <w:sz w:val="18"/>
          <w:szCs w:val="18"/>
          <w:vertAlign w:val="superscript"/>
          <w:lang w:val="en-US"/>
        </w:rPr>
        <w:t>2</w:t>
      </w:r>
    </w:p>
    <w:p>
      <w:pPr>
        <w:rPr>
          <w:strike/>
          <w:sz w:val="14"/>
          <w:szCs w:val="14"/>
          <w:lang w:val="en-US" w:eastAsia="en-GB"/>
        </w:rPr>
      </w:pPr>
      <w:r>
        <w:rPr>
          <w:sz w:val="14"/>
          <w:szCs w:val="14"/>
          <w:vertAlign w:val="superscript"/>
          <w:lang w:val="en-US" w:eastAsia="en-GB"/>
        </w:rPr>
        <w:t>1</w:t>
      </w:r>
      <w:r>
        <w:rPr>
          <w:sz w:val="14"/>
          <w:szCs w:val="14"/>
          <w:vertAlign w:val="superscript"/>
          <w:lang w:val="en-US" w:eastAsia="en-GB"/>
        </w:rPr>
        <w:t xml:space="preserve"> </w:t>
      </w:r>
      <w:r>
        <w:rPr>
          <w:sz w:val="14"/>
          <w:szCs w:val="14"/>
          <w:lang w:val="en-US" w:eastAsia="en-GB"/>
        </w:rPr>
        <w:t>Department of Computer Science, University of Technology, New York, USA</w:t>
      </w:r>
    </w:p>
    <w:p>
      <w:pPr>
        <w:ind w:left="113" w:hanging="113"/>
        <w:rPr>
          <w:sz w:val="14"/>
          <w:szCs w:val="14"/>
          <w:lang w:val="en-US" w:eastAsia="en-GB"/>
        </w:rPr>
      </w:pPr>
      <w:r>
        <w:rPr>
          <w:sz w:val="14"/>
          <w:szCs w:val="14"/>
          <w:vertAlign w:val="superscript"/>
          <w:lang w:val="en-US" w:eastAsia="en-GB"/>
        </w:rPr>
        <w:t>2</w:t>
      </w:r>
      <w:r>
        <w:rPr>
          <w:sz w:val="14"/>
          <w:szCs w:val="14"/>
          <w:vertAlign w:val="superscript"/>
          <w:lang w:val="en-US" w:eastAsia="en-GB"/>
        </w:rPr>
        <w:t xml:space="preserve"> </w:t>
      </w:r>
      <w:r>
        <w:rPr>
          <w:sz w:val="14"/>
          <w:szCs w:val="14"/>
          <w:lang w:val="en-US" w:eastAsia="en-GB"/>
        </w:rPr>
        <w:t>School of Medicine, Medical University, Boston, USA</w:t>
      </w:r>
    </w:p>
    <w:p>
      <w:pPr>
        <w:spacing w:before="120"/>
        <w:ind w:left="113" w:hanging="113"/>
        <w:rPr>
          <w:sz w:val="14"/>
          <w:szCs w:val="14"/>
          <w:lang w:val="en-US" w:eastAsia="en-GB"/>
        </w:rPr>
      </w:pPr>
      <w:r>
        <w:rPr>
          <w:sz w:val="14"/>
          <w:szCs w:val="14"/>
          <w:lang w:val="en-US" w:eastAsia="en-GB"/>
        </w:rPr>
        <w:t>[Received: DD MM YY, Revised: DD MM YY, Accepted: DD MM YY]</w:t>
      </w:r>
    </w:p>
    <w:p>
      <w:pPr>
        <w:spacing w:after="240"/>
        <w:contextualSpacing/>
        <w:rPr>
          <w:sz w:val="14"/>
          <w:szCs w:val="14"/>
          <w:lang w:val="en-US" w:eastAsia="en-GB"/>
        </w:rPr>
        <w:sectPr w:rsidR="00A225DD" w:rsidRPr="00A96E00" w:rsidSect="006D0510">
          <w:headerReference w:type="even" r:id="rId7"/>
          <w:headerReference w:type="default" r:id="rId8"/>
          <w:footerReference w:type="even" r:id="rId9"/>
          <w:footerReference w:type="default" r:id="rId10"/>
          <w:type w:val="continuous"/>
          <w:pgSz w:w="11906" w:h="16838"/>
          <w:pgMar w:top="1304" w:right="737" w:bottom="1021" w:left="737" w:header="431" w:footer="431" w:gutter="0"/>
          <w:cols w:space="403"/>
          <w:docGrid w:linePitch="360"/>
        </w:sectPr>
      </w:pPr>
      <w:r>
        <w:rPr>
          <w:sz w:val="14"/>
          <w:szCs w:val="14"/>
          <w:lang w:val="en-US" w:eastAsia="en-GB"/>
        </w:rPr>
        <w:t>Corresponding Author: John Smith (email: john.smith@university.edu)</w:t>
      </w:r>
    </w:p>
    <w:p>
      <w:pPr>
        <w:contextualSpacing/>
        <w:rPr>
          <w:lang w:val="en-US"/>
        </w:rPr>
        <w:sectPr w:rsidR="00BD0603" w:rsidRPr="00A96E00" w:rsidSect="006D0510">
          <w:headerReference w:type="even" r:id="rId11"/>
          <w:headerReference w:type="default" r:id="rId12"/>
          <w:footerReference w:type="even" r:id="rId13"/>
          <w:footerReference w:type="default" r:id="rId14"/>
          <w:type w:val="continuous"/>
          <w:pgSz w:w="11906" w:h="16838"/>
          <w:pgMar w:top="1304" w:right="737" w:bottom="1021" w:left="737" w:header="431" w:footer="431" w:gutter="0"/>
          <w:cols w:space="403"/>
          <w:docGrid w:linePitch="360"/>
        </w:sectPr>
      </w:pPr>
    </w:p>
    <w:p>
      <w:pPr>
        <w:spacing w:after="240"/>
        <w:ind w:left="284" w:right="284"/>
        <w:contextualSpacing/>
        <w:jc w:val="both"/>
        <w:rPr>
          <w:sz w:val="18"/>
          <w:szCs w:val="18"/>
          <w:lang w:val="en-US"/>
        </w:rPr>
      </w:pPr>
      <w:r>
        <w:rPr>
          <w:rFonts w:ascii="Helvetica" w:hAnsi="Helvetica"/>
          <w:b/>
          <w:bCs/>
          <w:color w:val="0070C0"/>
          <w:sz w:val="18"/>
          <w:szCs w:val="20"/>
          <w:lang w:val="en-US"/>
        </w:rPr>
        <w:t>ABSTRACT</w:t>
      </w:r>
      <w:r>
        <w:rPr>
          <w:rFonts w:ascii="Helvetica" w:hAnsi="Helvetica"/>
          <w:b/>
          <w:bCs/>
          <w:color w:val="0070C0"/>
          <w:sz w:val="20"/>
          <w:szCs w:val="20"/>
          <w:lang w:val="en-US"/>
        </w:rPr>
        <w:t xml:space="preserve"> </w:t>
      </w:r>
      <w:r>
        <w:rPr>
          <w:color w:val="000000" w:themeColor="text1"/>
          <w:sz w:val="20"/>
          <w:szCs w:val="20"/>
          <w:lang w:val="en-US"/>
        </w:rPr>
        <w:t>—</w:t>
      </w:r>
      <w:r>
        <w:rPr>
          <w:color w:val="000000" w:themeColor="text1"/>
          <w:sz w:val="20"/>
          <w:szCs w:val="20"/>
          <w:lang w:val="en-US"/>
        </w:rPr>
        <w:t xml:space="preserve"> </w:t>
      </w:r>
      <w:r>
        <w:rPr>
          <w:b w:val="0"/>
          <w:i w:val="0"/>
          <w:color w:val="000000" w:themeColor="text1"/>
          <w:sz w:val="20"/>
          <w:szCs w:val="20"/>
          <w:u w:val="none"/>
          <w:lang w:val="en-US"/>
        </w:rPr>
        <w:t>Machine learning has revolutionized healthcare by enabling predictive analytics, personalized treatment, and improved diagnostic accuracy. This paper provides a comprehensive review of machine learning applications in healthcare, covering supervised learning, unsupervised learning, and deep learning approaches. We examine recent advances in medical imaging, disease prediction, drug discovery, and patient monitoring. Our analysis reveals that machine learning models achieve high accuracy in various healthcare tasks, with deep learning showing particular promise in image-based diagnostics. However, challenges remain in data privacy, model interpretability, and clinical integration. We discuss future directions including federated learning, explainable AI, and real-time clinical decision support systems.</w:t>
      </w:r>
    </w:p>
    <w:p>
      <w:pPr>
        <w:pStyle w:val="IEEEAbtract"/>
        <w:spacing w:after="360"/>
        <w:ind w:left="284" w:right="284"/>
        <w:contextualSpacing/>
        <w:rPr>
          <w:b w:val="0"/>
          <w:bCs/>
          <w:sz w:val="20"/>
          <w:szCs w:val="20"/>
          <w:shd w:val="clear" w:color="auto" w:fill="FFFFFF"/>
          <w:lang w:val="en-US"/>
        </w:rPr>
        <w:sectPr w:rsidR="00E04947" w:rsidRPr="00A96E00" w:rsidSect="006D0510">
          <w:type w:val="continuous"/>
          <w:pgSz w:w="11906" w:h="16838"/>
          <w:pgMar w:top="1304" w:right="737" w:bottom="1021" w:left="737" w:header="431" w:footer="431" w:gutter="0"/>
          <w:cols w:space="403"/>
          <w:docGrid w:linePitch="360"/>
        </w:sectPr>
      </w:pPr>
      <w:r>
        <w:rPr>
          <w:rStyle w:val="IEEEAbstractHeadingChar"/>
          <w:rFonts w:ascii="Helvetica" w:hAnsi="Helvetica"/>
          <w:b/>
          <w:i w:val="0"/>
          <w:iCs/>
          <w:color w:val="0070C0"/>
          <w:lang w:val="en-US"/>
          <w:sz w:val="18"/>
          <w:szCs w:val="20"/>
        </w:rPr>
        <w:t>KEYWORDS</w:t>
      </w:r>
      <w:r>
        <w:rPr>
          <w:rStyle w:val="IEEEAbstractHeadingChar"/>
          <w:rFonts w:ascii="Helvetica" w:hAnsi="Helvetica"/>
          <w:b/>
          <w:i w:val="0"/>
          <w:iCs/>
          <w:color w:val="0070C0"/>
          <w:lang w:val="en-US"/>
          <w:sz w:val="20"/>
          <w:szCs w:val="20"/>
        </w:rPr>
        <w:t xml:space="preserve"> </w:t>
      </w:r>
      <w:r>
        <w:rPr>
          <w:b w:val="0"/>
          <w:bCs/>
          <w:color w:val="000000" w:themeColor="text1"/>
          <w:szCs w:val="20"/>
          <w:lang w:val="en-US"/>
          <w:sz w:val="20"/>
        </w:rPr>
        <w:t>—</w:t>
      </w:r>
      <w:r>
        <w:rPr>
          <w:b w:val="0"/>
          <w:bCs/>
          <w:color w:val="000000" w:themeColor="text1"/>
          <w:szCs w:val="20"/>
          <w:lang w:val="en-US"/>
          <w:sz w:val="20"/>
        </w:rPr>
        <w:t xml:space="preserve"> </w:t>
      </w:r>
      <w:r>
        <w:rPr>
          <w:b w:val="0"/>
          <w:bCs/>
          <w:i w:val="0"/>
          <w:color w:val="000000" w:themeColor="text1"/>
          <w:szCs w:val="20"/>
          <w:u w:val="none"/>
          <w:lang w:val="en-US"/>
          <w:sz w:val="20"/>
        </w:rPr>
        <w:t>machine learning, healthcare, deep learning, medical imaging, predictive analytics, clinical decision support.</w:t>
      </w:r>
    </w:p>
    <w:p>
      <w:pPr>
        <w:pStyle w:val="IEEEHeading1"/>
        <w:spacing w:after="0"/>
        <w:contextualSpacing/>
        <w:jc w:val="left"/>
        <w:rPr>
          <w:b/>
          <w:bCs/>
          <w:color w:val="0070C0"/>
          <w:lang w:val="en-US"/>
        </w:rPr>
      </w:pPr>
      <w:r>
        <w:rPr>
          <w:rFonts w:ascii="Helvetica" w:hAnsi="Helvetica"/>
          <w:b/>
          <w:bCs/>
          <w:color w:val="0070C0"/>
          <w:sz w:val="18"/>
          <w:szCs w:val="18"/>
          <w:lang w:val="en-US"/>
        </w:rPr>
        <w:t>INTRODUCTION</w:t>
      </w:r>
    </w:p>
    <w:p>
      <w:pPr>
        <w:pStyle w:val="IEEEParagraph"/>
        <w:ind w:firstLine="288"/>
        <w:rPr>
          <w:szCs w:val="20"/>
          <w:lang w:val="en-US"/>
        </w:rPr>
      </w:pPr>
      <w:r>
        <w:rPr>
          <w:b w:val="0"/>
          <w:i w:val="0"/>
          <w:szCs w:val="20"/>
          <w:u w:val="none"/>
          <w:lang w:val="en-US"/>
        </w:rPr>
        <w:t>Healthcare systems worldwide face increasing challenges in managing growing patient populations, rising costs, and the need for personalized treatment approaches. Machine learning (ML) has emerged as a transformative technology that addresses these challenges by enabling data-driven decision making and automated pattern recognition in complex medical data.</w:t>
      </w:r>
    </w:p>
    <w:p>
      <w:pPr>
        <w:pStyle w:val="IEEEParagraph"/>
        <w:ind w:firstLine="288"/>
        <w:rPr>
          <w:szCs w:val="20"/>
          <w:lang w:val="en-US"/>
        </w:rPr>
      </w:pPr>
      <w:r>
        <w:rPr>
          <w:b w:val="0"/>
          <w:i w:val="0"/>
          <w:szCs w:val="20"/>
          <w:u w:val="none"/>
          <w:lang w:val="en-US"/>
        </w:rPr>
        <w:t>The application of machine learning in healthcare spans multiple domains including diagnostic imaging, disease prediction, treatment optimization, and patient monitoring. Recent advances in deep learning have particularly accelerated progress in medical image analysis, achieving performance comparable to or exceeding human experts in specific tasks.</w:t>
      </w:r>
    </w:p>
    <w:p>
      <w:pPr>
        <w:pStyle w:val="IEEEHeading2"/>
        <w:numPr>
          <w:ilvl w:val="0"/>
          <w:numId w:val="18"/>
        </w:numPr>
        <w:spacing w:after="0"/>
        <w:rPr>
          <w:rFonts w:ascii="Helvetica" w:hAnsi="Helvetica"/>
          <w:b/>
          <w:bCs/>
          <w:color w:val="404040" w:themeColor="text1" w:themeTint="BF"/>
          <w:sz w:val="18"/>
          <w:szCs w:val="18"/>
          <w:lang w:val="en-US"/>
        </w:rPr>
      </w:pPr>
      <w:r>
        <w:rPr>
          <w:rFonts w:ascii="Helvetica" w:hAnsi="Helvetica"/>
          <w:b/>
          <w:bCs/>
          <w:i/>
          <w:color w:val="404040" w:themeColor="text1" w:themeTint="BF"/>
          <w:sz w:val="18"/>
          <w:szCs w:val="18"/>
          <w:lang w:val="en-US"/>
        </w:rPr>
        <w:t>MOTIVATION</w:t>
      </w:r>
    </w:p>
    <w:p>
      <w:pPr>
        <w:pStyle w:val="IEEEParagraph"/>
        <w:ind w:firstLine="288"/>
        <w:rPr>
          <w:szCs w:val="20"/>
          <w:lang w:val="en-US"/>
        </w:rPr>
      </w:pPr>
      <w:r>
        <w:rPr>
          <w:b w:val="0"/>
          <w:i w:val="0"/>
          <w:szCs w:val="20"/>
          <w:u w:val="none"/>
          <w:lang w:val="en-US"/>
        </w:rPr>
        <w:t>The motivation for this review stems from the rapid proliferation of ML applications in healthcare and the need for a comprehensive analysis of current capabilities, limitations, and future directions. Understanding the state of the art is crucial for researchers, clinicians, and policymakers.</w:t>
      </w:r>
    </w:p>
    <w:p>
      <w:pPr>
        <w:pStyle w:val="IEEEHeading2"/>
        <w:numPr>
          <w:ilvl w:val="0"/>
          <w:numId w:val="18"/>
        </w:numPr>
        <w:spacing w:after="0"/>
        <w:rPr>
          <w:rFonts w:ascii="Helvetica" w:hAnsi="Helvetica"/>
          <w:b/>
          <w:bCs/>
          <w:color w:val="404040" w:themeColor="text1" w:themeTint="BF"/>
          <w:sz w:val="18"/>
          <w:szCs w:val="18"/>
          <w:lang w:val="en-US"/>
        </w:rPr>
      </w:pPr>
      <w:r>
        <w:rPr>
          <w:rFonts w:ascii="Helvetica" w:hAnsi="Helvetica"/>
          <w:b/>
          <w:bCs/>
          <w:i/>
          <w:color w:val="404040" w:themeColor="text1" w:themeTint="BF"/>
          <w:sz w:val="18"/>
          <w:szCs w:val="18"/>
          <w:lang w:val="en-US"/>
        </w:rPr>
        <w:t>CONTRIBUTIONS</w:t>
      </w:r>
    </w:p>
    <w:p>
      <w:pPr>
        <w:pStyle w:val="IEEEParagraph"/>
        <w:ind w:firstLine="288"/>
        <w:rPr>
          <w:szCs w:val="20"/>
          <w:lang w:val="en-US"/>
        </w:rPr>
      </w:pPr>
      <w:r>
        <w:rPr>
          <w:b w:val="0"/>
          <w:i w:val="0"/>
          <w:szCs w:val="20"/>
          <w:u w:val="none"/>
          <w:lang w:val="en-US"/>
        </w:rPr>
        <w:t>This paper makes the following contributions: (1) A systematic review of ML applications across healthcare domains, (2) Analysis of performance metrics and clinical validation studies, (3) Discussion of challenges and ethical considerations, (4) Identification of future research directions.</w:t>
      </w:r>
    </w:p>
    <w:p>
      <w:pPr>
        <w:pStyle w:val="IEEEHeading1"/>
        <w:spacing w:after="0"/>
        <w:contextualSpacing/>
        <w:jc w:val="left"/>
        <w:rPr>
          <w:b/>
          <w:bCs/>
          <w:color w:val="0070C0"/>
          <w:lang w:val="en-US"/>
        </w:rPr>
      </w:pPr>
      <w:r>
        <w:rPr>
          <w:rFonts w:ascii="Helvetica" w:hAnsi="Helvetica"/>
          <w:b/>
          <w:bCs/>
          <w:color w:val="0070C0"/>
          <w:sz w:val="18"/>
          <w:szCs w:val="18"/>
          <w:lang w:val="en-US"/>
        </w:rPr>
        <w:t>BACKGROUND AND RELATED WORK</w:t>
      </w:r>
    </w:p>
    <w:p>
      <w:pPr>
        <w:pStyle w:val="IEEEParagraph"/>
        <w:ind w:firstLine="288"/>
        <w:rPr>
          <w:szCs w:val="20"/>
          <w:lang w:val="en-US"/>
        </w:rPr>
      </w:pPr>
      <w:r>
        <w:rPr>
          <w:b w:val="0"/>
          <w:i w:val="0"/>
          <w:szCs w:val="20"/>
          <w:u w:val="none"/>
          <w:lang w:val="en-US"/>
        </w:rPr>
        <w:t>Machine learning in healthcare builds upon decades of research in artificial intelligence, medical informatics, and clinical decision support systems. Early expert systems in the 1970s laid the groundwork for automated medical reasoning, while modern ML approaches leverage large datasets and computational power.</w:t>
      </w:r>
    </w:p>
    <w:p>
      <w:pPr>
        <w:pStyle w:val="IEEEHeading2"/>
        <w:numPr>
          <w:ilvl w:val="0"/>
          <w:numId w:val="19"/>
        </w:numPr>
        <w:spacing w:after="0"/>
        <w:rPr>
          <w:rFonts w:ascii="Helvetica" w:hAnsi="Helvetica"/>
          <w:b/>
          <w:bCs/>
          <w:color w:val="404040" w:themeColor="text1" w:themeTint="BF"/>
          <w:sz w:val="18"/>
          <w:szCs w:val="18"/>
          <w:lang w:val="en-US"/>
        </w:rPr>
      </w:pPr>
      <w:r>
        <w:rPr>
          <w:rFonts w:ascii="Helvetica" w:hAnsi="Helvetica"/>
          <w:b/>
          <w:bCs/>
          <w:i/>
          <w:color w:val="404040" w:themeColor="text1" w:themeTint="BF"/>
          <w:sz w:val="18"/>
          <w:szCs w:val="18"/>
          <w:lang w:val="en-US"/>
        </w:rPr>
        <w:t>MACHINE LEARNING FUNDAMENTALS</w:t>
      </w:r>
    </w:p>
    <w:p>
      <w:pPr>
        <w:pStyle w:val="IEEEParagraph"/>
        <w:ind w:firstLine="288"/>
        <w:rPr>
          <w:szCs w:val="20"/>
          <w:lang w:val="en-US"/>
        </w:rPr>
      </w:pPr>
      <w:r>
        <w:rPr>
          <w:b w:val="0"/>
          <w:i w:val="0"/>
          <w:szCs w:val="20"/>
          <w:u w:val="none"/>
          <w:lang w:val="en-US"/>
        </w:rPr>
        <w:t>Machine learning encompasses supervised learning (classification and regression), unsupervised learning (clustering and dimensionality reduction), and reinforcement learning. In healthcare, supervised learning dominates due to the availability of labeled medical data.</w:t>
      </w:r>
    </w:p>
    <w:p>
      <w:pPr>
        <w:pStyle w:val="IEEEHeading2"/>
        <w:numPr>
          <w:ilvl w:val="0"/>
          <w:numId w:val="19"/>
        </w:numPr>
        <w:spacing w:after="0"/>
        <w:rPr>
          <w:rFonts w:ascii="Helvetica" w:hAnsi="Helvetica"/>
          <w:b/>
          <w:bCs/>
          <w:color w:val="404040" w:themeColor="text1" w:themeTint="BF"/>
          <w:sz w:val="18"/>
          <w:szCs w:val="18"/>
          <w:lang w:val="en-US"/>
        </w:rPr>
      </w:pPr>
      <w:r>
        <w:rPr>
          <w:rFonts w:ascii="Helvetica" w:hAnsi="Helvetica"/>
          <w:b/>
          <w:bCs/>
          <w:i/>
          <w:color w:val="404040" w:themeColor="text1" w:themeTint="BF"/>
          <w:sz w:val="18"/>
          <w:szCs w:val="18"/>
          <w:lang w:val="en-US"/>
        </w:rPr>
        <w:t>HEALTHCARE DATA SOURCES</w:t>
      </w:r>
    </w:p>
    <w:p>
      <w:pPr>
        <w:pStyle w:val="IEEEParagraph"/>
        <w:ind w:firstLine="288"/>
        <w:rPr>
          <w:szCs w:val="20"/>
          <w:lang w:val="en-US"/>
        </w:rPr>
      </w:pPr>
      <w:r>
        <w:rPr>
          <w:b w:val="0"/>
          <w:i w:val="0"/>
          <w:szCs w:val="20"/>
          <w:u w:val="none"/>
          <w:lang w:val="en-US"/>
        </w:rPr>
        <w:t>Healthcare ML systems utilize diverse data sources including electronic health records (EHRs), medical imaging (X-rays, CT, MRI), genomic data, wearable sensor data, and clinical notes. Data quality, standardization, and privacy are critical considerations.</w:t>
      </w:r>
    </w:p>
    <w:p>
      <w:pPr>
        <w:pStyle w:val="IEEEHeading1"/>
        <w:spacing w:after="0"/>
        <w:contextualSpacing/>
        <w:jc w:val="left"/>
        <w:rPr>
          <w:b/>
          <w:bCs/>
          <w:color w:val="0070C0"/>
          <w:lang w:val="en-US"/>
        </w:rPr>
      </w:pPr>
      <w:r>
        <w:rPr>
          <w:rFonts w:ascii="Helvetica" w:hAnsi="Helvetica"/>
          <w:b/>
          <w:bCs/>
          <w:color w:val="0070C0"/>
          <w:sz w:val="18"/>
          <w:szCs w:val="18"/>
          <w:lang w:val="en-US"/>
        </w:rPr>
        <w:t>MACHINE LEARNING APPLICATIONS</w:t>
      </w:r>
    </w:p>
    <w:p>
      <w:pPr>
        <w:pStyle w:val="IEEEParagraph"/>
        <w:ind w:firstLine="288"/>
        <w:rPr>
          <w:szCs w:val="20"/>
          <w:lang w:val="en-US"/>
        </w:rPr>
      </w:pPr>
      <w:r>
        <w:rPr>
          <w:b w:val="0"/>
          <w:i w:val="0"/>
          <w:szCs w:val="20"/>
          <w:u w:val="none"/>
          <w:lang w:val="en-US"/>
        </w:rPr>
        <w:t>This section reviews major application areas of machine learning in healthcare, organized by clinical domain and task type.</w:t>
      </w:r>
    </w:p>
    <w:p>
      <w:pPr>
        <w:pStyle w:val="IEEEHeading2"/>
        <w:numPr>
          <w:ilvl w:val="0"/>
          <w:numId w:val="20"/>
        </w:numPr>
        <w:spacing w:after="0"/>
        <w:rPr>
          <w:rFonts w:ascii="Helvetica" w:hAnsi="Helvetica"/>
          <w:b/>
          <w:bCs/>
          <w:color w:val="404040" w:themeColor="text1" w:themeTint="BF"/>
          <w:sz w:val="18"/>
          <w:szCs w:val="18"/>
          <w:lang w:val="en-US"/>
        </w:rPr>
      </w:pPr>
      <w:r>
        <w:rPr>
          <w:rFonts w:ascii="Helvetica" w:hAnsi="Helvetica"/>
          <w:b/>
          <w:bCs/>
          <w:i/>
          <w:color w:val="404040" w:themeColor="text1" w:themeTint="BF"/>
          <w:sz w:val="18"/>
          <w:szCs w:val="18"/>
          <w:lang w:val="en-US"/>
        </w:rPr>
        <w:t>MEDICAL IMAGING</w:t>
      </w:r>
    </w:p>
    <w:p>
      <w:pPr>
        <w:pStyle w:val="IEEEParagraph"/>
        <w:ind w:firstLine="288"/>
        <w:rPr>
          <w:szCs w:val="20"/>
          <w:lang w:val="en-US"/>
        </w:rPr>
      </w:pPr>
      <w:r>
        <w:rPr>
          <w:b w:val="0"/>
          <w:i w:val="0"/>
          <w:szCs w:val="20"/>
          <w:u w:val="none"/>
          <w:lang w:val="en-US"/>
        </w:rPr>
        <w:t>Deep learning has achieved remarkable success in medical image analysis. Convolutional neural networks (CNNs) excel at detecting abnormalities in radiological images, identifying tumors, and segmenting anatomical structures. Studies show that deep learning models can match or exceed radiologist performance in specific tasks such as diabetic retinopathy detection and lung nodule classification.</w:t>
      </w:r>
    </w:p>
    <w:p>
      <w:pPr>
        <w:spacing w:before="120" w:after="60"/>
        <w:jc w:val="center"/>
      </w:pPr>
      <w:r>
        <w:rPr>
          <w:rFonts w:ascii="Times New Roman" w:hAnsi="Times New Roman"/>
          <w:b w:val="0"/>
          <w:smallCaps/>
          <w:sz w:val="16"/>
        </w:rPr>
        <w:t xml:space="preserve">TABLE I. </w:t>
      </w:r>
      <w:r>
        <w:rPr>
          <w:rFonts w:ascii="Times New Roman" w:hAnsi="Times New Roman"/>
          <w:b w:val="0"/>
          <w:smallCaps w:val="0"/>
          <w:sz w:val="16"/>
        </w:rPr>
        <w:t>Performance of ML Models in Medical Imaging</w:t>
      </w:r>
    </w:p>
    <w:tbl>
      <w:tblPr>
        <w:tblW w:type="auto" w:w="0"/>
        <w:tblLayout w:type="autofit"/>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08"/>
        <w:gridCol w:w="2608"/>
        <w:gridCol w:w="2608"/>
        <w:gridCol w:w="2608"/>
      </w:tblGrid>
      <w:tr>
        <w:trPr>
          <w:tblHeader w:val="true"/>
        </w:trPr>
        <w:tc>
          <w:tcPr>
            <w:tcW w:type="dxa" w:w="2608"/>
            <w:tcBorders>
              <w:top w:val="single" w:sz="4" w:space="0" w:color="auto"/>
              <w:bottom w:val="single" w:sz="4" w:space="0" w:color="auto"/>
              <w:left w:val="none"/>
              <w:right w:val="none"/>
            </w:tcBorders>
          </w:tcPr>
          <w:p>
            <w:pPr>
              <w:pStyle w:val="IEEETableHeaderCentered"/>
              <w:jc w:val="center"/>
            </w:pPr>
            <w:r/>
            <w:r>
              <w:rPr>
                <w:b/>
              </w:rPr>
              <w:t>Task</w:t>
            </w:r>
          </w:p>
        </w:tc>
        <w:tc>
          <w:tcPr>
            <w:tcW w:type="dxa" w:w="2608"/>
            <w:tcBorders>
              <w:top w:val="single" w:sz="4" w:space="0" w:color="auto"/>
              <w:bottom w:val="single" w:sz="4" w:space="0" w:color="auto"/>
              <w:left w:val="none"/>
              <w:right w:val="none"/>
            </w:tcBorders>
          </w:tcPr>
          <w:p>
            <w:pPr>
              <w:pStyle w:val="IEEETableHeaderCentered"/>
              <w:jc w:val="center"/>
            </w:pPr>
            <w:r/>
            <w:r>
              <w:rPr>
                <w:b/>
              </w:rPr>
              <w:t>Model</w:t>
            </w:r>
          </w:p>
        </w:tc>
        <w:tc>
          <w:tcPr>
            <w:tcW w:type="dxa" w:w="2608"/>
            <w:tcBorders>
              <w:top w:val="single" w:sz="4" w:space="0" w:color="auto"/>
              <w:bottom w:val="single" w:sz="4" w:space="0" w:color="auto"/>
              <w:left w:val="none"/>
              <w:right w:val="none"/>
            </w:tcBorders>
          </w:tcPr>
          <w:p>
            <w:pPr>
              <w:pStyle w:val="IEEETableHeaderCentered"/>
              <w:jc w:val="center"/>
            </w:pPr>
            <w:r/>
            <w:r>
              <w:rPr>
                <w:b/>
              </w:rPr>
              <w:t>Accuracy</w:t>
            </w:r>
          </w:p>
        </w:tc>
        <w:tc>
          <w:tcPr>
            <w:tcW w:type="dxa" w:w="2608"/>
            <w:tcBorders>
              <w:top w:val="single" w:sz="4" w:space="0" w:color="auto"/>
              <w:bottom w:val="single" w:sz="4" w:space="0" w:color="auto"/>
              <w:left w:val="none"/>
              <w:right w:val="none"/>
            </w:tcBorders>
          </w:tcPr>
          <w:p>
            <w:pPr>
              <w:pStyle w:val="IEEETableHeaderCentered"/>
              <w:jc w:val="center"/>
            </w:pPr>
            <w:r/>
            <w:r>
              <w:rPr>
                <w:b/>
              </w:rPr>
              <w:t>Dataset Size</w:t>
            </w:r>
          </w:p>
        </w:tc>
      </w:tr>
      <w:tr>
        <w:tc>
          <w:tcPr>
            <w:tcW w:type="dxa" w:w="2608"/>
            <w:tcBorders>
              <w:top w:val="none"/>
              <w:bottom w:val="none"/>
              <w:left w:val="none"/>
              <w:right w:val="none"/>
            </w:tcBorders>
          </w:tcPr>
          <w:p>
            <w:pPr>
              <w:pStyle w:val="IEEETableCell"/>
              <w:jc w:val="left"/>
            </w:pPr>
            <w:r/>
            <w:r>
              <w:t>Diabetic Retinopathy</w:t>
            </w:r>
          </w:p>
        </w:tc>
        <w:tc>
          <w:tcPr>
            <w:tcW w:type="dxa" w:w="2608"/>
            <w:tcBorders>
              <w:top w:val="none"/>
              <w:bottom w:val="none"/>
              <w:left w:val="none"/>
              <w:right w:val="none"/>
            </w:tcBorders>
          </w:tcPr>
          <w:p>
            <w:pPr>
              <w:pStyle w:val="IEEETableCell"/>
              <w:jc w:val="left"/>
            </w:pPr>
            <w:r/>
            <w:r>
              <w:t>ResNet-50</w:t>
            </w:r>
          </w:p>
        </w:tc>
        <w:tc>
          <w:tcPr>
            <w:tcW w:type="dxa" w:w="2608"/>
            <w:tcBorders>
              <w:top w:val="none"/>
              <w:bottom w:val="none"/>
              <w:left w:val="none"/>
              <w:right w:val="none"/>
            </w:tcBorders>
          </w:tcPr>
          <w:p>
            <w:pPr>
              <w:pStyle w:val="IEEETableCell"/>
              <w:jc w:val="left"/>
            </w:pPr>
            <w:r/>
            <w:r>
              <w:t>95.2%</w:t>
            </w:r>
          </w:p>
        </w:tc>
        <w:tc>
          <w:tcPr>
            <w:tcW w:type="dxa" w:w="2608"/>
            <w:tcBorders>
              <w:top w:val="none"/>
              <w:bottom w:val="none"/>
              <w:left w:val="none"/>
              <w:right w:val="none"/>
            </w:tcBorders>
          </w:tcPr>
          <w:p>
            <w:pPr>
              <w:pStyle w:val="IEEETableCell"/>
              <w:jc w:val="left"/>
            </w:pPr>
            <w:r/>
            <w:r>
              <w:t>128,000</w:t>
            </w:r>
          </w:p>
        </w:tc>
      </w:tr>
      <w:tr>
        <w:tc>
          <w:tcPr>
            <w:tcW w:type="dxa" w:w="2608"/>
            <w:tcBorders>
              <w:top w:val="none"/>
              <w:bottom w:val="none"/>
              <w:left w:val="none"/>
              <w:right w:val="none"/>
            </w:tcBorders>
          </w:tcPr>
          <w:p>
            <w:pPr>
              <w:pStyle w:val="IEEETableCell"/>
              <w:jc w:val="left"/>
            </w:pPr>
            <w:r/>
            <w:r>
              <w:t>Lung Nodule Detection</w:t>
            </w:r>
          </w:p>
        </w:tc>
        <w:tc>
          <w:tcPr>
            <w:tcW w:type="dxa" w:w="2608"/>
            <w:tcBorders>
              <w:top w:val="none"/>
              <w:bottom w:val="none"/>
              <w:left w:val="none"/>
              <w:right w:val="none"/>
            </w:tcBorders>
          </w:tcPr>
          <w:p>
            <w:pPr>
              <w:pStyle w:val="IEEETableCell"/>
              <w:jc w:val="left"/>
            </w:pPr>
            <w:r/>
            <w:r>
              <w:t>3D CNN</w:t>
            </w:r>
          </w:p>
        </w:tc>
        <w:tc>
          <w:tcPr>
            <w:tcW w:type="dxa" w:w="2608"/>
            <w:tcBorders>
              <w:top w:val="none"/>
              <w:bottom w:val="none"/>
              <w:left w:val="none"/>
              <w:right w:val="none"/>
            </w:tcBorders>
          </w:tcPr>
          <w:p>
            <w:pPr>
              <w:pStyle w:val="IEEETableCell"/>
              <w:jc w:val="left"/>
            </w:pPr>
            <w:r/>
            <w:r>
              <w:t>92.8%</w:t>
            </w:r>
          </w:p>
        </w:tc>
        <w:tc>
          <w:tcPr>
            <w:tcW w:type="dxa" w:w="2608"/>
            <w:tcBorders>
              <w:top w:val="none"/>
              <w:bottom w:val="none"/>
              <w:left w:val="none"/>
              <w:right w:val="none"/>
            </w:tcBorders>
          </w:tcPr>
          <w:p>
            <w:pPr>
              <w:pStyle w:val="IEEETableCell"/>
              <w:jc w:val="left"/>
            </w:pPr>
            <w:r/>
            <w:r>
              <w:t>45,000</w:t>
            </w:r>
          </w:p>
        </w:tc>
      </w:tr>
      <w:tr>
        <w:tc>
          <w:tcPr>
            <w:tcW w:type="dxa" w:w="2608"/>
            <w:tcBorders>
              <w:top w:val="none"/>
              <w:bottom w:val="none"/>
              <w:left w:val="none"/>
              <w:right w:val="none"/>
            </w:tcBorders>
          </w:tcPr>
          <w:p>
            <w:pPr>
              <w:pStyle w:val="IEEETableCell"/>
              <w:jc w:val="left"/>
            </w:pPr>
            <w:r/>
            <w:r>
              <w:t>Breast Cancer</w:t>
            </w:r>
          </w:p>
        </w:tc>
        <w:tc>
          <w:tcPr>
            <w:tcW w:type="dxa" w:w="2608"/>
            <w:tcBorders>
              <w:top w:val="none"/>
              <w:bottom w:val="none"/>
              <w:left w:val="none"/>
              <w:right w:val="none"/>
            </w:tcBorders>
          </w:tcPr>
          <w:p>
            <w:pPr>
              <w:pStyle w:val="IEEETableCell"/>
              <w:jc w:val="left"/>
            </w:pPr>
            <w:r/>
            <w:r>
              <w:t>DenseNet</w:t>
            </w:r>
          </w:p>
        </w:tc>
        <w:tc>
          <w:tcPr>
            <w:tcW w:type="dxa" w:w="2608"/>
            <w:tcBorders>
              <w:top w:val="none"/>
              <w:bottom w:val="none"/>
              <w:left w:val="none"/>
              <w:right w:val="none"/>
            </w:tcBorders>
          </w:tcPr>
          <w:p>
            <w:pPr>
              <w:pStyle w:val="IEEETableCell"/>
              <w:jc w:val="left"/>
            </w:pPr>
            <w:r/>
            <w:r>
              <w:t>94.5%</w:t>
            </w:r>
          </w:p>
        </w:tc>
        <w:tc>
          <w:tcPr>
            <w:tcW w:type="dxa" w:w="2608"/>
            <w:tcBorders>
              <w:top w:val="none"/>
              <w:bottom w:val="none"/>
              <w:left w:val="none"/>
              <w:right w:val="none"/>
            </w:tcBorders>
          </w:tcPr>
          <w:p>
            <w:pPr>
              <w:pStyle w:val="IEEETableCell"/>
              <w:jc w:val="left"/>
            </w:pPr>
            <w:r/>
            <w:r>
              <w:t>60,000</w:t>
            </w:r>
          </w:p>
        </w:tc>
      </w:tr>
      <w:tr>
        <w:tc>
          <w:tcPr>
            <w:tcW w:type="dxa" w:w="2608"/>
            <w:tcBorders>
              <w:top w:val="none"/>
              <w:bottom w:val="single" w:sz="4" w:space="0" w:color="auto"/>
              <w:left w:val="none"/>
              <w:right w:val="none"/>
            </w:tcBorders>
          </w:tcPr>
          <w:p>
            <w:pPr>
              <w:pStyle w:val="IEEETableCell"/>
              <w:jc w:val="left"/>
            </w:pPr>
            <w:r/>
            <w:r>
              <w:t>Brain Tumor Segmentation</w:t>
            </w:r>
          </w:p>
        </w:tc>
        <w:tc>
          <w:tcPr>
            <w:tcW w:type="dxa" w:w="2608"/>
            <w:tcBorders>
              <w:top w:val="none"/>
              <w:bottom w:val="single" w:sz="4" w:space="0" w:color="auto"/>
              <w:left w:val="none"/>
              <w:right w:val="none"/>
            </w:tcBorders>
          </w:tcPr>
          <w:p>
            <w:pPr>
              <w:pStyle w:val="IEEETableCell"/>
              <w:jc w:val="left"/>
            </w:pPr>
            <w:r/>
            <w:r>
              <w:t>U-Net</w:t>
            </w:r>
          </w:p>
        </w:tc>
        <w:tc>
          <w:tcPr>
            <w:tcW w:type="dxa" w:w="2608"/>
            <w:tcBorders>
              <w:top w:val="none"/>
              <w:bottom w:val="single" w:sz="4" w:space="0" w:color="auto"/>
              <w:left w:val="none"/>
              <w:right w:val="none"/>
            </w:tcBorders>
          </w:tcPr>
          <w:p>
            <w:pPr>
              <w:pStyle w:val="IEEETableCell"/>
              <w:jc w:val="left"/>
            </w:pPr>
            <w:r/>
            <w:r>
              <w:t>91.3%</w:t>
            </w:r>
          </w:p>
        </w:tc>
        <w:tc>
          <w:tcPr>
            <w:tcW w:type="dxa" w:w="2608"/>
            <w:tcBorders>
              <w:top w:val="none"/>
              <w:bottom w:val="single" w:sz="4" w:space="0" w:color="auto"/>
              <w:left w:val="none"/>
              <w:right w:val="none"/>
            </w:tcBorders>
          </w:tcPr>
          <w:p>
            <w:pPr>
              <w:pStyle w:val="IEEETableCell"/>
              <w:jc w:val="left"/>
            </w:pPr>
            <w:r/>
            <w:r>
              <w:t>35,000</w:t>
            </w:r>
          </w:p>
        </w:tc>
      </w:tr>
    </w:tbl>
    <w:p/>
    <w:p>
      <w:pPr>
        <w:pStyle w:val="IEEEHeading2"/>
        <w:numPr>
          <w:ilvl w:val="0"/>
          <w:numId w:val="20"/>
        </w:numPr>
        <w:spacing w:after="0"/>
        <w:rPr>
          <w:rFonts w:ascii="Helvetica" w:hAnsi="Helvetica"/>
          <w:b/>
          <w:bCs/>
          <w:color w:val="404040" w:themeColor="text1" w:themeTint="BF"/>
          <w:sz w:val="18"/>
          <w:szCs w:val="18"/>
          <w:lang w:val="en-US"/>
        </w:rPr>
      </w:pPr>
      <w:r>
        <w:rPr>
          <w:rFonts w:ascii="Helvetica" w:hAnsi="Helvetica"/>
          <w:b/>
          <w:bCs/>
          <w:i/>
          <w:color w:val="404040" w:themeColor="text1" w:themeTint="BF"/>
          <w:sz w:val="18"/>
          <w:szCs w:val="18"/>
          <w:lang w:val="en-US"/>
        </w:rPr>
        <w:t>DISEASE PREDICTION</w:t>
      </w:r>
    </w:p>
    <w:p>
      <w:pPr>
        <w:pStyle w:val="IEEEParagraph"/>
        <w:ind w:firstLine="288"/>
        <w:rPr>
          <w:szCs w:val="20"/>
          <w:lang w:val="en-US"/>
        </w:rPr>
      </w:pPr>
      <w:r>
        <w:rPr>
          <w:b w:val="0"/>
          <w:i w:val="0"/>
          <w:szCs w:val="20"/>
          <w:u w:val="none"/>
          <w:lang w:val="en-US"/>
        </w:rPr>
        <w:t>Predictive models use patient data to forecast disease onset, progression, and outcomes. Random forests, gradient boosting, and neural networks are commonly employed for risk stratification and early warning systems.</w:t>
      </w:r>
    </w:p>
    <w:p>
      <w:pPr>
        <w:pStyle w:val="IEEEHeading2"/>
        <w:numPr>
          <w:ilvl w:val="0"/>
          <w:numId w:val="20"/>
        </w:numPr>
        <w:spacing w:after="0"/>
        <w:rPr>
          <w:rFonts w:ascii="Helvetica" w:hAnsi="Helvetica"/>
          <w:b/>
          <w:bCs/>
          <w:color w:val="404040" w:themeColor="text1" w:themeTint="BF"/>
          <w:sz w:val="18"/>
          <w:szCs w:val="18"/>
          <w:lang w:val="en-US"/>
        </w:rPr>
      </w:pPr>
      <w:r>
        <w:rPr>
          <w:rFonts w:ascii="Helvetica" w:hAnsi="Helvetica"/>
          <w:b/>
          <w:bCs/>
          <w:i/>
          <w:color w:val="404040" w:themeColor="text1" w:themeTint="BF"/>
          <w:sz w:val="18"/>
          <w:szCs w:val="18"/>
          <w:lang w:val="en-US"/>
        </w:rPr>
        <w:t>DRUG DISCOVERY</w:t>
      </w:r>
    </w:p>
    <w:p>
      <w:pPr>
        <w:pStyle w:val="IEEEParagraph"/>
        <w:ind w:firstLine="288"/>
        <w:rPr>
          <w:szCs w:val="20"/>
          <w:lang w:val="en-US"/>
        </w:rPr>
      </w:pPr>
      <w:r>
        <w:rPr>
          <w:b w:val="0"/>
          <w:i w:val="0"/>
          <w:szCs w:val="20"/>
          <w:u w:val="none"/>
          <w:lang w:val="en-US"/>
        </w:rPr>
        <w:t>ML accelerates drug discovery by predicting molecular properties, identifying drug targets, and optimizing compound structures. Deep learning models can screen millions of compounds in silico, significantly reducing time and cost.</w:t>
      </w:r>
    </w:p>
    <w:p>
      <w:pPr>
        <w:pStyle w:val="IEEEHeading1"/>
        <w:spacing w:after="0"/>
        <w:contextualSpacing/>
        <w:jc w:val="left"/>
        <w:rPr>
          <w:b/>
          <w:bCs/>
          <w:color w:val="0070C0"/>
          <w:lang w:val="en-US"/>
        </w:rPr>
      </w:pPr>
      <w:r>
        <w:rPr>
          <w:rFonts w:ascii="Helvetica" w:hAnsi="Helvetica"/>
          <w:b/>
          <w:bCs/>
          <w:color w:val="0070C0"/>
          <w:sz w:val="18"/>
          <w:szCs w:val="18"/>
          <w:lang w:val="en-US"/>
        </w:rPr>
        <w:t>CHALLENGES AND LIMITATIONS</w:t>
      </w:r>
    </w:p>
    <w:p>
      <w:pPr>
        <w:pStyle w:val="IEEEParagraph"/>
        <w:ind w:firstLine="288"/>
        <w:rPr>
          <w:szCs w:val="20"/>
          <w:lang w:val="en-US"/>
        </w:rPr>
      </w:pPr>
      <w:r>
        <w:rPr>
          <w:b w:val="0"/>
          <w:i w:val="0"/>
          <w:szCs w:val="20"/>
          <w:u w:val="none"/>
          <w:lang w:val="en-US"/>
        </w:rPr>
        <w:t>Despite significant progress, several challenges hinder widespread adoption of ML in healthcare.</w:t>
      </w:r>
    </w:p>
    <w:p>
      <w:pPr>
        <w:pStyle w:val="IEEEHeading2"/>
        <w:numPr>
          <w:ilvl w:val="0"/>
          <w:numId w:val="21"/>
        </w:numPr>
        <w:spacing w:after="0"/>
        <w:rPr>
          <w:rFonts w:ascii="Helvetica" w:hAnsi="Helvetica"/>
          <w:b/>
          <w:bCs/>
          <w:color w:val="404040" w:themeColor="text1" w:themeTint="BF"/>
          <w:sz w:val="18"/>
          <w:szCs w:val="18"/>
          <w:lang w:val="en-US"/>
        </w:rPr>
      </w:pPr>
      <w:r>
        <w:rPr>
          <w:rFonts w:ascii="Helvetica" w:hAnsi="Helvetica"/>
          <w:b/>
          <w:bCs/>
          <w:i/>
          <w:color w:val="404040" w:themeColor="text1" w:themeTint="BF"/>
          <w:sz w:val="18"/>
          <w:szCs w:val="18"/>
          <w:lang w:val="en-US"/>
        </w:rPr>
        <w:t>DATA PRIVACY AND SECURITY</w:t>
      </w:r>
    </w:p>
    <w:p>
      <w:pPr>
        <w:pStyle w:val="IEEEParagraph"/>
        <w:ind w:firstLine="288"/>
        <w:rPr>
          <w:szCs w:val="20"/>
          <w:lang w:val="en-US"/>
        </w:rPr>
      </w:pPr>
      <w:r>
        <w:rPr>
          <w:b w:val="0"/>
          <w:i w:val="0"/>
          <w:szCs w:val="20"/>
          <w:u w:val="none"/>
          <w:lang w:val="en-US"/>
        </w:rPr>
        <w:t>Healthcare data is highly sensitive and subject to strict regulations (HIPAA, GDPR). Ensuring privacy while enabling ML model training requires techniques such as federated learning, differential privacy, and secure multi-party computation.</w:t>
      </w:r>
    </w:p>
    <w:p>
      <w:pPr>
        <w:pStyle w:val="IEEEHeading2"/>
        <w:numPr>
          <w:ilvl w:val="0"/>
          <w:numId w:val="21"/>
        </w:numPr>
        <w:spacing w:after="0"/>
        <w:rPr>
          <w:rFonts w:ascii="Helvetica" w:hAnsi="Helvetica"/>
          <w:b/>
          <w:bCs/>
          <w:color w:val="404040" w:themeColor="text1" w:themeTint="BF"/>
          <w:sz w:val="18"/>
          <w:szCs w:val="18"/>
          <w:lang w:val="en-US"/>
        </w:rPr>
      </w:pPr>
      <w:r>
        <w:rPr>
          <w:rFonts w:ascii="Helvetica" w:hAnsi="Helvetica"/>
          <w:b/>
          <w:bCs/>
          <w:i/>
          <w:color w:val="404040" w:themeColor="text1" w:themeTint="BF"/>
          <w:sz w:val="18"/>
          <w:szCs w:val="18"/>
          <w:lang w:val="en-US"/>
        </w:rPr>
        <w:t>MODEL INTERPRETABILITY</w:t>
      </w:r>
    </w:p>
    <w:p>
      <w:pPr>
        <w:pStyle w:val="IEEEParagraph"/>
        <w:ind w:firstLine="288"/>
        <w:rPr>
          <w:szCs w:val="20"/>
          <w:lang w:val="en-US"/>
        </w:rPr>
      </w:pPr>
      <w:r>
        <w:rPr>
          <w:b w:val="0"/>
          <w:i w:val="0"/>
          <w:szCs w:val="20"/>
          <w:u w:val="none"/>
          <w:lang w:val="en-US"/>
        </w:rPr>
        <w:t>Deep learning models often function as black boxes, making it difficult for clinicians to understand and trust their predictions. Explainable AI (XAI) methods such as attention mechanisms, saliency maps, and SHAP values help address this limitation.</w:t>
      </w:r>
    </w:p>
    <w:p>
      <w:pPr>
        <w:pStyle w:val="IEEEHeading2"/>
        <w:numPr>
          <w:ilvl w:val="0"/>
          <w:numId w:val="21"/>
        </w:numPr>
        <w:spacing w:after="0"/>
        <w:rPr>
          <w:rFonts w:ascii="Helvetica" w:hAnsi="Helvetica"/>
          <w:b/>
          <w:bCs/>
          <w:color w:val="404040" w:themeColor="text1" w:themeTint="BF"/>
          <w:sz w:val="18"/>
          <w:szCs w:val="18"/>
          <w:lang w:val="en-US"/>
        </w:rPr>
      </w:pPr>
      <w:r>
        <w:rPr>
          <w:rFonts w:ascii="Helvetica" w:hAnsi="Helvetica"/>
          <w:b/>
          <w:bCs/>
          <w:i/>
          <w:color w:val="404040" w:themeColor="text1" w:themeTint="BF"/>
          <w:sz w:val="18"/>
          <w:szCs w:val="18"/>
          <w:lang w:val="en-US"/>
        </w:rPr>
        <w:t>CLINICAL INTEGRATION</w:t>
      </w:r>
    </w:p>
    <w:p>
      <w:pPr>
        <w:pStyle w:val="IEEEParagraph"/>
        <w:ind w:firstLine="288"/>
        <w:rPr>
          <w:szCs w:val="20"/>
          <w:lang w:val="en-US"/>
        </w:rPr>
      </w:pPr>
      <w:r>
        <w:rPr>
          <w:b w:val="0"/>
          <w:i w:val="0"/>
          <w:szCs w:val="20"/>
          <w:u w:val="none"/>
          <w:lang w:val="en-US"/>
        </w:rPr>
        <w:t>Integrating ML systems into clinical workflows requires careful consideration of usability, validation, and regulatory approval. Models must be robust, reliable, and aligned with clinical practice guidelines.</w:t>
      </w:r>
    </w:p>
    <w:p>
      <w:pPr>
        <w:pStyle w:val="IEEEHeading1"/>
        <w:spacing w:after="0"/>
        <w:contextualSpacing/>
        <w:jc w:val="left"/>
        <w:rPr>
          <w:b/>
          <w:bCs/>
          <w:color w:val="0070C0"/>
          <w:lang w:val="en-US"/>
        </w:rPr>
      </w:pPr>
      <w:r>
        <w:rPr>
          <w:rFonts w:ascii="Helvetica" w:hAnsi="Helvetica"/>
          <w:b/>
          <w:bCs/>
          <w:color w:val="0070C0"/>
          <w:sz w:val="18"/>
          <w:szCs w:val="18"/>
          <w:lang w:val="en-US"/>
        </w:rPr>
        <w:t>FUTURE DIRECTIONS</w:t>
      </w:r>
    </w:p>
    <w:p>
      <w:pPr>
        <w:pStyle w:val="IEEEParagraph"/>
        <w:ind w:firstLine="288"/>
        <w:rPr>
          <w:szCs w:val="20"/>
          <w:lang w:val="en-US"/>
        </w:rPr>
      </w:pPr>
      <w:r>
        <w:rPr>
          <w:b w:val="0"/>
          <w:i w:val="0"/>
          <w:szCs w:val="20"/>
          <w:u w:val="none"/>
          <w:lang w:val="en-US"/>
        </w:rPr>
        <w:t>The future of ML in healthcare is promising, with several emerging trends and research directions.</w:t>
      </w:r>
    </w:p>
    <w:p>
      <w:pPr>
        <w:pStyle w:val="IEEEHeading2"/>
        <w:numPr>
          <w:ilvl w:val="0"/>
          <w:numId w:val="22"/>
        </w:numPr>
        <w:spacing w:after="0"/>
        <w:rPr>
          <w:rFonts w:ascii="Helvetica" w:hAnsi="Helvetica"/>
          <w:b/>
          <w:bCs/>
          <w:color w:val="404040" w:themeColor="text1" w:themeTint="BF"/>
          <w:sz w:val="18"/>
          <w:szCs w:val="18"/>
          <w:lang w:val="en-US"/>
        </w:rPr>
      </w:pPr>
      <w:r>
        <w:rPr>
          <w:rFonts w:ascii="Helvetica" w:hAnsi="Helvetica"/>
          <w:b/>
          <w:bCs/>
          <w:i/>
          <w:color w:val="404040" w:themeColor="text1" w:themeTint="BF"/>
          <w:sz w:val="18"/>
          <w:szCs w:val="18"/>
          <w:lang w:val="en-US"/>
        </w:rPr>
        <w:t>FEDERATED LEARNING</w:t>
      </w:r>
    </w:p>
    <w:p>
      <w:pPr>
        <w:pStyle w:val="IEEEParagraph"/>
        <w:ind w:firstLine="288"/>
        <w:rPr>
          <w:szCs w:val="20"/>
          <w:lang w:val="en-US"/>
        </w:rPr>
      </w:pPr>
      <w:r>
        <w:rPr>
          <w:b w:val="0"/>
          <w:i w:val="0"/>
          <w:szCs w:val="20"/>
          <w:u w:val="none"/>
          <w:lang w:val="en-US"/>
        </w:rPr>
        <w:t>Federated learning enables collaborative model training across institutions without sharing raw data, addressing privacy concerns while leveraging diverse datasets.</w:t>
      </w:r>
    </w:p>
    <w:p>
      <w:pPr>
        <w:pStyle w:val="IEEEHeading2"/>
        <w:numPr>
          <w:ilvl w:val="0"/>
          <w:numId w:val="22"/>
        </w:numPr>
        <w:spacing w:after="0"/>
        <w:rPr>
          <w:rFonts w:ascii="Helvetica" w:hAnsi="Helvetica"/>
          <w:b/>
          <w:bCs/>
          <w:color w:val="404040" w:themeColor="text1" w:themeTint="BF"/>
          <w:sz w:val="18"/>
          <w:szCs w:val="18"/>
          <w:lang w:val="en-US"/>
        </w:rPr>
      </w:pPr>
      <w:r>
        <w:rPr>
          <w:rFonts w:ascii="Helvetica" w:hAnsi="Helvetica"/>
          <w:b/>
          <w:bCs/>
          <w:i/>
          <w:color w:val="404040" w:themeColor="text1" w:themeTint="BF"/>
          <w:sz w:val="18"/>
          <w:szCs w:val="18"/>
          <w:lang w:val="en-US"/>
        </w:rPr>
        <w:t>MULTIMODAL LEARNING</w:t>
      </w:r>
    </w:p>
    <w:p>
      <w:pPr>
        <w:pStyle w:val="IEEEParagraph"/>
        <w:ind w:firstLine="288"/>
        <w:rPr>
          <w:szCs w:val="20"/>
          <w:lang w:val="en-US"/>
        </w:rPr>
      </w:pPr>
      <w:r>
        <w:rPr>
          <w:b w:val="0"/>
          <w:i w:val="0"/>
          <w:szCs w:val="20"/>
          <w:u w:val="none"/>
          <w:lang w:val="en-US"/>
        </w:rPr>
        <w:t>Integrating multiple data modalities (imaging, genomics, EHRs) can improve diagnostic accuracy and enable more comprehensive patient assessment.</w:t>
      </w:r>
    </w:p>
    <w:p>
      <w:pPr>
        <w:pStyle w:val="IEEEHeading2"/>
        <w:numPr>
          <w:ilvl w:val="0"/>
          <w:numId w:val="22"/>
        </w:numPr>
        <w:spacing w:after="0"/>
        <w:rPr>
          <w:rFonts w:ascii="Helvetica" w:hAnsi="Helvetica"/>
          <w:b/>
          <w:bCs/>
          <w:color w:val="404040" w:themeColor="text1" w:themeTint="BF"/>
          <w:sz w:val="18"/>
          <w:szCs w:val="18"/>
          <w:lang w:val="en-US"/>
        </w:rPr>
      </w:pPr>
      <w:r>
        <w:rPr>
          <w:rFonts w:ascii="Helvetica" w:hAnsi="Helvetica"/>
          <w:b/>
          <w:bCs/>
          <w:i/>
          <w:color w:val="404040" w:themeColor="text1" w:themeTint="BF"/>
          <w:sz w:val="18"/>
          <w:szCs w:val="18"/>
          <w:lang w:val="en-US"/>
        </w:rPr>
        <w:t>REAL-TIME CLINICAL DECISION SUPPORT</w:t>
      </w:r>
    </w:p>
    <w:p>
      <w:pPr>
        <w:pStyle w:val="IEEEParagraph"/>
        <w:ind w:firstLine="288"/>
        <w:rPr>
          <w:szCs w:val="20"/>
          <w:lang w:val="en-US"/>
        </w:rPr>
      </w:pPr>
      <w:r>
        <w:rPr>
          <w:b w:val="0"/>
          <w:i w:val="0"/>
          <w:szCs w:val="20"/>
          <w:u w:val="none"/>
          <w:lang w:val="en-US"/>
        </w:rPr>
        <w:t>Deploying ML models at the point of care can provide real-time recommendations, alerts, and decision support to clinicians, improving patient outcomes and reducing errors.</w:t>
      </w:r>
    </w:p>
    <w:p>
      <w:pPr>
        <w:pStyle w:val="IEEEHeading1"/>
        <w:spacing w:after="0"/>
        <w:contextualSpacing/>
        <w:jc w:val="left"/>
        <w:rPr>
          <w:b/>
          <w:bCs/>
          <w:color w:val="0070C0"/>
          <w:lang w:val="en-US"/>
        </w:rPr>
      </w:pPr>
      <w:r>
        <w:rPr>
          <w:rFonts w:ascii="Helvetica" w:hAnsi="Helvetica"/>
          <w:b/>
          <w:bCs/>
          <w:color w:val="0070C0"/>
          <w:sz w:val="18"/>
          <w:szCs w:val="18"/>
          <w:lang w:val="en-US"/>
        </w:rPr>
        <w:t>CONCLUSION</w:t>
      </w:r>
    </w:p>
    <w:p>
      <w:pPr>
        <w:pStyle w:val="IEEEParagraph"/>
        <w:ind w:firstLine="288"/>
        <w:rPr>
          <w:szCs w:val="20"/>
          <w:lang w:val="en-US"/>
        </w:rPr>
      </w:pPr>
      <w:r>
        <w:rPr>
          <w:b w:val="0"/>
          <w:i w:val="0"/>
          <w:szCs w:val="20"/>
          <w:u w:val="none"/>
          <w:lang w:val="en-US"/>
        </w:rPr>
        <w:t>Machine learning has demonstrated significant potential in transforming healthcare through improved diagnostics, personalized treatment, and predictive analytics. While challenges remain in data privacy, model interpretability, and clinical integration, ongoing research and technological advances continue to address these limitations. The future of healthcare will likely see increasing collaboration between ML systems and human clinicians, combining the strengths of both to deliver better patient care.</w:t>
      </w:r>
    </w:p>
    <w:p>
      <w:pPr>
        <w:pStyle w:val="IEEEParagraph"/>
        <w:rPr>
          <w:lang w:val="en-US"/>
        </w:rPr>
        <w:sectPr w:rsidR="00717B84" w:rsidRPr="00DF537E" w:rsidSect="00DE7F64">
          <w:type w:val="continuous"/>
          <w:pgSz w:w="11906" w:h="16838"/>
          <w:pgMar w:top="1304" w:right="737" w:bottom="1021" w:left="737" w:header="431" w:footer="431" w:gutter="0"/>
          <w:cols w:num="2" w:space="403"/>
          <w:docGrid w:linePitch="360"/>
        </w:sectPr>
      </w:pPr>
    </w:p>
    <w:sectPr w:rsidR="0003115F" w:rsidRPr="00DF537E" w:rsidSect="006D0510">
      <w:type w:val="continuous"/>
      <w:pgSz w:w="11906" w:h="16838"/>
      <w:pgMar w:top="1304" w:right="737" w:bottom="1021" w:left="737" w:header="431" w:footer="431" w:gutter="0"/>
      <w:cols w:num="2" w:space="403"/>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F89E0A" w14:textId="77777777" w:rsidR="000D6978" w:rsidRDefault="000D6978" w:rsidP="00BD0603">
      <w:r>
        <w:separator/>
      </w:r>
    </w:p>
  </w:endnote>
  <w:endnote w:type="continuationSeparator" w:id="0">
    <w:p w14:paraId="11688D86" w14:textId="77777777" w:rsidR="000D6978" w:rsidRDefault="000D6978" w:rsidP="00BD06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TimesLTStd-Roman">
    <w:altName w:val="Times New Roman"/>
    <w:panose1 w:val="020B0604020202020204"/>
    <w:charset w:val="00"/>
    <w:family w:val="auto"/>
    <w:notTrueType/>
    <w:pitch w:val="default"/>
    <w:sig w:usb0="00000003" w:usb1="00000000" w:usb2="00000000" w:usb3="00000000" w:csb0="00000001" w:csb1="00000000"/>
  </w:font>
  <w:font w:name="Times">
    <w:altName w:val="Sylfaen"/>
    <w:panose1 w:val="00000500000000020000"/>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B7875B" w14:textId="77777777" w:rsidR="00A225DD" w:rsidRPr="00C36842" w:rsidRDefault="00A225DD" w:rsidP="0080480D">
    <w:pPr>
      <w:pStyle w:val="Footer"/>
      <w:tabs>
        <w:tab w:val="clear" w:pos="4320"/>
        <w:tab w:val="clear" w:pos="8640"/>
        <w:tab w:val="right" w:pos="10263"/>
      </w:tabs>
      <w:rPr>
        <w:sz w:val="18"/>
        <w:szCs w:val="18"/>
        <w:lang w:val="en-US"/>
      </w:rPr>
    </w:pPr>
    <w:r w:rsidRPr="00274E4E">
      <w:rPr>
        <w:rFonts w:ascii="Helvetica" w:hAnsi="Helvetica"/>
        <w:sz w:val="16"/>
        <w:szCs w:val="16"/>
        <w:highlight w:val="yellow"/>
      </w:rPr>
      <w:t/>
    </w:r>
    <w:r w:rsidRPr="00C36842">
      <w:rPr>
        <w:sz w:val="18"/>
        <w:szCs w:val="18"/>
        <w:lang w:val="en-US"/>
      </w:rPr>
      <w:tab/>
    </w:r>
    <w:r w:rsidRPr="00C36842">
      <w:rPr>
        <w:sz w:val="18"/>
        <w:szCs w:val="18"/>
      </w:rPr>
      <w:t xml:space="preserve">Smith et al.: Machine Learning Applications in...</w:t>
    </w:r>
    <w:r>
      <w:rPr>
        <w:sz w:val="18"/>
        <w:szCs w:val="18"/>
      </w:rPr>
      <w:t/>
    </w:r>
    <w:r w:rsidRPr="00C36842">
      <w:rPr>
        <w:sz w:val="18"/>
        <w:szCs w:val="18"/>
      </w:rPr>
      <w:t xml:space="preserv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DB63B1" w14:textId="49B18ECF" w:rsidR="00A225DD" w:rsidRPr="00912BD7" w:rsidRDefault="00A225DD" w:rsidP="00B26BA3">
    <w:pPr>
      <w:pStyle w:val="Header"/>
      <w:tabs>
        <w:tab w:val="clear" w:pos="4513"/>
        <w:tab w:val="clear" w:pos="9026"/>
        <w:tab w:val="center" w:pos="10427"/>
      </w:tabs>
      <w:ind w:left="-113" w:right="-113"/>
      <w:rPr>
        <w:rFonts w:ascii="Helvetica" w:hAnsi="Helvetica"/>
        <w:sz w:val="14"/>
        <w:szCs w:val="14"/>
        <w:lang w:val="en-US"/>
      </w:rPr>
    </w:pPr>
    <w:r w:rsidRPr="00D55550">
      <w:rPr>
        <w:rFonts w:ascii="Helvetica" w:hAnsi="Helvetica"/>
        <w:sz w:val="16"/>
        <w:szCs w:val="16"/>
      </w:rPr>
      <w:t>Smith et al.: Machine Learning Applications in...</w:t>
    </w:r>
    <w:r w:rsidR="00912BD7">
      <w:rPr>
        <w:rFonts w:ascii="Helvetica" w:hAnsi="Helvetica"/>
        <w:sz w:val="16"/>
        <w:szCs w:val="16"/>
      </w:rPr>
      <w:tab/>
    </w:r>
    <w:r w:rsidR="00912BD7" w:rsidRPr="00056068">
      <w:rPr>
        <w:rFonts w:ascii="Helvetica" w:hAnsi="Helvetica"/>
        <w:sz w:val="16"/>
        <w:szCs w:val="16"/>
        <w:lang w:val="en-US"/>
      </w:rPr>
      <w:t>p-</w:t>
    </w:r>
    <w:r w:rsidR="00912BD7" w:rsidRPr="00056068">
      <w:rPr>
        <w:rFonts w:ascii="Helvetica" w:hAnsi="Helvetica"/>
        <w:sz w:val="16"/>
        <w:szCs w:val="16"/>
        <w:lang w:val="id-ID"/>
      </w:rPr>
      <w:t xml:space="preserve">ISSN 2301–4156 </w:t>
    </w:r>
    <w:r w:rsidR="00912BD7" w:rsidRPr="00056068">
      <w:rPr>
        <w:rFonts w:ascii="Helvetica" w:hAnsi="Helvetica"/>
        <w:sz w:val="16"/>
        <w:szCs w:val="16"/>
        <w:lang w:val="en-US"/>
      </w:rPr>
      <w:t>| e-ISSN 24</w:t>
    </w:r>
    <w:r w:rsidR="00912BD7" w:rsidRPr="00056068">
      <w:rPr>
        <w:rFonts w:ascii="Helvetica" w:hAnsi="Helvetica"/>
        <w:sz w:val="16"/>
        <w:szCs w:val="16"/>
        <w:lang w:val="id-ID"/>
      </w:rPr>
      <w:t>6</w:t>
    </w:r>
    <w:r w:rsidR="00912BD7" w:rsidRPr="00056068">
      <w:rPr>
        <w:rFonts w:ascii="Helvetica" w:hAnsi="Helvetica"/>
        <w:sz w:val="16"/>
        <w:szCs w:val="16"/>
        <w:lang w:val="en-US"/>
      </w:rPr>
      <w:t>0</w:t>
    </w:r>
    <w:r w:rsidR="00912BD7" w:rsidRPr="00056068">
      <w:rPr>
        <w:rFonts w:ascii="Helvetica" w:hAnsi="Helvetica"/>
        <w:sz w:val="16"/>
        <w:szCs w:val="16"/>
        <w:lang w:val="id-ID"/>
      </w:rPr>
      <w:t>–</w:t>
    </w:r>
    <w:r w:rsidR="00912BD7" w:rsidRPr="00056068">
      <w:rPr>
        <w:rFonts w:ascii="Helvetica" w:hAnsi="Helvetica"/>
        <w:sz w:val="16"/>
        <w:szCs w:val="16"/>
        <w:lang w:val="en-US"/>
      </w:rPr>
      <w:t>5719</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B8EFC2" w14:textId="5C6D67EF" w:rsidR="00C1327B" w:rsidRPr="00C32FC5" w:rsidRDefault="005C60FB" w:rsidP="00B26BA3">
    <w:pPr>
      <w:pStyle w:val="Footer"/>
      <w:tabs>
        <w:tab w:val="clear" w:pos="4320"/>
        <w:tab w:val="clear" w:pos="8640"/>
        <w:tab w:val="right" w:pos="10427"/>
      </w:tabs>
      <w:ind w:left="-113" w:right="-113"/>
      <w:rPr>
        <w:rFonts w:ascii="Helvetica" w:hAnsi="Helvetica"/>
        <w:sz w:val="16"/>
        <w:szCs w:val="16"/>
      </w:rPr>
    </w:pPr>
    <w:r w:rsidRPr="00056068">
      <w:rPr>
        <w:rFonts w:ascii="Helvetica" w:hAnsi="Helvetica"/>
        <w:sz w:val="16"/>
        <w:szCs w:val="16"/>
        <w:lang w:val="en-US"/>
      </w:rPr>
      <w:t>p-</w:t>
    </w:r>
    <w:r w:rsidRPr="00056068">
      <w:rPr>
        <w:rFonts w:ascii="Helvetica" w:hAnsi="Helvetica"/>
        <w:sz w:val="16"/>
        <w:szCs w:val="16"/>
        <w:lang w:val="id-ID"/>
      </w:rPr>
      <w:t xml:space="preserve">ISSN 2301–4156 </w:t>
    </w:r>
    <w:r w:rsidRPr="00056068">
      <w:rPr>
        <w:rFonts w:ascii="Helvetica" w:hAnsi="Helvetica"/>
        <w:sz w:val="16"/>
        <w:szCs w:val="16"/>
        <w:lang w:val="en-US"/>
      </w:rPr>
      <w:t>| e-ISSN 24</w:t>
    </w:r>
    <w:r w:rsidRPr="00056068">
      <w:rPr>
        <w:rFonts w:ascii="Helvetica" w:hAnsi="Helvetica"/>
        <w:sz w:val="16"/>
        <w:szCs w:val="16"/>
        <w:lang w:val="id-ID"/>
      </w:rPr>
      <w:t>6</w:t>
    </w:r>
    <w:r w:rsidRPr="00056068">
      <w:rPr>
        <w:rFonts w:ascii="Helvetica" w:hAnsi="Helvetica"/>
        <w:sz w:val="16"/>
        <w:szCs w:val="16"/>
        <w:lang w:val="en-US"/>
      </w:rPr>
      <w:t>0</w:t>
    </w:r>
    <w:r w:rsidRPr="00056068">
      <w:rPr>
        <w:rFonts w:ascii="Helvetica" w:hAnsi="Helvetica"/>
        <w:sz w:val="16"/>
        <w:szCs w:val="16"/>
        <w:lang w:val="id-ID"/>
      </w:rPr>
      <w:t>–</w:t>
    </w:r>
    <w:r w:rsidRPr="00056068">
      <w:rPr>
        <w:rFonts w:ascii="Helvetica" w:hAnsi="Helvetica"/>
        <w:sz w:val="16"/>
        <w:szCs w:val="16"/>
        <w:lang w:val="en-US"/>
      </w:rPr>
      <w:t>5719</w:t>
    </w:r>
    <w:r w:rsidR="00C32FC5" w:rsidRPr="005878B2">
      <w:rPr>
        <w:rFonts w:ascii="Helvetica" w:hAnsi="Helvetica"/>
        <w:sz w:val="16"/>
        <w:szCs w:val="16"/>
      </w:rPr>
      <w:tab/>
      <w:t>Smith et al.: Machine Learning Applications in...</w:t>
    </w:r>
    <w:r w:rsidR="00C57F98">
      <w:rPr>
        <w:rFonts w:ascii="Helvetica" w:hAnsi="Helvetica"/>
        <w:sz w:val="16"/>
        <w:szCs w:val="16"/>
      </w:rPr>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5F5906" w14:textId="29E1DFCC" w:rsidR="00C1327B" w:rsidRPr="0098478D" w:rsidRDefault="0098478D" w:rsidP="00B26BA3">
    <w:pPr>
      <w:pStyle w:val="Footer"/>
      <w:tabs>
        <w:tab w:val="clear" w:pos="4320"/>
        <w:tab w:val="clear" w:pos="8640"/>
        <w:tab w:val="right" w:pos="10427"/>
      </w:tabs>
      <w:ind w:left="-113" w:right="-113"/>
      <w:rPr>
        <w:rFonts w:ascii="Helvetica" w:hAnsi="Helvetica"/>
        <w:sz w:val="16"/>
        <w:szCs w:val="16"/>
      </w:rPr>
    </w:pPr>
    <w:r w:rsidRPr="005878B2">
      <w:rPr>
        <w:rFonts w:ascii="Helvetica" w:hAnsi="Helvetica"/>
        <w:sz w:val="16"/>
        <w:szCs w:val="16"/>
      </w:rPr>
      <w:t>Smith et al.: Machine Learning Applications in...</w:t>
    </w:r>
    <w:r w:rsidRPr="005878B2">
      <w:rPr>
        <w:rFonts w:ascii="Helvetica" w:hAnsi="Helvetica"/>
        <w:sz w:val="16"/>
        <w:szCs w:val="16"/>
      </w:rPr>
      <w:tab/>
    </w:r>
    <w:r w:rsidR="00C57F98" w:rsidRPr="00056068">
      <w:rPr>
        <w:rFonts w:ascii="Helvetica" w:hAnsi="Helvetica"/>
        <w:sz w:val="16"/>
        <w:szCs w:val="16"/>
        <w:lang w:val="en-US"/>
      </w:rPr>
      <w:t>p-</w:t>
    </w:r>
    <w:r w:rsidR="00C57F98" w:rsidRPr="00056068">
      <w:rPr>
        <w:rFonts w:ascii="Helvetica" w:hAnsi="Helvetica"/>
        <w:sz w:val="16"/>
        <w:szCs w:val="16"/>
        <w:lang w:val="id-ID"/>
      </w:rPr>
      <w:t xml:space="preserve">ISSN 2301–4156 </w:t>
    </w:r>
    <w:r w:rsidR="00C57F98" w:rsidRPr="00056068">
      <w:rPr>
        <w:rFonts w:ascii="Helvetica" w:hAnsi="Helvetica"/>
        <w:sz w:val="16"/>
        <w:szCs w:val="16"/>
        <w:lang w:val="en-US"/>
      </w:rPr>
      <w:t>| e-ISSN 24</w:t>
    </w:r>
    <w:r w:rsidR="00C57F98" w:rsidRPr="00056068">
      <w:rPr>
        <w:rFonts w:ascii="Helvetica" w:hAnsi="Helvetica"/>
        <w:sz w:val="16"/>
        <w:szCs w:val="16"/>
        <w:lang w:val="id-ID"/>
      </w:rPr>
      <w:t>6</w:t>
    </w:r>
    <w:r w:rsidR="00C57F98" w:rsidRPr="00056068">
      <w:rPr>
        <w:rFonts w:ascii="Helvetica" w:hAnsi="Helvetica"/>
        <w:sz w:val="16"/>
        <w:szCs w:val="16"/>
        <w:lang w:val="en-US"/>
      </w:rPr>
      <w:t>0</w:t>
    </w:r>
    <w:r w:rsidR="00C57F98" w:rsidRPr="00056068">
      <w:rPr>
        <w:rFonts w:ascii="Helvetica" w:hAnsi="Helvetica"/>
        <w:sz w:val="16"/>
        <w:szCs w:val="16"/>
        <w:lang w:val="id-ID"/>
      </w:rPr>
      <w:t>–</w:t>
    </w:r>
    <w:r w:rsidR="00C57F98" w:rsidRPr="00056068">
      <w:rPr>
        <w:rFonts w:ascii="Helvetica" w:hAnsi="Helvetica"/>
        <w:sz w:val="16"/>
        <w:szCs w:val="16"/>
        <w:lang w:val="en-US"/>
      </w:rPr>
      <w:t>5719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6CD2FC" w14:textId="77777777" w:rsidR="000D6978" w:rsidRDefault="000D6978" w:rsidP="00BD0603">
      <w:r>
        <w:separator/>
      </w:r>
    </w:p>
  </w:footnote>
  <w:footnote w:type="continuationSeparator" w:id="0">
    <w:p w14:paraId="7094ACB0" w14:textId="77777777" w:rsidR="000D6978" w:rsidRDefault="000D6978" w:rsidP="00BD06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D52820" w14:textId="77777777" w:rsidR="00A225DD" w:rsidRPr="00C36842" w:rsidRDefault="00A225DD" w:rsidP="005606DB">
    <w:pPr>
      <w:pStyle w:val="Header"/>
      <w:tabs>
        <w:tab w:val="right" w:pos="10263"/>
      </w:tabs>
      <w:rPr>
        <w:smallCaps/>
        <w:sz w:val="18"/>
        <w:szCs w:val="18"/>
        <w:lang w:val="en-US"/>
      </w:rPr>
    </w:pPr>
    <w:r w:rsidRPr="00C36842">
      <w:rPr>
        <w:smallCaps/>
        <w:noProof/>
        <w:sz w:val="18"/>
        <w:szCs w:val="18"/>
        <w:lang w:val="en-US"/>
      </w:rPr>
      <w:tab/>
    </w:r>
  </w:p>
  <w:tbl>
    <w:tblPr>
      <w:tblStyle w:val="TableGrid"/>
      <w:tblW w:w="0" w:type="auto"/>
      <w:jc w:val="center"/>
      <w:tblBorders>
        <w:top w:val="none" w:sz="0" w:space="0" w:color="auto"/>
        <w:left w:val="none" w:sz="0" w:space="0" w:color="auto"/>
        <w:right w:val="none" w:sz="0" w:space="0" w:color="auto"/>
      </w:tblBorders>
      <w:tblLayout w:type="fixed"/>
      <w:tblLook w:val="04A0" w:firstRow="1" w:lastRow="0" w:firstColumn="1" w:lastColumn="0" w:noHBand="0" w:noVBand="1"/>
    </w:tblPr>
    <w:tblGrid>
      <w:gridCol w:w="1276"/>
      <w:gridCol w:w="9156"/>
    </w:tblGrid>
    <w:tr w:rsidR="00A225DD" w14:paraId="4219B5AC" w14:textId="77777777" w:rsidTr="00630385">
      <w:trPr>
        <w:jc w:val="center"/>
      </w:trPr>
      <w:tc>
        <w:tcPr>
          <w:tcW w:w="1276" w:type="dxa"/>
          <w:vAlign w:val="center"/>
        </w:tcPr>
        <w:p w14:paraId="3671212D" w14:textId="77777777" w:rsidR="00A225DD" w:rsidRPr="00630385" w:rsidRDefault="00A225DD" w:rsidP="00630385">
          <w:pPr>
            <w:pStyle w:val="Header"/>
            <w:ind w:left="-57"/>
            <w:rPr>
              <w:rFonts w:ascii="Helvetica" w:hAnsi="Helvetica"/>
              <w:b/>
              <w:bCs/>
              <w:color w:val="0070C0"/>
              <w:sz w:val="18"/>
              <w:szCs w:val="18"/>
            </w:rPr>
          </w:pPr>
          <w:r w:rsidRPr="00630385">
            <w:rPr>
              <w:rFonts w:ascii="Helvetica" w:hAnsi="Helvetica"/>
              <w:b/>
              <w:bCs/>
              <w:color w:val="000000" w:themeColor="text1"/>
              <w:sz w:val="18"/>
              <w:szCs w:val="18"/>
            </w:rPr>
            <w:t>ID 2</w:t>
          </w:r>
        </w:p>
      </w:tc>
      <w:tc>
        <w:tcPr>
          <w:tcW w:w="9156" w:type="dxa"/>
        </w:tcPr>
        <w:p w14:paraId="2D12951D" w14:textId="77777777" w:rsidR="00A225DD" w:rsidRPr="00BF420A" w:rsidRDefault="00A225DD" w:rsidP="00630385">
          <w:pPr>
            <w:pStyle w:val="Header"/>
            <w:ind w:left="-57"/>
            <w:jc w:val="right"/>
            <w:rPr>
              <w:rFonts w:ascii="Helvetica" w:hAnsi="Helvetica"/>
              <w:b/>
              <w:bCs/>
              <w:color w:val="0070C0"/>
              <w:sz w:val="20"/>
              <w:szCs w:val="20"/>
            </w:rPr>
          </w:pPr>
          <w:r w:rsidRPr="00BF420A">
            <w:rPr>
              <w:rFonts w:ascii="Helvetica" w:hAnsi="Helvetica"/>
              <w:b/>
              <w:bCs/>
              <w:color w:val="0070C0"/>
              <w:sz w:val="20"/>
              <w:szCs w:val="20"/>
            </w:rPr>
            <w:t>JNTETI</w:t>
          </w:r>
        </w:p>
        <w:p w14:paraId="3CEF443D" w14:textId="77777777" w:rsidR="00A225DD" w:rsidRDefault="00A225DD" w:rsidP="00630385">
          <w:pPr>
            <w:pStyle w:val="Header"/>
            <w:ind w:right="-113"/>
            <w:jc w:val="right"/>
            <w:rPr>
              <w:sz w:val="18"/>
              <w:szCs w:val="18"/>
            </w:rPr>
          </w:pPr>
          <w:r>
            <w:rPr>
              <w:rFonts w:ascii="Helvetica" w:hAnsi="Helvetica"/>
              <w:sz w:val="14"/>
              <w:szCs w:val="14"/>
              <w:lang w:val="en-US"/>
            </w:rPr>
            <w:t>p-</w:t>
          </w:r>
          <w:r w:rsidRPr="00BF420A">
            <w:rPr>
              <w:rFonts w:ascii="Helvetica" w:hAnsi="Helvetica"/>
              <w:sz w:val="14"/>
              <w:szCs w:val="14"/>
              <w:lang w:val="id-ID"/>
            </w:rPr>
            <w:t xml:space="preserve">ISSN 2301–4156 </w:t>
          </w:r>
          <w:r w:rsidRPr="00BF420A">
            <w:rPr>
              <w:rFonts w:ascii="Helvetica" w:hAnsi="Helvetica"/>
              <w:sz w:val="14"/>
              <w:szCs w:val="14"/>
              <w:lang w:val="en-US"/>
            </w:rPr>
            <w:t>| e</w:t>
          </w:r>
          <w:r>
            <w:rPr>
              <w:rFonts w:ascii="Helvetica" w:hAnsi="Helvetica"/>
              <w:sz w:val="14"/>
              <w:szCs w:val="14"/>
              <w:lang w:val="en-US"/>
            </w:rPr>
            <w:t>-ISSN</w:t>
          </w:r>
          <w:r w:rsidRPr="00BF420A">
            <w:rPr>
              <w:rFonts w:ascii="Helvetica" w:hAnsi="Helvetica"/>
              <w:sz w:val="14"/>
              <w:szCs w:val="14"/>
              <w:lang w:val="en-US"/>
            </w:rPr>
            <w:t xml:space="preserve"> 24</w:t>
          </w:r>
          <w:r w:rsidRPr="00BF420A">
            <w:rPr>
              <w:rFonts w:ascii="Helvetica" w:hAnsi="Helvetica"/>
              <w:sz w:val="14"/>
              <w:szCs w:val="14"/>
              <w:lang w:val="id-ID"/>
            </w:rPr>
            <w:t>6</w:t>
          </w:r>
          <w:r w:rsidRPr="00BF420A">
            <w:rPr>
              <w:rFonts w:ascii="Helvetica" w:hAnsi="Helvetica"/>
              <w:sz w:val="14"/>
              <w:szCs w:val="14"/>
              <w:lang w:val="en-US"/>
            </w:rPr>
            <w:t>0</w:t>
          </w:r>
          <w:r w:rsidRPr="00BF420A">
            <w:rPr>
              <w:rFonts w:ascii="Helvetica" w:hAnsi="Helvetica"/>
              <w:sz w:val="14"/>
              <w:szCs w:val="14"/>
              <w:lang w:val="id-ID"/>
            </w:rPr>
            <w:t>–</w:t>
          </w:r>
          <w:r w:rsidRPr="00BF420A">
            <w:rPr>
              <w:rFonts w:ascii="Helvetica" w:hAnsi="Helvetica"/>
              <w:sz w:val="14"/>
              <w:szCs w:val="14"/>
              <w:lang w:val="en-US"/>
            </w:rPr>
            <w:t>5719</w:t>
          </w:r>
        </w:p>
      </w:tc>
    </w:tr>
  </w:tbl>
  <w:p w14:paraId="6F5B5555" w14:textId="77777777" w:rsidR="00A225DD" w:rsidRPr="00C36842" w:rsidRDefault="00A225DD" w:rsidP="005606DB">
    <w:pPr>
      <w:pStyle w:val="Header"/>
      <w:tabs>
        <w:tab w:val="right" w:pos="10263"/>
      </w:tabs>
      <w:rPr>
        <w:smallCaps/>
        <w:sz w:val="18"/>
        <w:szCs w:val="18"/>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22"/>
    </w:tblGrid>
    <w:tr w:rsidR="00C7590B" w:rsidRPr="004B58E2" w14:paraId="5AE850D4" w14:textId="77777777" w:rsidTr="00A04C28">
      <w:tc>
        <w:tcPr>
          <w:tcW w:w="10422" w:type="dxa"/>
        </w:tcPr>
        <w:p w14:paraId="68B44EBF" w14:textId="6F7B52F5" w:rsidR="00C7590B" w:rsidRPr="004B58E2" w:rsidRDefault="00C7590B" w:rsidP="00B26BA3">
          <w:pPr>
            <w:pStyle w:val="Header"/>
            <w:ind w:left="-113" w:right="-113"/>
            <w:rPr>
              <w:rFonts w:ascii="Helvetica" w:hAnsi="Helvetica"/>
              <w:b/>
              <w:bCs/>
              <w:color w:val="0070C0"/>
              <w:sz w:val="18"/>
              <w:szCs w:val="18"/>
            </w:rPr>
          </w:pPr>
          <w:r w:rsidRPr="004B58E2">
            <w:rPr>
              <w:rFonts w:ascii="Helvetica" w:hAnsi="Helvetica"/>
              <w:b/>
              <w:bCs/>
              <w:color w:val="0070C0"/>
              <w:sz w:val="18"/>
              <w:szCs w:val="18"/>
            </w:rPr>
            <w:t>J</w:t>
          </w:r>
          <w:r w:rsidR="00DE7F64">
            <w:rPr>
              <w:rFonts w:ascii="Helvetica" w:hAnsi="Helvetica"/>
              <w:b/>
              <w:bCs/>
              <w:color w:val="0070C0"/>
              <w:sz w:val="18"/>
              <w:szCs w:val="18"/>
            </w:rPr>
            <w:t>urnal</w:t>
          </w:r>
          <w:r w:rsidRPr="004B58E2">
            <w:rPr>
              <w:rFonts w:ascii="Helvetica" w:hAnsi="Helvetica"/>
              <w:b/>
              <w:bCs/>
              <w:color w:val="0070C0"/>
              <w:sz w:val="18"/>
              <w:szCs w:val="18"/>
            </w:rPr>
            <w:t xml:space="preserve"> N</w:t>
          </w:r>
          <w:r w:rsidR="00DE7F64">
            <w:rPr>
              <w:rFonts w:ascii="Helvetica" w:hAnsi="Helvetica"/>
              <w:b/>
              <w:bCs/>
              <w:color w:val="0070C0"/>
              <w:sz w:val="18"/>
              <w:szCs w:val="18"/>
            </w:rPr>
            <w:t>asional</w:t>
          </w:r>
          <w:r w:rsidRPr="004B58E2">
            <w:rPr>
              <w:rFonts w:ascii="Helvetica" w:hAnsi="Helvetica"/>
              <w:b/>
              <w:bCs/>
              <w:color w:val="0070C0"/>
              <w:sz w:val="18"/>
              <w:szCs w:val="18"/>
            </w:rPr>
            <w:t xml:space="preserve"> T</w:t>
          </w:r>
          <w:r w:rsidR="00DE7F64">
            <w:rPr>
              <w:rFonts w:ascii="Helvetica" w:hAnsi="Helvetica"/>
              <w:b/>
              <w:bCs/>
              <w:color w:val="0070C0"/>
              <w:sz w:val="18"/>
              <w:szCs w:val="18"/>
            </w:rPr>
            <w:t>eknik</w:t>
          </w:r>
          <w:r w:rsidRPr="004B58E2">
            <w:rPr>
              <w:rFonts w:ascii="Helvetica" w:hAnsi="Helvetica"/>
              <w:b/>
              <w:bCs/>
              <w:color w:val="0070C0"/>
              <w:sz w:val="18"/>
              <w:szCs w:val="18"/>
            </w:rPr>
            <w:t xml:space="preserve"> E</w:t>
          </w:r>
          <w:r w:rsidR="00DE7F64">
            <w:rPr>
              <w:rFonts w:ascii="Helvetica" w:hAnsi="Helvetica"/>
              <w:b/>
              <w:bCs/>
              <w:color w:val="0070C0"/>
              <w:sz w:val="18"/>
              <w:szCs w:val="18"/>
            </w:rPr>
            <w:t>lektro</w:t>
          </w:r>
          <w:r w:rsidRPr="004B58E2">
            <w:rPr>
              <w:rFonts w:ascii="Helvetica" w:hAnsi="Helvetica"/>
              <w:b/>
              <w:bCs/>
              <w:color w:val="0070C0"/>
              <w:sz w:val="18"/>
              <w:szCs w:val="18"/>
            </w:rPr>
            <w:t xml:space="preserve"> </w:t>
          </w:r>
          <w:r w:rsidR="00DE7F64">
            <w:rPr>
              <w:rFonts w:ascii="Helvetica" w:hAnsi="Helvetica"/>
              <w:b/>
              <w:bCs/>
              <w:color w:val="0070C0"/>
              <w:sz w:val="18"/>
              <w:szCs w:val="18"/>
            </w:rPr>
            <w:t>dan</w:t>
          </w:r>
          <w:r w:rsidRPr="004B58E2">
            <w:rPr>
              <w:rFonts w:ascii="Helvetica" w:hAnsi="Helvetica"/>
              <w:b/>
              <w:bCs/>
              <w:color w:val="0070C0"/>
              <w:sz w:val="18"/>
              <w:szCs w:val="18"/>
            </w:rPr>
            <w:t xml:space="preserve"> T</w:t>
          </w:r>
          <w:r w:rsidR="00DE7F64">
            <w:rPr>
              <w:rFonts w:ascii="Helvetica" w:hAnsi="Helvetica"/>
              <w:b/>
              <w:bCs/>
              <w:color w:val="0070C0"/>
              <w:sz w:val="18"/>
              <w:szCs w:val="18"/>
            </w:rPr>
            <w:t>eknologi</w:t>
          </w:r>
          <w:r w:rsidRPr="004B58E2">
            <w:rPr>
              <w:rFonts w:ascii="Helvetica" w:hAnsi="Helvetica"/>
              <w:b/>
              <w:bCs/>
              <w:color w:val="0070C0"/>
              <w:sz w:val="18"/>
              <w:szCs w:val="18"/>
            </w:rPr>
            <w:t xml:space="preserve"> I</w:t>
          </w:r>
          <w:r w:rsidR="00DE7F64">
            <w:rPr>
              <w:rFonts w:ascii="Helvetica" w:hAnsi="Helvetica"/>
              <w:b/>
              <w:bCs/>
              <w:color w:val="0070C0"/>
              <w:sz w:val="18"/>
              <w:szCs w:val="18"/>
            </w:rPr>
            <w:t>nformasi</w:t>
          </w:r>
        </w:p>
        <w:p w14:paraId="3AF65119" w14:textId="5BC623A3" w:rsidR="00C7590B" w:rsidRDefault="00912BD7" w:rsidP="00B26BA3">
          <w:pPr>
            <w:pStyle w:val="Header"/>
            <w:ind w:left="-113" w:right="-113"/>
            <w:rPr>
              <w:rFonts w:ascii="Helvetica" w:hAnsi="Helvetica"/>
              <w:sz w:val="14"/>
              <w:szCs w:val="14"/>
            </w:rPr>
          </w:pPr>
          <w:r w:rsidRPr="00021716">
            <w:rPr>
              <w:rFonts w:ascii="Helvetica" w:hAnsi="Helvetica"/>
              <w:sz w:val="14"/>
              <w:szCs w:val="14"/>
            </w:rPr>
            <w:t>Volume 1</w:t>
          </w:r>
          <w:r w:rsidR="00DE7F64">
            <w:rPr>
              <w:rFonts w:ascii="Helvetica" w:hAnsi="Helvetica"/>
              <w:sz w:val="14"/>
              <w:szCs w:val="14"/>
            </w:rPr>
            <w:t>4</w:t>
          </w:r>
          <w:r w:rsidRPr="00021716">
            <w:rPr>
              <w:rFonts w:ascii="Helvetica" w:hAnsi="Helvetica"/>
              <w:sz w:val="14"/>
              <w:szCs w:val="14"/>
            </w:rPr>
            <w:t xml:space="preserve"> Number </w:t>
          </w:r>
          <w:r w:rsidR="001E4ADD">
            <w:rPr>
              <w:rFonts w:ascii="Helvetica" w:hAnsi="Helvetica"/>
              <w:sz w:val="14"/>
              <w:szCs w:val="14"/>
            </w:rPr>
            <w:t>1</w:t>
          </w:r>
          <w:r w:rsidRPr="00021716">
            <w:rPr>
              <w:rFonts w:ascii="Helvetica" w:hAnsi="Helvetica"/>
              <w:sz w:val="14"/>
              <w:szCs w:val="14"/>
            </w:rPr>
            <w:t xml:space="preserve"> </w:t>
          </w:r>
          <w:r w:rsidR="001E4ADD">
            <w:rPr>
              <w:rFonts w:ascii="Helvetica" w:hAnsi="Helvetica"/>
              <w:sz w:val="14"/>
              <w:szCs w:val="14"/>
            </w:rPr>
            <w:t>February 202</w:t>
          </w:r>
          <w:r w:rsidR="00DE7F64">
            <w:rPr>
              <w:rFonts w:ascii="Helvetica" w:hAnsi="Helvetica"/>
              <w:sz w:val="14"/>
              <w:szCs w:val="14"/>
            </w:rPr>
            <w:t>5</w:t>
          </w:r>
        </w:p>
        <w:p w14:paraId="6A690B6D" w14:textId="53FAEAF5" w:rsidR="00912BD7" w:rsidRPr="00912BD7" w:rsidRDefault="00912BD7" w:rsidP="00912BD7">
          <w:pPr>
            <w:pStyle w:val="Header"/>
            <w:ind w:left="-57"/>
            <w:rPr>
              <w:color w:val="000000" w:themeColor="text1"/>
              <w:sz w:val="14"/>
              <w:szCs w:val="14"/>
            </w:rPr>
          </w:pPr>
        </w:p>
      </w:tc>
    </w:tr>
  </w:tbl>
  <w:p w14:paraId="393EA239" w14:textId="3CDD3DF1" w:rsidR="00A225DD" w:rsidRPr="00C36842" w:rsidRDefault="00A225DD" w:rsidP="005376F2">
    <w:pPr>
      <w:pStyle w:val="Header"/>
      <w:rPr>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22"/>
    </w:tblGrid>
    <w:tr w:rsidR="00C7590B" w:rsidRPr="00056068" w14:paraId="4CAD03D7" w14:textId="77777777" w:rsidTr="00B34A38">
      <w:tc>
        <w:tcPr>
          <w:tcW w:w="10422" w:type="dxa"/>
        </w:tcPr>
        <w:p w14:paraId="72C7063A" w14:textId="3DF4BEBE" w:rsidR="00C7590B" w:rsidRPr="00056068" w:rsidRDefault="00DE7F64" w:rsidP="00B26BA3">
          <w:pPr>
            <w:pStyle w:val="Header"/>
            <w:ind w:left="-113" w:right="-113"/>
            <w:jc w:val="right"/>
            <w:rPr>
              <w:rFonts w:ascii="Helvetica" w:hAnsi="Helvetica"/>
              <w:b/>
              <w:bCs/>
              <w:color w:val="0070C0"/>
              <w:sz w:val="18"/>
              <w:szCs w:val="18"/>
            </w:rPr>
          </w:pPr>
          <w:r>
            <w:rPr>
              <w:rFonts w:ascii="Helvetica" w:hAnsi="Helvetica"/>
              <w:b/>
              <w:bCs/>
              <w:color w:val="0070C0"/>
              <w:sz w:val="18"/>
              <w:szCs w:val="18"/>
            </w:rPr>
            <w:t>Jurnal Nasional Teknik Elektro dan Teknologi Informasi</w:t>
          </w:r>
        </w:p>
        <w:p w14:paraId="245BEE56" w14:textId="76D4317E" w:rsidR="005C60FB" w:rsidRPr="00056068" w:rsidRDefault="005C60FB" w:rsidP="00B26BA3">
          <w:pPr>
            <w:pStyle w:val="Header"/>
            <w:ind w:left="-113" w:right="-113"/>
            <w:jc w:val="right"/>
            <w:rPr>
              <w:rFonts w:ascii="Helvetica" w:hAnsi="Helvetica"/>
              <w:sz w:val="14"/>
              <w:szCs w:val="14"/>
            </w:rPr>
          </w:pPr>
          <w:r w:rsidRPr="00056068">
            <w:rPr>
              <w:rFonts w:ascii="Helvetica" w:hAnsi="Helvetica"/>
              <w:sz w:val="14"/>
              <w:szCs w:val="14"/>
            </w:rPr>
            <w:t>Volume 1</w:t>
          </w:r>
          <w:r w:rsidR="00DE7F64">
            <w:rPr>
              <w:rFonts w:ascii="Helvetica" w:hAnsi="Helvetica"/>
              <w:sz w:val="14"/>
              <w:szCs w:val="14"/>
            </w:rPr>
            <w:t>4</w:t>
          </w:r>
          <w:r w:rsidRPr="00056068">
            <w:rPr>
              <w:rFonts w:ascii="Helvetica" w:hAnsi="Helvetica"/>
              <w:sz w:val="14"/>
              <w:szCs w:val="14"/>
            </w:rPr>
            <w:t xml:space="preserve"> Number </w:t>
          </w:r>
          <w:r w:rsidR="001E4ADD">
            <w:rPr>
              <w:rFonts w:ascii="Helvetica" w:hAnsi="Helvetica"/>
              <w:sz w:val="14"/>
              <w:szCs w:val="14"/>
            </w:rPr>
            <w:t>1</w:t>
          </w:r>
          <w:r w:rsidRPr="00056068">
            <w:rPr>
              <w:rFonts w:ascii="Helvetica" w:hAnsi="Helvetica"/>
              <w:sz w:val="14"/>
              <w:szCs w:val="14"/>
            </w:rPr>
            <w:t xml:space="preserve"> </w:t>
          </w:r>
          <w:r w:rsidR="001E4ADD">
            <w:rPr>
              <w:rFonts w:ascii="Helvetica" w:hAnsi="Helvetica"/>
              <w:sz w:val="14"/>
              <w:szCs w:val="14"/>
            </w:rPr>
            <w:t>February 202</w:t>
          </w:r>
          <w:r w:rsidR="00DE7F64">
            <w:rPr>
              <w:rFonts w:ascii="Helvetica" w:hAnsi="Helvetica"/>
              <w:sz w:val="14"/>
              <w:szCs w:val="14"/>
            </w:rPr>
            <w:t>4</w:t>
          </w:r>
        </w:p>
        <w:p w14:paraId="41B15F97" w14:textId="3C7BC1CF" w:rsidR="00C7590B" w:rsidRPr="00056068" w:rsidRDefault="00C7590B" w:rsidP="00C32FC5">
          <w:pPr>
            <w:pStyle w:val="Header"/>
            <w:ind w:right="-113"/>
            <w:jc w:val="right"/>
            <w:rPr>
              <w:color w:val="000000" w:themeColor="text1"/>
              <w:sz w:val="18"/>
              <w:szCs w:val="18"/>
            </w:rPr>
          </w:pPr>
        </w:p>
      </w:tc>
    </w:tr>
  </w:tbl>
  <w:p w14:paraId="3845051A" w14:textId="15DB9A7C" w:rsidR="00C1327B" w:rsidRPr="00031C01" w:rsidRDefault="00C1327B" w:rsidP="00E67D30">
    <w:pPr>
      <w:pStyle w:val="Header"/>
      <w:tabs>
        <w:tab w:val="clear" w:pos="4513"/>
        <w:tab w:val="clear" w:pos="9026"/>
        <w:tab w:val="right" w:pos="10263"/>
      </w:tabs>
      <w:rPr>
        <w:sz w:val="18"/>
        <w:szCs w:val="18"/>
        <w:lang w:val="id-ID"/>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22"/>
    </w:tblGrid>
    <w:tr w:rsidR="00C7590B" w:rsidRPr="004B58E2" w14:paraId="6BD20BB8" w14:textId="77777777" w:rsidTr="009A6CAA">
      <w:tc>
        <w:tcPr>
          <w:tcW w:w="10422" w:type="dxa"/>
        </w:tcPr>
        <w:p w14:paraId="2698DADB" w14:textId="77777777" w:rsidR="00DE7F64" w:rsidRPr="004B58E2" w:rsidRDefault="00DE7F64" w:rsidP="00DE7F64">
          <w:pPr>
            <w:pStyle w:val="Header"/>
            <w:ind w:left="-113" w:right="-113"/>
            <w:rPr>
              <w:rFonts w:ascii="Helvetica" w:hAnsi="Helvetica"/>
              <w:b/>
              <w:bCs/>
              <w:color w:val="0070C0"/>
              <w:sz w:val="18"/>
              <w:szCs w:val="18"/>
            </w:rPr>
          </w:pPr>
          <w:r w:rsidRPr="004B58E2">
            <w:rPr>
              <w:rFonts w:ascii="Helvetica" w:hAnsi="Helvetica"/>
              <w:b/>
              <w:bCs/>
              <w:color w:val="0070C0"/>
              <w:sz w:val="18"/>
              <w:szCs w:val="18"/>
            </w:rPr>
            <w:t>J</w:t>
          </w:r>
          <w:r>
            <w:rPr>
              <w:rFonts w:ascii="Helvetica" w:hAnsi="Helvetica"/>
              <w:b/>
              <w:bCs/>
              <w:color w:val="0070C0"/>
              <w:sz w:val="18"/>
              <w:szCs w:val="18"/>
            </w:rPr>
            <w:t>urnal</w:t>
          </w:r>
          <w:r w:rsidRPr="004B58E2">
            <w:rPr>
              <w:rFonts w:ascii="Helvetica" w:hAnsi="Helvetica"/>
              <w:b/>
              <w:bCs/>
              <w:color w:val="0070C0"/>
              <w:sz w:val="18"/>
              <w:szCs w:val="18"/>
            </w:rPr>
            <w:t xml:space="preserve"> N</w:t>
          </w:r>
          <w:r>
            <w:rPr>
              <w:rFonts w:ascii="Helvetica" w:hAnsi="Helvetica"/>
              <w:b/>
              <w:bCs/>
              <w:color w:val="0070C0"/>
              <w:sz w:val="18"/>
              <w:szCs w:val="18"/>
            </w:rPr>
            <w:t>asional</w:t>
          </w:r>
          <w:r w:rsidRPr="004B58E2">
            <w:rPr>
              <w:rFonts w:ascii="Helvetica" w:hAnsi="Helvetica"/>
              <w:b/>
              <w:bCs/>
              <w:color w:val="0070C0"/>
              <w:sz w:val="18"/>
              <w:szCs w:val="18"/>
            </w:rPr>
            <w:t xml:space="preserve"> T</w:t>
          </w:r>
          <w:r>
            <w:rPr>
              <w:rFonts w:ascii="Helvetica" w:hAnsi="Helvetica"/>
              <w:b/>
              <w:bCs/>
              <w:color w:val="0070C0"/>
              <w:sz w:val="18"/>
              <w:szCs w:val="18"/>
            </w:rPr>
            <w:t>eknik</w:t>
          </w:r>
          <w:r w:rsidRPr="004B58E2">
            <w:rPr>
              <w:rFonts w:ascii="Helvetica" w:hAnsi="Helvetica"/>
              <w:b/>
              <w:bCs/>
              <w:color w:val="0070C0"/>
              <w:sz w:val="18"/>
              <w:szCs w:val="18"/>
            </w:rPr>
            <w:t xml:space="preserve"> E</w:t>
          </w:r>
          <w:r>
            <w:rPr>
              <w:rFonts w:ascii="Helvetica" w:hAnsi="Helvetica"/>
              <w:b/>
              <w:bCs/>
              <w:color w:val="0070C0"/>
              <w:sz w:val="18"/>
              <w:szCs w:val="18"/>
            </w:rPr>
            <w:t>lektro</w:t>
          </w:r>
          <w:r w:rsidRPr="004B58E2">
            <w:rPr>
              <w:rFonts w:ascii="Helvetica" w:hAnsi="Helvetica"/>
              <w:b/>
              <w:bCs/>
              <w:color w:val="0070C0"/>
              <w:sz w:val="18"/>
              <w:szCs w:val="18"/>
            </w:rPr>
            <w:t xml:space="preserve"> </w:t>
          </w:r>
          <w:r>
            <w:rPr>
              <w:rFonts w:ascii="Helvetica" w:hAnsi="Helvetica"/>
              <w:b/>
              <w:bCs/>
              <w:color w:val="0070C0"/>
              <w:sz w:val="18"/>
              <w:szCs w:val="18"/>
            </w:rPr>
            <w:t>dan</w:t>
          </w:r>
          <w:r w:rsidRPr="004B58E2">
            <w:rPr>
              <w:rFonts w:ascii="Helvetica" w:hAnsi="Helvetica"/>
              <w:b/>
              <w:bCs/>
              <w:color w:val="0070C0"/>
              <w:sz w:val="18"/>
              <w:szCs w:val="18"/>
            </w:rPr>
            <w:t xml:space="preserve"> T</w:t>
          </w:r>
          <w:r>
            <w:rPr>
              <w:rFonts w:ascii="Helvetica" w:hAnsi="Helvetica"/>
              <w:b/>
              <w:bCs/>
              <w:color w:val="0070C0"/>
              <w:sz w:val="18"/>
              <w:szCs w:val="18"/>
            </w:rPr>
            <w:t>eknologi</w:t>
          </w:r>
          <w:r w:rsidRPr="004B58E2">
            <w:rPr>
              <w:rFonts w:ascii="Helvetica" w:hAnsi="Helvetica"/>
              <w:b/>
              <w:bCs/>
              <w:color w:val="0070C0"/>
              <w:sz w:val="18"/>
              <w:szCs w:val="18"/>
            </w:rPr>
            <w:t xml:space="preserve"> I</w:t>
          </w:r>
          <w:r>
            <w:rPr>
              <w:rFonts w:ascii="Helvetica" w:hAnsi="Helvetica"/>
              <w:b/>
              <w:bCs/>
              <w:color w:val="0070C0"/>
              <w:sz w:val="18"/>
              <w:szCs w:val="18"/>
            </w:rPr>
            <w:t>nformasi</w:t>
          </w:r>
        </w:p>
        <w:p w14:paraId="45312069" w14:textId="1E15EEFA" w:rsidR="00C57F98" w:rsidRDefault="00C57F98" w:rsidP="00B26BA3">
          <w:pPr>
            <w:pStyle w:val="Header"/>
            <w:ind w:left="-113" w:right="-113"/>
            <w:rPr>
              <w:rFonts w:ascii="Helvetica" w:hAnsi="Helvetica"/>
              <w:sz w:val="14"/>
              <w:szCs w:val="14"/>
            </w:rPr>
          </w:pPr>
          <w:r w:rsidRPr="00021716">
            <w:rPr>
              <w:rFonts w:ascii="Helvetica" w:hAnsi="Helvetica"/>
              <w:sz w:val="14"/>
              <w:szCs w:val="14"/>
            </w:rPr>
            <w:t>Volume 1</w:t>
          </w:r>
          <w:r w:rsidR="00DE7F64">
            <w:rPr>
              <w:rFonts w:ascii="Helvetica" w:hAnsi="Helvetica"/>
              <w:sz w:val="14"/>
              <w:szCs w:val="14"/>
            </w:rPr>
            <w:t>4</w:t>
          </w:r>
          <w:r w:rsidRPr="00021716">
            <w:rPr>
              <w:rFonts w:ascii="Helvetica" w:hAnsi="Helvetica"/>
              <w:sz w:val="14"/>
              <w:szCs w:val="14"/>
            </w:rPr>
            <w:t xml:space="preserve"> Number </w:t>
          </w:r>
          <w:r>
            <w:rPr>
              <w:rFonts w:ascii="Helvetica" w:hAnsi="Helvetica"/>
              <w:sz w:val="14"/>
              <w:szCs w:val="14"/>
            </w:rPr>
            <w:t>1</w:t>
          </w:r>
          <w:r w:rsidRPr="00021716">
            <w:rPr>
              <w:rFonts w:ascii="Helvetica" w:hAnsi="Helvetica"/>
              <w:sz w:val="14"/>
              <w:szCs w:val="14"/>
            </w:rPr>
            <w:t xml:space="preserve"> </w:t>
          </w:r>
          <w:r>
            <w:rPr>
              <w:rFonts w:ascii="Helvetica" w:hAnsi="Helvetica"/>
              <w:sz w:val="14"/>
              <w:szCs w:val="14"/>
            </w:rPr>
            <w:t>February 202</w:t>
          </w:r>
          <w:r w:rsidR="00DE7F64">
            <w:rPr>
              <w:rFonts w:ascii="Helvetica" w:hAnsi="Helvetica"/>
              <w:sz w:val="14"/>
              <w:szCs w:val="14"/>
            </w:rPr>
            <w:t>5</w:t>
          </w:r>
        </w:p>
        <w:p w14:paraId="0EBC6096" w14:textId="06AC0751" w:rsidR="00C7590B" w:rsidRPr="004B58E2" w:rsidRDefault="00C7590B" w:rsidP="0098478D">
          <w:pPr>
            <w:pStyle w:val="Header"/>
            <w:ind w:right="-113"/>
            <w:jc w:val="right"/>
            <w:rPr>
              <w:color w:val="000000" w:themeColor="text1"/>
              <w:sz w:val="18"/>
              <w:szCs w:val="18"/>
            </w:rPr>
          </w:pPr>
        </w:p>
      </w:tc>
    </w:tr>
  </w:tbl>
  <w:p w14:paraId="4A1E558E" w14:textId="59086F56" w:rsidR="00C1327B" w:rsidRPr="0098478D" w:rsidRDefault="00C1327B" w:rsidP="009847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1"/>
    <w:multiLevelType w:val="singleLevel"/>
    <w:tmpl w:val="54AA5B84"/>
    <w:lvl w:ilvl="0">
      <w:start w:val="1"/>
      <w:numFmt w:val="bullet"/>
      <w:lvlText w:val=""/>
      <w:lvlJc w:val="left"/>
      <w:pPr>
        <w:tabs>
          <w:tab w:val="num" w:pos="1440"/>
        </w:tabs>
        <w:ind w:left="1440" w:hanging="360"/>
      </w:pPr>
      <w:rPr>
        <w:rFonts w:ascii="Symbol" w:hAnsi="Symbol" w:hint="default"/>
      </w:rPr>
    </w:lvl>
  </w:abstractNum>
  <w:abstractNum w:abstractNumId="1" w15:restartNumberingAfterBreak="0">
    <w:nsid w:val="023E2E4D"/>
    <w:multiLevelType w:val="multilevel"/>
    <w:tmpl w:val="794E3AB8"/>
    <w:lvl w:ilvl="0">
      <w:start w:val="1"/>
      <w:numFmt w:val="upperRoman"/>
      <w:pStyle w:val="IEEEHeading1"/>
      <w:lvlText w:val="%1."/>
      <w:lvlJc w:val="left"/>
      <w:pPr>
        <w:tabs>
          <w:tab w:val="num" w:pos="288"/>
        </w:tabs>
        <w:ind w:left="288" w:hanging="288"/>
      </w:pPr>
      <w:rPr>
        <w:rFonts w:ascii="Helvetica" w:eastAsia="Arial Unicode MS" w:hAnsi="Helvetica" w:cs="Times New Roman" w:hint="default"/>
        <w:b/>
        <w:bCs/>
        <w:i w:val="0"/>
        <w:iCs w:val="0"/>
        <w:caps/>
        <w:strike w:val="0"/>
        <w:dstrike w:val="0"/>
        <w:vanish w:val="0"/>
        <w:color w:val="0070C0"/>
        <w:spacing w:val="0"/>
        <w:kern w:val="0"/>
        <w:position w:val="0"/>
        <w:sz w:val="18"/>
        <w:szCs w:val="18"/>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0CAE0F60"/>
    <w:multiLevelType w:val="hybridMultilevel"/>
    <w:tmpl w:val="D2CA1EFC"/>
    <w:lvl w:ilvl="0" w:tplc="04090001">
      <w:start w:val="1"/>
      <w:numFmt w:val="bullet"/>
      <w:lvlText w:val=""/>
      <w:lvlJc w:val="left"/>
      <w:pPr>
        <w:ind w:left="936" w:hanging="360"/>
      </w:pPr>
      <w:rPr>
        <w:rFonts w:ascii="Symbol" w:hAnsi="Symbol"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3" w15:restartNumberingAfterBreak="0">
    <w:nsid w:val="2B855861"/>
    <w:multiLevelType w:val="multilevel"/>
    <w:tmpl w:val="F03245C6"/>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4" w15:restartNumberingAfterBreak="0">
    <w:nsid w:val="328273D7"/>
    <w:multiLevelType w:val="multilevel"/>
    <w:tmpl w:val="9C8E938C"/>
    <w:numStyleLink w:val="IEEEBullet1"/>
  </w:abstractNum>
  <w:abstractNum w:abstractNumId="5"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6" w15:restartNumberingAfterBreak="0">
    <w:nsid w:val="50232215"/>
    <w:multiLevelType w:val="multilevel"/>
    <w:tmpl w:val="BD6C675A"/>
    <w:lvl w:ilvl="0">
      <w:start w:val="1"/>
      <w:numFmt w:val="upperLetter"/>
      <w:pStyle w:val="IEEEHeading2"/>
      <w:lvlText w:val="%1."/>
      <w:lvlJc w:val="left"/>
      <w:pPr>
        <w:tabs>
          <w:tab w:val="num" w:pos="288"/>
        </w:tabs>
        <w:ind w:left="288" w:hanging="288"/>
      </w:pPr>
      <w:rPr>
        <w:rFonts w:ascii="Helvetica" w:eastAsia="Arial Unicode MS" w:hAnsi="Helvetica" w:cs="Times New Roman" w:hint="default"/>
        <w:b/>
        <w:bCs w:val="0"/>
        <w:i/>
        <w:iCs w:val="0"/>
        <w:caps/>
        <w:strike w:val="0"/>
        <w:dstrike w:val="0"/>
        <w:vanish w:val="0"/>
        <w:color w:val="404040" w:themeColor="text1" w:themeTint="BF"/>
        <w:spacing w:val="0"/>
        <w:kern w:val="0"/>
        <w:position w:val="0"/>
        <w:sz w:val="18"/>
        <w:szCs w:val="18"/>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6A7F4B21"/>
    <w:multiLevelType w:val="multilevel"/>
    <w:tmpl w:val="B7A81CEE"/>
    <w:lvl w:ilvl="0">
      <w:start w:val="1"/>
      <w:numFmt w:val="decimal"/>
      <w:pStyle w:val="IEEEHeading3"/>
      <w:suff w:val="nothing"/>
      <w:lvlText w:val="%1)  "/>
      <w:lvlJc w:val="left"/>
      <w:pPr>
        <w:ind w:left="0" w:firstLine="0"/>
      </w:pPr>
      <w:rPr>
        <w:rFonts w:hint="default"/>
        <w:i w:val="0"/>
        <w:iCs/>
        <w:color w:val="404040" w:themeColor="text1" w:themeTint="BF"/>
        <w:sz w:val="18"/>
        <w:szCs w:val="18"/>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8" w15:restartNumberingAfterBreak="0">
    <w:nsid w:val="7452357D"/>
    <w:multiLevelType w:val="multilevel"/>
    <w:tmpl w:val="892A7C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4611862">
    <w:abstractNumId w:val="7"/>
  </w:num>
  <w:num w:numId="2" w16cid:durableId="366494093">
    <w:abstractNumId w:val="5"/>
  </w:num>
  <w:num w:numId="3" w16cid:durableId="2092699180">
    <w:abstractNumId w:val="4"/>
    <w:lvlOverride w:ilvl="0">
      <w:lvl w:ilvl="0">
        <w:start w:val="1"/>
        <w:numFmt w:val="bullet"/>
        <w:lvlText w:val=""/>
        <w:lvlJc w:val="left"/>
        <w:pPr>
          <w:tabs>
            <w:tab w:val="num" w:pos="504"/>
          </w:tabs>
          <w:ind w:left="504" w:hanging="216"/>
        </w:pPr>
        <w:rPr>
          <w:rFonts w:ascii="Symbol" w:hAnsi="Symbol" w:cs="Times New Roman" w:hint="default"/>
          <w:sz w:val="16"/>
          <w:szCs w:val="16"/>
        </w:rPr>
      </w:lvl>
    </w:lvlOverride>
  </w:num>
  <w:num w:numId="4" w16cid:durableId="1452479035">
    <w:abstractNumId w:val="1"/>
  </w:num>
  <w:num w:numId="5" w16cid:durableId="54204546">
    <w:abstractNumId w:val="3"/>
  </w:num>
  <w:num w:numId="6" w16cid:durableId="147294352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7192762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10365446">
    <w:abstractNumId w:val="1"/>
  </w:num>
  <w:num w:numId="9" w16cid:durableId="342632734">
    <w:abstractNumId w:val="2"/>
  </w:num>
  <w:num w:numId="10" w16cid:durableId="97062617">
    <w:abstractNumId w:val="8"/>
  </w:num>
  <w:num w:numId="11" w16cid:durableId="331952159">
    <w:abstractNumId w:val="0"/>
  </w:num>
  <w:num w:numId="12" w16cid:durableId="23216247">
    <w:abstractNumId w:val="7"/>
  </w:num>
  <w:num w:numId="13" w16cid:durableId="147798765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5642493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320558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834103775">
    <w:abstractNumId w:val="1"/>
  </w:num>
  <w:num w:numId="17" w16cid:durableId="155369158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6"/>
    <w:lvlOverride w:ilvl="0">
      <w:startOverride w:val="1"/>
    </w:lvlOverride>
  </w:num>
  <w:num w:numId="19">
    <w:abstractNumId w:val="6"/>
    <w:lvlOverride w:ilvl="0">
      <w:startOverride w:val="1"/>
    </w:lvlOverride>
  </w:num>
  <w:num w:numId="20">
    <w:abstractNumId w:val="6"/>
    <w:lvlOverride w:ilvl="0">
      <w:startOverride w:val="1"/>
    </w:lvlOverride>
  </w:num>
  <w:num w:numId="21">
    <w:abstractNumId w:val="6"/>
    <w:lvlOverride w:ilvl="0">
      <w:startOverride w:val="1"/>
    </w:lvlOverride>
  </w:num>
  <w:num w:numId="22">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1"/>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K3NLOwsDCwMLawNDdV0lEKTi0uzszPAykwrgUAOhHEiywAAAA="/>
  </w:docVars>
  <w:rsids>
    <w:rsidRoot w:val="00BD0603"/>
    <w:rsid w:val="00021716"/>
    <w:rsid w:val="000306F2"/>
    <w:rsid w:val="00030F91"/>
    <w:rsid w:val="0003115F"/>
    <w:rsid w:val="00031C01"/>
    <w:rsid w:val="0003372A"/>
    <w:rsid w:val="00034F66"/>
    <w:rsid w:val="00035ED6"/>
    <w:rsid w:val="0004041F"/>
    <w:rsid w:val="00041758"/>
    <w:rsid w:val="000533A6"/>
    <w:rsid w:val="00056068"/>
    <w:rsid w:val="00064E57"/>
    <w:rsid w:val="00082883"/>
    <w:rsid w:val="00083384"/>
    <w:rsid w:val="00092823"/>
    <w:rsid w:val="000B010C"/>
    <w:rsid w:val="000B32CC"/>
    <w:rsid w:val="000B5D90"/>
    <w:rsid w:val="000B6B34"/>
    <w:rsid w:val="000C0362"/>
    <w:rsid w:val="000C46D5"/>
    <w:rsid w:val="000D0B5D"/>
    <w:rsid w:val="000D43FC"/>
    <w:rsid w:val="000D6978"/>
    <w:rsid w:val="000D7620"/>
    <w:rsid w:val="000F409E"/>
    <w:rsid w:val="00102241"/>
    <w:rsid w:val="00102E2A"/>
    <w:rsid w:val="00107FB1"/>
    <w:rsid w:val="00110146"/>
    <w:rsid w:val="00115D9D"/>
    <w:rsid w:val="00116A54"/>
    <w:rsid w:val="0011720E"/>
    <w:rsid w:val="00120A74"/>
    <w:rsid w:val="001216D6"/>
    <w:rsid w:val="00122DFA"/>
    <w:rsid w:val="00123B56"/>
    <w:rsid w:val="0012441E"/>
    <w:rsid w:val="00124973"/>
    <w:rsid w:val="00124F81"/>
    <w:rsid w:val="00126373"/>
    <w:rsid w:val="00126D0B"/>
    <w:rsid w:val="0013492F"/>
    <w:rsid w:val="001362CC"/>
    <w:rsid w:val="00137D11"/>
    <w:rsid w:val="0014160D"/>
    <w:rsid w:val="001422F9"/>
    <w:rsid w:val="00146857"/>
    <w:rsid w:val="001476C2"/>
    <w:rsid w:val="00147BAB"/>
    <w:rsid w:val="00153EF2"/>
    <w:rsid w:val="00155DB5"/>
    <w:rsid w:val="00156FD2"/>
    <w:rsid w:val="001636BC"/>
    <w:rsid w:val="00182949"/>
    <w:rsid w:val="001859D5"/>
    <w:rsid w:val="00192EC9"/>
    <w:rsid w:val="0019442E"/>
    <w:rsid w:val="001A2B01"/>
    <w:rsid w:val="001A2C97"/>
    <w:rsid w:val="001A2F59"/>
    <w:rsid w:val="001B0255"/>
    <w:rsid w:val="001B20F0"/>
    <w:rsid w:val="001C04DE"/>
    <w:rsid w:val="001C4629"/>
    <w:rsid w:val="001D0B87"/>
    <w:rsid w:val="001D1B2C"/>
    <w:rsid w:val="001D2FA4"/>
    <w:rsid w:val="001D4E3A"/>
    <w:rsid w:val="001E25B5"/>
    <w:rsid w:val="001E261F"/>
    <w:rsid w:val="001E2F22"/>
    <w:rsid w:val="001E47AD"/>
    <w:rsid w:val="001E47C6"/>
    <w:rsid w:val="001E4ADD"/>
    <w:rsid w:val="001F2BCF"/>
    <w:rsid w:val="001F2CDB"/>
    <w:rsid w:val="00200B17"/>
    <w:rsid w:val="00201692"/>
    <w:rsid w:val="002118AB"/>
    <w:rsid w:val="00217E3F"/>
    <w:rsid w:val="00227646"/>
    <w:rsid w:val="00227C36"/>
    <w:rsid w:val="00233616"/>
    <w:rsid w:val="00234ADC"/>
    <w:rsid w:val="00234DFF"/>
    <w:rsid w:val="0024218B"/>
    <w:rsid w:val="002444D2"/>
    <w:rsid w:val="0024617A"/>
    <w:rsid w:val="00256AEB"/>
    <w:rsid w:val="002570BA"/>
    <w:rsid w:val="002606A6"/>
    <w:rsid w:val="002612AA"/>
    <w:rsid w:val="00265FB7"/>
    <w:rsid w:val="0027407F"/>
    <w:rsid w:val="0028440A"/>
    <w:rsid w:val="002859CE"/>
    <w:rsid w:val="00286931"/>
    <w:rsid w:val="00287111"/>
    <w:rsid w:val="002918AB"/>
    <w:rsid w:val="00297258"/>
    <w:rsid w:val="002B584F"/>
    <w:rsid w:val="002C5D38"/>
    <w:rsid w:val="002D2A81"/>
    <w:rsid w:val="002D62C0"/>
    <w:rsid w:val="002E490D"/>
    <w:rsid w:val="002E4CFE"/>
    <w:rsid w:val="002E7388"/>
    <w:rsid w:val="002F1CF4"/>
    <w:rsid w:val="002F44DE"/>
    <w:rsid w:val="002F5F14"/>
    <w:rsid w:val="002F6F2D"/>
    <w:rsid w:val="003011B0"/>
    <w:rsid w:val="0031494B"/>
    <w:rsid w:val="003169D3"/>
    <w:rsid w:val="00317016"/>
    <w:rsid w:val="00321392"/>
    <w:rsid w:val="003218CC"/>
    <w:rsid w:val="00324751"/>
    <w:rsid w:val="00325DDE"/>
    <w:rsid w:val="00332C02"/>
    <w:rsid w:val="00341B61"/>
    <w:rsid w:val="00353167"/>
    <w:rsid w:val="00353F88"/>
    <w:rsid w:val="00364936"/>
    <w:rsid w:val="003665E7"/>
    <w:rsid w:val="003702F0"/>
    <w:rsid w:val="0037483F"/>
    <w:rsid w:val="00376ED7"/>
    <w:rsid w:val="00380BE1"/>
    <w:rsid w:val="00381522"/>
    <w:rsid w:val="00381E43"/>
    <w:rsid w:val="00381F13"/>
    <w:rsid w:val="00386966"/>
    <w:rsid w:val="00386B95"/>
    <w:rsid w:val="00392850"/>
    <w:rsid w:val="00393D56"/>
    <w:rsid w:val="003A1196"/>
    <w:rsid w:val="003A6FFC"/>
    <w:rsid w:val="003B4439"/>
    <w:rsid w:val="003C1664"/>
    <w:rsid w:val="003D2923"/>
    <w:rsid w:val="003D3695"/>
    <w:rsid w:val="003E31FE"/>
    <w:rsid w:val="003F239D"/>
    <w:rsid w:val="003F32CB"/>
    <w:rsid w:val="003F5FBE"/>
    <w:rsid w:val="003F708C"/>
    <w:rsid w:val="00400883"/>
    <w:rsid w:val="00402F5C"/>
    <w:rsid w:val="00406149"/>
    <w:rsid w:val="004109E8"/>
    <w:rsid w:val="00411CC3"/>
    <w:rsid w:val="004128C7"/>
    <w:rsid w:val="00416623"/>
    <w:rsid w:val="004235EF"/>
    <w:rsid w:val="00430696"/>
    <w:rsid w:val="00431063"/>
    <w:rsid w:val="004310FC"/>
    <w:rsid w:val="004346CA"/>
    <w:rsid w:val="00435843"/>
    <w:rsid w:val="004446C1"/>
    <w:rsid w:val="00444FD3"/>
    <w:rsid w:val="00447D71"/>
    <w:rsid w:val="00461E26"/>
    <w:rsid w:val="0046522C"/>
    <w:rsid w:val="004672DD"/>
    <w:rsid w:val="00473F17"/>
    <w:rsid w:val="0047673A"/>
    <w:rsid w:val="00477A08"/>
    <w:rsid w:val="00482438"/>
    <w:rsid w:val="00491162"/>
    <w:rsid w:val="00493093"/>
    <w:rsid w:val="004961B6"/>
    <w:rsid w:val="00497235"/>
    <w:rsid w:val="00497A6B"/>
    <w:rsid w:val="004A79F5"/>
    <w:rsid w:val="004B267E"/>
    <w:rsid w:val="004B4013"/>
    <w:rsid w:val="004B58E2"/>
    <w:rsid w:val="004C4587"/>
    <w:rsid w:val="004C515B"/>
    <w:rsid w:val="004C6F1B"/>
    <w:rsid w:val="004C7D57"/>
    <w:rsid w:val="004D07AC"/>
    <w:rsid w:val="004D3F59"/>
    <w:rsid w:val="004D472E"/>
    <w:rsid w:val="004E572E"/>
    <w:rsid w:val="004F13C3"/>
    <w:rsid w:val="0050466F"/>
    <w:rsid w:val="00504F1C"/>
    <w:rsid w:val="00507DFE"/>
    <w:rsid w:val="00510712"/>
    <w:rsid w:val="005129F1"/>
    <w:rsid w:val="00512D87"/>
    <w:rsid w:val="00517CD8"/>
    <w:rsid w:val="00520229"/>
    <w:rsid w:val="00526995"/>
    <w:rsid w:val="0052774A"/>
    <w:rsid w:val="0053076E"/>
    <w:rsid w:val="005342AE"/>
    <w:rsid w:val="005373C6"/>
    <w:rsid w:val="0054189B"/>
    <w:rsid w:val="00547E1C"/>
    <w:rsid w:val="00551941"/>
    <w:rsid w:val="00553213"/>
    <w:rsid w:val="00557C67"/>
    <w:rsid w:val="0056137A"/>
    <w:rsid w:val="00563C6A"/>
    <w:rsid w:val="00573A8B"/>
    <w:rsid w:val="0058371B"/>
    <w:rsid w:val="005878B2"/>
    <w:rsid w:val="005964A5"/>
    <w:rsid w:val="005968C0"/>
    <w:rsid w:val="005A1E31"/>
    <w:rsid w:val="005A41AE"/>
    <w:rsid w:val="005A4482"/>
    <w:rsid w:val="005A4F22"/>
    <w:rsid w:val="005A554D"/>
    <w:rsid w:val="005A59FE"/>
    <w:rsid w:val="005B4B8D"/>
    <w:rsid w:val="005C23E7"/>
    <w:rsid w:val="005C2AAE"/>
    <w:rsid w:val="005C60FB"/>
    <w:rsid w:val="005C715C"/>
    <w:rsid w:val="005D40CA"/>
    <w:rsid w:val="005D4B43"/>
    <w:rsid w:val="005D7B10"/>
    <w:rsid w:val="005E5F37"/>
    <w:rsid w:val="00603B7B"/>
    <w:rsid w:val="006131C0"/>
    <w:rsid w:val="00616981"/>
    <w:rsid w:val="0062292A"/>
    <w:rsid w:val="006446D7"/>
    <w:rsid w:val="00644D37"/>
    <w:rsid w:val="006464EB"/>
    <w:rsid w:val="00647A11"/>
    <w:rsid w:val="006556D8"/>
    <w:rsid w:val="0066340E"/>
    <w:rsid w:val="00664B3C"/>
    <w:rsid w:val="006753DF"/>
    <w:rsid w:val="00682489"/>
    <w:rsid w:val="00683D4B"/>
    <w:rsid w:val="006845FC"/>
    <w:rsid w:val="006853B8"/>
    <w:rsid w:val="00685CA8"/>
    <w:rsid w:val="00687081"/>
    <w:rsid w:val="006924D9"/>
    <w:rsid w:val="006948D8"/>
    <w:rsid w:val="00695E76"/>
    <w:rsid w:val="006A55BD"/>
    <w:rsid w:val="006A5F6A"/>
    <w:rsid w:val="006B74FF"/>
    <w:rsid w:val="006D0510"/>
    <w:rsid w:val="006D2BE4"/>
    <w:rsid w:val="006D650A"/>
    <w:rsid w:val="006E1ED9"/>
    <w:rsid w:val="006E5481"/>
    <w:rsid w:val="006E5700"/>
    <w:rsid w:val="006E7E14"/>
    <w:rsid w:val="006F6C7B"/>
    <w:rsid w:val="006F7017"/>
    <w:rsid w:val="006F7D6D"/>
    <w:rsid w:val="007006F0"/>
    <w:rsid w:val="00702C83"/>
    <w:rsid w:val="00703246"/>
    <w:rsid w:val="00703E73"/>
    <w:rsid w:val="00706875"/>
    <w:rsid w:val="00715B77"/>
    <w:rsid w:val="00717B84"/>
    <w:rsid w:val="00721375"/>
    <w:rsid w:val="007214D7"/>
    <w:rsid w:val="0072313E"/>
    <w:rsid w:val="00727F6A"/>
    <w:rsid w:val="0073605B"/>
    <w:rsid w:val="007411F6"/>
    <w:rsid w:val="00764336"/>
    <w:rsid w:val="00765918"/>
    <w:rsid w:val="00766770"/>
    <w:rsid w:val="00770F17"/>
    <w:rsid w:val="00772568"/>
    <w:rsid w:val="00774C3A"/>
    <w:rsid w:val="0077526B"/>
    <w:rsid w:val="00786581"/>
    <w:rsid w:val="0078789C"/>
    <w:rsid w:val="0079003B"/>
    <w:rsid w:val="00797F3C"/>
    <w:rsid w:val="007B28FB"/>
    <w:rsid w:val="007B6E91"/>
    <w:rsid w:val="007C0B43"/>
    <w:rsid w:val="007C5B89"/>
    <w:rsid w:val="007C7B74"/>
    <w:rsid w:val="007D3205"/>
    <w:rsid w:val="007D442D"/>
    <w:rsid w:val="007D4BCC"/>
    <w:rsid w:val="007D61F4"/>
    <w:rsid w:val="007E4952"/>
    <w:rsid w:val="007E74A5"/>
    <w:rsid w:val="007F5081"/>
    <w:rsid w:val="007F5B10"/>
    <w:rsid w:val="00810E0F"/>
    <w:rsid w:val="008142F6"/>
    <w:rsid w:val="0081794E"/>
    <w:rsid w:val="0082199C"/>
    <w:rsid w:val="00837564"/>
    <w:rsid w:val="00844F6E"/>
    <w:rsid w:val="00846D53"/>
    <w:rsid w:val="00850C24"/>
    <w:rsid w:val="00856B00"/>
    <w:rsid w:val="0085701A"/>
    <w:rsid w:val="00861168"/>
    <w:rsid w:val="00866FBB"/>
    <w:rsid w:val="008678A7"/>
    <w:rsid w:val="00867ACA"/>
    <w:rsid w:val="0087501F"/>
    <w:rsid w:val="00876338"/>
    <w:rsid w:val="00883AC9"/>
    <w:rsid w:val="00885C30"/>
    <w:rsid w:val="00887A94"/>
    <w:rsid w:val="00892816"/>
    <w:rsid w:val="008939A9"/>
    <w:rsid w:val="008A6CB1"/>
    <w:rsid w:val="008A74D4"/>
    <w:rsid w:val="008B2FDE"/>
    <w:rsid w:val="008B560E"/>
    <w:rsid w:val="008B7BD1"/>
    <w:rsid w:val="008C3E63"/>
    <w:rsid w:val="008D4445"/>
    <w:rsid w:val="008F2B76"/>
    <w:rsid w:val="008F4837"/>
    <w:rsid w:val="008F4F49"/>
    <w:rsid w:val="008F6C49"/>
    <w:rsid w:val="008F6E9D"/>
    <w:rsid w:val="0090480D"/>
    <w:rsid w:val="00904C44"/>
    <w:rsid w:val="00912BD7"/>
    <w:rsid w:val="0092466A"/>
    <w:rsid w:val="009269CE"/>
    <w:rsid w:val="009278F0"/>
    <w:rsid w:val="00953F82"/>
    <w:rsid w:val="009559B9"/>
    <w:rsid w:val="009623D2"/>
    <w:rsid w:val="00971F14"/>
    <w:rsid w:val="00974797"/>
    <w:rsid w:val="009834BE"/>
    <w:rsid w:val="00983ACD"/>
    <w:rsid w:val="00983C5A"/>
    <w:rsid w:val="0098478D"/>
    <w:rsid w:val="00984832"/>
    <w:rsid w:val="00990F2E"/>
    <w:rsid w:val="009A0864"/>
    <w:rsid w:val="009A250F"/>
    <w:rsid w:val="009B0A37"/>
    <w:rsid w:val="009B3811"/>
    <w:rsid w:val="009B6BF1"/>
    <w:rsid w:val="009C560E"/>
    <w:rsid w:val="009C70CE"/>
    <w:rsid w:val="009D0269"/>
    <w:rsid w:val="009D207C"/>
    <w:rsid w:val="009D23CF"/>
    <w:rsid w:val="009D32D6"/>
    <w:rsid w:val="009E75D6"/>
    <w:rsid w:val="009F0323"/>
    <w:rsid w:val="009F2361"/>
    <w:rsid w:val="009F714D"/>
    <w:rsid w:val="00A01CA0"/>
    <w:rsid w:val="00A131FA"/>
    <w:rsid w:val="00A157EB"/>
    <w:rsid w:val="00A20ED4"/>
    <w:rsid w:val="00A21537"/>
    <w:rsid w:val="00A225DD"/>
    <w:rsid w:val="00A32A24"/>
    <w:rsid w:val="00A40D39"/>
    <w:rsid w:val="00A50F4B"/>
    <w:rsid w:val="00A52BBE"/>
    <w:rsid w:val="00A642B9"/>
    <w:rsid w:val="00A80D94"/>
    <w:rsid w:val="00A96A4C"/>
    <w:rsid w:val="00A96E00"/>
    <w:rsid w:val="00AA4E7D"/>
    <w:rsid w:val="00AC06E6"/>
    <w:rsid w:val="00AC4CD7"/>
    <w:rsid w:val="00AC5E00"/>
    <w:rsid w:val="00AD0178"/>
    <w:rsid w:val="00AE25A2"/>
    <w:rsid w:val="00AE310C"/>
    <w:rsid w:val="00AE32CA"/>
    <w:rsid w:val="00AE5EB9"/>
    <w:rsid w:val="00AF109F"/>
    <w:rsid w:val="00AF4F42"/>
    <w:rsid w:val="00AF6E18"/>
    <w:rsid w:val="00B05F39"/>
    <w:rsid w:val="00B13B82"/>
    <w:rsid w:val="00B20520"/>
    <w:rsid w:val="00B24956"/>
    <w:rsid w:val="00B2517A"/>
    <w:rsid w:val="00B262EE"/>
    <w:rsid w:val="00B26BA3"/>
    <w:rsid w:val="00B327F5"/>
    <w:rsid w:val="00B374D0"/>
    <w:rsid w:val="00B57209"/>
    <w:rsid w:val="00B619B9"/>
    <w:rsid w:val="00B64A70"/>
    <w:rsid w:val="00B66953"/>
    <w:rsid w:val="00B72EDB"/>
    <w:rsid w:val="00B91078"/>
    <w:rsid w:val="00BA09E6"/>
    <w:rsid w:val="00BA7A36"/>
    <w:rsid w:val="00BB2B36"/>
    <w:rsid w:val="00BC6EBF"/>
    <w:rsid w:val="00BD0603"/>
    <w:rsid w:val="00BD2124"/>
    <w:rsid w:val="00BE374A"/>
    <w:rsid w:val="00C03370"/>
    <w:rsid w:val="00C03E6B"/>
    <w:rsid w:val="00C12247"/>
    <w:rsid w:val="00C1327B"/>
    <w:rsid w:val="00C175CB"/>
    <w:rsid w:val="00C17749"/>
    <w:rsid w:val="00C20B4A"/>
    <w:rsid w:val="00C23259"/>
    <w:rsid w:val="00C27EF2"/>
    <w:rsid w:val="00C3065C"/>
    <w:rsid w:val="00C319AF"/>
    <w:rsid w:val="00C32FC5"/>
    <w:rsid w:val="00C36027"/>
    <w:rsid w:val="00C36926"/>
    <w:rsid w:val="00C40CFE"/>
    <w:rsid w:val="00C50182"/>
    <w:rsid w:val="00C50BE7"/>
    <w:rsid w:val="00C55364"/>
    <w:rsid w:val="00C57F98"/>
    <w:rsid w:val="00C606CD"/>
    <w:rsid w:val="00C627CD"/>
    <w:rsid w:val="00C64B71"/>
    <w:rsid w:val="00C67EE4"/>
    <w:rsid w:val="00C70F4F"/>
    <w:rsid w:val="00C7590B"/>
    <w:rsid w:val="00C75F9F"/>
    <w:rsid w:val="00C812F5"/>
    <w:rsid w:val="00C904E7"/>
    <w:rsid w:val="00CA19C9"/>
    <w:rsid w:val="00CA1B38"/>
    <w:rsid w:val="00CA1EC7"/>
    <w:rsid w:val="00CA2212"/>
    <w:rsid w:val="00CA2E91"/>
    <w:rsid w:val="00CA6DFD"/>
    <w:rsid w:val="00CB1641"/>
    <w:rsid w:val="00CC4401"/>
    <w:rsid w:val="00CC61DE"/>
    <w:rsid w:val="00CC6670"/>
    <w:rsid w:val="00CC6D3A"/>
    <w:rsid w:val="00CD2A06"/>
    <w:rsid w:val="00CD665E"/>
    <w:rsid w:val="00CE48EA"/>
    <w:rsid w:val="00CF141E"/>
    <w:rsid w:val="00CF2A3B"/>
    <w:rsid w:val="00D054DE"/>
    <w:rsid w:val="00D12A41"/>
    <w:rsid w:val="00D12DA5"/>
    <w:rsid w:val="00D14DFE"/>
    <w:rsid w:val="00D226D2"/>
    <w:rsid w:val="00D328ED"/>
    <w:rsid w:val="00D45414"/>
    <w:rsid w:val="00D45A46"/>
    <w:rsid w:val="00D55550"/>
    <w:rsid w:val="00D61291"/>
    <w:rsid w:val="00D61910"/>
    <w:rsid w:val="00D70C74"/>
    <w:rsid w:val="00D73B28"/>
    <w:rsid w:val="00D73FF4"/>
    <w:rsid w:val="00D74366"/>
    <w:rsid w:val="00D80C5A"/>
    <w:rsid w:val="00D86659"/>
    <w:rsid w:val="00D9167B"/>
    <w:rsid w:val="00D917CA"/>
    <w:rsid w:val="00D95944"/>
    <w:rsid w:val="00DA5D08"/>
    <w:rsid w:val="00DB0E66"/>
    <w:rsid w:val="00DB270A"/>
    <w:rsid w:val="00DB4374"/>
    <w:rsid w:val="00DB5617"/>
    <w:rsid w:val="00DB72A3"/>
    <w:rsid w:val="00DC65A6"/>
    <w:rsid w:val="00DC7558"/>
    <w:rsid w:val="00DD0191"/>
    <w:rsid w:val="00DD6111"/>
    <w:rsid w:val="00DD7BDD"/>
    <w:rsid w:val="00DE3664"/>
    <w:rsid w:val="00DE6520"/>
    <w:rsid w:val="00DE6E19"/>
    <w:rsid w:val="00DE7F64"/>
    <w:rsid w:val="00DF28EE"/>
    <w:rsid w:val="00DF29F8"/>
    <w:rsid w:val="00DF537E"/>
    <w:rsid w:val="00E01F05"/>
    <w:rsid w:val="00E04947"/>
    <w:rsid w:val="00E05652"/>
    <w:rsid w:val="00E0620B"/>
    <w:rsid w:val="00E07886"/>
    <w:rsid w:val="00E119B7"/>
    <w:rsid w:val="00E127FE"/>
    <w:rsid w:val="00E15A51"/>
    <w:rsid w:val="00E229AF"/>
    <w:rsid w:val="00E2428D"/>
    <w:rsid w:val="00E27729"/>
    <w:rsid w:val="00E34C9E"/>
    <w:rsid w:val="00E45DFB"/>
    <w:rsid w:val="00E46139"/>
    <w:rsid w:val="00E52BE8"/>
    <w:rsid w:val="00E56372"/>
    <w:rsid w:val="00E60A3D"/>
    <w:rsid w:val="00E62840"/>
    <w:rsid w:val="00E636B5"/>
    <w:rsid w:val="00E64E2F"/>
    <w:rsid w:val="00E674BC"/>
    <w:rsid w:val="00E678B2"/>
    <w:rsid w:val="00E67D30"/>
    <w:rsid w:val="00E74DCC"/>
    <w:rsid w:val="00E80A16"/>
    <w:rsid w:val="00E82421"/>
    <w:rsid w:val="00E8728B"/>
    <w:rsid w:val="00EA3814"/>
    <w:rsid w:val="00EA5DCC"/>
    <w:rsid w:val="00EB622D"/>
    <w:rsid w:val="00EC244D"/>
    <w:rsid w:val="00EC4CF4"/>
    <w:rsid w:val="00EC562B"/>
    <w:rsid w:val="00EC60F2"/>
    <w:rsid w:val="00ED76B1"/>
    <w:rsid w:val="00ED7D1F"/>
    <w:rsid w:val="00EE4701"/>
    <w:rsid w:val="00EE53B9"/>
    <w:rsid w:val="00EE5EC4"/>
    <w:rsid w:val="00EE6A5D"/>
    <w:rsid w:val="00EE71D8"/>
    <w:rsid w:val="00EF2053"/>
    <w:rsid w:val="00F01C1F"/>
    <w:rsid w:val="00F02830"/>
    <w:rsid w:val="00F0501D"/>
    <w:rsid w:val="00F12E4A"/>
    <w:rsid w:val="00F24CFB"/>
    <w:rsid w:val="00F32300"/>
    <w:rsid w:val="00F37E1E"/>
    <w:rsid w:val="00F4185E"/>
    <w:rsid w:val="00F41C42"/>
    <w:rsid w:val="00F44771"/>
    <w:rsid w:val="00F449A3"/>
    <w:rsid w:val="00F475CE"/>
    <w:rsid w:val="00F53F39"/>
    <w:rsid w:val="00F54116"/>
    <w:rsid w:val="00F6334A"/>
    <w:rsid w:val="00F73EF9"/>
    <w:rsid w:val="00F74EAE"/>
    <w:rsid w:val="00F75EAE"/>
    <w:rsid w:val="00F7763F"/>
    <w:rsid w:val="00F779FC"/>
    <w:rsid w:val="00F80CDB"/>
    <w:rsid w:val="00F8267A"/>
    <w:rsid w:val="00F82ED6"/>
    <w:rsid w:val="00F86BD9"/>
    <w:rsid w:val="00F967B0"/>
    <w:rsid w:val="00F96C77"/>
    <w:rsid w:val="00F96E3F"/>
    <w:rsid w:val="00FA30AB"/>
    <w:rsid w:val="00FA6FA2"/>
    <w:rsid w:val="00FB35BF"/>
    <w:rsid w:val="00FB46EB"/>
    <w:rsid w:val="00FC495E"/>
    <w:rsid w:val="00FC5E23"/>
    <w:rsid w:val="00FD11F3"/>
    <w:rsid w:val="00FE0BF3"/>
    <w:rsid w:val="00FE1007"/>
    <w:rsid w:val="00FE11C8"/>
    <w:rsid w:val="00FE173E"/>
    <w:rsid w:val="00FF021F"/>
    <w:rsid w:val="00FF3333"/>
    <w:rsid w:val="00FF6830"/>
  </w:rsids>
  <m:mathPr>
    <m:mathFont m:val="Cambria Math"/>
    <m:brkBin m:val="before"/>
    <m:brkBinSub m:val="--"/>
    <m:smallFrac m:val="0"/>
    <m:dispDef/>
    <m:lMargin m:val="0"/>
    <m:rMargin m:val="0"/>
    <m:defJc m:val="centerGroup"/>
    <m:wrapIndent m:val="1440"/>
    <m:intLim m:val="subSup"/>
    <m:naryLim m:val="undOvr"/>
  </m:mathPr>
  <w:themeFontLang w:val="id-ID"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6B496F"/>
  <w15:chartTrackingRefBased/>
  <w15:docId w15:val="{9EEC4B47-E3D3-4E3E-B8CC-1815FB9C0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id-ID"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0603"/>
    <w:pPr>
      <w:spacing w:after="0" w:line="240" w:lineRule="auto"/>
    </w:pPr>
    <w:rPr>
      <w:rFonts w:ascii="Times New Roman" w:eastAsia="SimSun" w:hAnsi="Times New Roman" w:cs="Times New Roman"/>
      <w:sz w:val="24"/>
      <w:szCs w:val="24"/>
      <w:lang w:val="en-AU" w:eastAsia="zh-CN"/>
    </w:rPr>
  </w:style>
  <w:style w:type="paragraph" w:styleId="Heading3">
    <w:name w:val="heading 3"/>
    <w:basedOn w:val="Normal"/>
    <w:next w:val="Normal"/>
    <w:link w:val="Heading3Char"/>
    <w:rsid w:val="00BD0603"/>
    <w:pPr>
      <w:keepNext/>
      <w:numPr>
        <w:ilvl w:val="2"/>
        <w:numId w:val="5"/>
      </w:numPr>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D0603"/>
    <w:rPr>
      <w:rFonts w:ascii="Arial" w:eastAsia="SimSun" w:hAnsi="Arial" w:cs="Arial"/>
      <w:b/>
      <w:bCs/>
      <w:sz w:val="26"/>
      <w:szCs w:val="26"/>
      <w:lang w:val="en-AU" w:eastAsia="zh-CN"/>
    </w:rPr>
  </w:style>
  <w:style w:type="paragraph" w:customStyle="1" w:styleId="IEEEAuthorAffiliation">
    <w:name w:val="IEEE Author Affiliation"/>
    <w:basedOn w:val="Normal"/>
    <w:next w:val="Normal"/>
    <w:rsid w:val="00BD0603"/>
    <w:pPr>
      <w:spacing w:after="60"/>
      <w:jc w:val="center"/>
    </w:pPr>
    <w:rPr>
      <w:rFonts w:eastAsia="Times New Roman"/>
      <w:i/>
      <w:sz w:val="20"/>
      <w:lang w:val="en-GB" w:eastAsia="en-GB"/>
    </w:rPr>
  </w:style>
  <w:style w:type="paragraph" w:customStyle="1" w:styleId="IEEEHeading2">
    <w:name w:val="IEEE Heading 2"/>
    <w:basedOn w:val="Normal"/>
    <w:next w:val="IEEEParagraph"/>
    <w:rsid w:val="00BD0603"/>
    <w:pPr>
      <w:numPr>
        <w:numId w:val="6"/>
      </w:numPr>
      <w:adjustRightInd w:val="0"/>
      <w:snapToGrid w:val="0"/>
      <w:spacing w:before="150" w:after="60"/>
    </w:pPr>
    <w:rPr>
      <w:i/>
      <w:sz w:val="20"/>
    </w:rPr>
  </w:style>
  <w:style w:type="paragraph" w:customStyle="1" w:styleId="IEEEAbstractHeading">
    <w:name w:val="IEEE Abstract Heading"/>
    <w:basedOn w:val="IEEEAbtract"/>
    <w:next w:val="IEEEAbtract"/>
    <w:link w:val="IEEEAbstractHeadingChar"/>
    <w:rsid w:val="00BD0603"/>
    <w:rPr>
      <w:i/>
    </w:rPr>
  </w:style>
  <w:style w:type="character" w:customStyle="1" w:styleId="IEEEAbstractHeadingChar">
    <w:name w:val="IEEE Abstract Heading Char"/>
    <w:link w:val="IEEEAbstractHeading"/>
    <w:rsid w:val="00BD0603"/>
    <w:rPr>
      <w:rFonts w:ascii="Times New Roman" w:eastAsia="SimSun" w:hAnsi="Times New Roman" w:cs="Times New Roman"/>
      <w:b/>
      <w:i/>
      <w:sz w:val="18"/>
      <w:szCs w:val="24"/>
      <w:lang w:val="en-GB" w:eastAsia="en-GB"/>
    </w:rPr>
  </w:style>
  <w:style w:type="paragraph" w:customStyle="1" w:styleId="IEEEAbtract">
    <w:name w:val="IEEE Abtract"/>
    <w:basedOn w:val="Normal"/>
    <w:next w:val="Normal"/>
    <w:link w:val="IEEEAbtractChar"/>
    <w:rsid w:val="00BD0603"/>
    <w:pPr>
      <w:adjustRightInd w:val="0"/>
      <w:snapToGrid w:val="0"/>
      <w:jc w:val="both"/>
    </w:pPr>
    <w:rPr>
      <w:b/>
      <w:sz w:val="18"/>
      <w:lang w:val="en-GB" w:eastAsia="en-GB"/>
    </w:rPr>
  </w:style>
  <w:style w:type="character" w:customStyle="1" w:styleId="IEEEAbtractChar">
    <w:name w:val="IEEE Abtract Char"/>
    <w:link w:val="IEEEAbtract"/>
    <w:rsid w:val="00BD0603"/>
    <w:rPr>
      <w:rFonts w:ascii="Times New Roman" w:eastAsia="SimSun" w:hAnsi="Times New Roman" w:cs="Times New Roman"/>
      <w:b/>
      <w:sz w:val="18"/>
      <w:szCs w:val="24"/>
      <w:lang w:val="en-GB" w:eastAsia="en-GB"/>
    </w:rPr>
  </w:style>
  <w:style w:type="paragraph" w:customStyle="1" w:styleId="IEEEParagraph">
    <w:name w:val="IEEE Paragraph"/>
    <w:basedOn w:val="Normal"/>
    <w:link w:val="IEEEParagraphChar"/>
    <w:rsid w:val="00E8728B"/>
    <w:pPr>
      <w:adjustRightInd w:val="0"/>
      <w:snapToGrid w:val="0"/>
      <w:ind w:firstLine="216"/>
      <w:jc w:val="both"/>
    </w:pPr>
    <w:rPr>
      <w:sz w:val="20"/>
    </w:rPr>
  </w:style>
  <w:style w:type="paragraph" w:customStyle="1" w:styleId="IEEEHeading1">
    <w:name w:val="IEEE Heading 1"/>
    <w:basedOn w:val="Normal"/>
    <w:next w:val="IEEEParagraph"/>
    <w:link w:val="IEEEHeading1Char"/>
    <w:rsid w:val="00BD0603"/>
    <w:pPr>
      <w:numPr>
        <w:numId w:val="4"/>
      </w:numPr>
      <w:adjustRightInd w:val="0"/>
      <w:snapToGrid w:val="0"/>
      <w:spacing w:before="180" w:after="60"/>
      <w:jc w:val="center"/>
    </w:pPr>
    <w:rPr>
      <w:smallCaps/>
      <w:sz w:val="20"/>
    </w:rPr>
  </w:style>
  <w:style w:type="paragraph" w:customStyle="1" w:styleId="IEEETableCell">
    <w:name w:val="IEEE Table Cell"/>
    <w:basedOn w:val="IEEEParagraph"/>
    <w:rsid w:val="00BD0603"/>
    <w:pPr>
      <w:ind w:firstLine="0"/>
      <w:jc w:val="left"/>
    </w:pPr>
    <w:rPr>
      <w:sz w:val="18"/>
    </w:rPr>
  </w:style>
  <w:style w:type="paragraph" w:customStyle="1" w:styleId="IEEEHeading3">
    <w:name w:val="IEEE Heading 3"/>
    <w:basedOn w:val="Normal"/>
    <w:next w:val="IEEEParagraph"/>
    <w:link w:val="IEEEHeading3Char"/>
    <w:rsid w:val="00BD0603"/>
    <w:pPr>
      <w:numPr>
        <w:numId w:val="1"/>
      </w:numPr>
      <w:adjustRightInd w:val="0"/>
      <w:snapToGrid w:val="0"/>
      <w:spacing w:before="120" w:after="60"/>
      <w:jc w:val="both"/>
    </w:pPr>
    <w:rPr>
      <w:i/>
      <w:sz w:val="20"/>
    </w:rPr>
  </w:style>
  <w:style w:type="character" w:customStyle="1" w:styleId="IEEEParagraphChar">
    <w:name w:val="IEEE Paragraph Char"/>
    <w:link w:val="IEEEParagraph"/>
    <w:rsid w:val="00E8728B"/>
    <w:rPr>
      <w:rFonts w:ascii="Times New Roman" w:eastAsia="SimSun" w:hAnsi="Times New Roman" w:cs="Times New Roman"/>
      <w:sz w:val="20"/>
      <w:szCs w:val="24"/>
      <w:lang w:val="en-AU" w:eastAsia="zh-CN"/>
    </w:rPr>
  </w:style>
  <w:style w:type="numbering" w:customStyle="1" w:styleId="IEEEBullet1">
    <w:name w:val="IEEE Bullet 1"/>
    <w:basedOn w:val="NoList"/>
    <w:rsid w:val="00BD0603"/>
    <w:pPr>
      <w:numPr>
        <w:numId w:val="2"/>
      </w:numPr>
    </w:pPr>
  </w:style>
  <w:style w:type="character" w:customStyle="1" w:styleId="IEEEHeading3Char">
    <w:name w:val="IEEE Heading 3 Char"/>
    <w:link w:val="IEEEHeading3"/>
    <w:rsid w:val="00BD0603"/>
    <w:rPr>
      <w:rFonts w:ascii="Times New Roman" w:eastAsia="SimSun" w:hAnsi="Times New Roman" w:cs="Times New Roman"/>
      <w:i/>
      <w:sz w:val="20"/>
      <w:szCs w:val="24"/>
      <w:lang w:val="en-AU" w:eastAsia="zh-CN"/>
    </w:rPr>
  </w:style>
  <w:style w:type="paragraph" w:customStyle="1" w:styleId="IEEEFigure">
    <w:name w:val="IEEE Figure"/>
    <w:basedOn w:val="Normal"/>
    <w:next w:val="Normal"/>
    <w:rsid w:val="00BD0603"/>
    <w:pPr>
      <w:jc w:val="center"/>
    </w:pPr>
  </w:style>
  <w:style w:type="paragraph" w:customStyle="1" w:styleId="IEEEReferenceItem">
    <w:name w:val="IEEE Reference Item"/>
    <w:basedOn w:val="Normal"/>
    <w:link w:val="IEEEReferenceItemChar"/>
    <w:rsid w:val="00BD0603"/>
    <w:pPr>
      <w:numPr>
        <w:numId w:val="5"/>
      </w:numPr>
      <w:adjustRightInd w:val="0"/>
      <w:snapToGrid w:val="0"/>
      <w:jc w:val="both"/>
    </w:pPr>
    <w:rPr>
      <w:sz w:val="16"/>
      <w:lang w:val="en-US"/>
    </w:rPr>
  </w:style>
  <w:style w:type="paragraph" w:customStyle="1" w:styleId="IEEETableHeaderCentered">
    <w:name w:val="IEEE Table Header Centered"/>
    <w:basedOn w:val="IEEETableCell"/>
    <w:rsid w:val="00BD0603"/>
    <w:pPr>
      <w:jc w:val="center"/>
    </w:pPr>
    <w:rPr>
      <w:b/>
      <w:bCs/>
    </w:rPr>
  </w:style>
  <w:style w:type="paragraph" w:customStyle="1" w:styleId="IEEETableHeaderLeft-Justified">
    <w:name w:val="IEEE Table Header Left-Justified"/>
    <w:basedOn w:val="IEEETableCell"/>
    <w:rsid w:val="00BD0603"/>
    <w:rPr>
      <w:b/>
      <w:bCs/>
    </w:rPr>
  </w:style>
  <w:style w:type="paragraph" w:styleId="Footer">
    <w:name w:val="footer"/>
    <w:basedOn w:val="Normal"/>
    <w:link w:val="FooterChar"/>
    <w:uiPriority w:val="99"/>
    <w:rsid w:val="00BD0603"/>
    <w:pPr>
      <w:tabs>
        <w:tab w:val="center" w:pos="4320"/>
        <w:tab w:val="right" w:pos="8640"/>
      </w:tabs>
      <w:autoSpaceDE w:val="0"/>
      <w:autoSpaceDN w:val="0"/>
    </w:pPr>
    <w:rPr>
      <w:rFonts w:eastAsia="Times New Roman"/>
      <w:sz w:val="20"/>
      <w:szCs w:val="20"/>
    </w:rPr>
  </w:style>
  <w:style w:type="character" w:customStyle="1" w:styleId="FooterChar">
    <w:name w:val="Footer Char"/>
    <w:basedOn w:val="DefaultParagraphFont"/>
    <w:link w:val="Footer"/>
    <w:uiPriority w:val="99"/>
    <w:rsid w:val="00BD0603"/>
    <w:rPr>
      <w:rFonts w:ascii="Times New Roman" w:eastAsia="Times New Roman" w:hAnsi="Times New Roman" w:cs="Times New Roman"/>
      <w:sz w:val="20"/>
      <w:szCs w:val="20"/>
      <w:lang w:val="en-AU" w:eastAsia="zh-CN"/>
    </w:rPr>
  </w:style>
  <w:style w:type="character" w:customStyle="1" w:styleId="IEEEHeading1Char">
    <w:name w:val="IEEE Heading 1 Char"/>
    <w:basedOn w:val="DefaultParagraphFont"/>
    <w:link w:val="IEEEHeading1"/>
    <w:rsid w:val="00BD0603"/>
    <w:rPr>
      <w:rFonts w:ascii="Times New Roman" w:eastAsia="SimSun" w:hAnsi="Times New Roman" w:cs="Times New Roman"/>
      <w:smallCaps/>
      <w:sz w:val="20"/>
      <w:szCs w:val="24"/>
      <w:lang w:val="en-AU" w:eastAsia="zh-CN"/>
    </w:rPr>
  </w:style>
  <w:style w:type="character" w:customStyle="1" w:styleId="IEEEReferenceItemChar">
    <w:name w:val="IEEE Reference Item Char"/>
    <w:basedOn w:val="DefaultParagraphFont"/>
    <w:link w:val="IEEEReferenceItem"/>
    <w:rsid w:val="00BD0603"/>
    <w:rPr>
      <w:rFonts w:ascii="Times New Roman" w:eastAsia="SimSun" w:hAnsi="Times New Roman" w:cs="Times New Roman"/>
      <w:sz w:val="16"/>
      <w:szCs w:val="24"/>
      <w:lang w:val="en-US" w:eastAsia="zh-CN"/>
    </w:rPr>
  </w:style>
  <w:style w:type="paragraph" w:styleId="Header">
    <w:name w:val="header"/>
    <w:basedOn w:val="Normal"/>
    <w:link w:val="HeaderChar"/>
    <w:uiPriority w:val="99"/>
    <w:unhideWhenUsed/>
    <w:rsid w:val="00BD0603"/>
    <w:pPr>
      <w:tabs>
        <w:tab w:val="center" w:pos="4513"/>
        <w:tab w:val="right" w:pos="9026"/>
      </w:tabs>
    </w:pPr>
  </w:style>
  <w:style w:type="character" w:customStyle="1" w:styleId="HeaderChar">
    <w:name w:val="Header Char"/>
    <w:basedOn w:val="DefaultParagraphFont"/>
    <w:link w:val="Header"/>
    <w:uiPriority w:val="99"/>
    <w:rsid w:val="00BD0603"/>
    <w:rPr>
      <w:rFonts w:ascii="Times New Roman" w:eastAsia="SimSun" w:hAnsi="Times New Roman" w:cs="Times New Roman"/>
      <w:sz w:val="24"/>
      <w:szCs w:val="24"/>
      <w:lang w:val="en-AU" w:eastAsia="zh-CN"/>
    </w:rPr>
  </w:style>
  <w:style w:type="character" w:styleId="CommentReference">
    <w:name w:val="annotation reference"/>
    <w:basedOn w:val="DefaultParagraphFont"/>
    <w:uiPriority w:val="99"/>
    <w:semiHidden/>
    <w:unhideWhenUsed/>
    <w:rsid w:val="00493093"/>
    <w:rPr>
      <w:sz w:val="16"/>
      <w:szCs w:val="16"/>
    </w:rPr>
  </w:style>
  <w:style w:type="paragraph" w:styleId="CommentText">
    <w:name w:val="annotation text"/>
    <w:basedOn w:val="Normal"/>
    <w:link w:val="CommentTextChar"/>
    <w:uiPriority w:val="99"/>
    <w:semiHidden/>
    <w:unhideWhenUsed/>
    <w:rsid w:val="00493093"/>
    <w:rPr>
      <w:sz w:val="20"/>
      <w:szCs w:val="20"/>
    </w:rPr>
  </w:style>
  <w:style w:type="character" w:customStyle="1" w:styleId="CommentTextChar">
    <w:name w:val="Comment Text Char"/>
    <w:basedOn w:val="DefaultParagraphFont"/>
    <w:link w:val="CommentText"/>
    <w:uiPriority w:val="99"/>
    <w:semiHidden/>
    <w:rsid w:val="00493093"/>
    <w:rPr>
      <w:rFonts w:ascii="Times New Roman" w:eastAsia="SimSun" w:hAnsi="Times New Roman" w:cs="Times New Roman"/>
      <w:sz w:val="20"/>
      <w:szCs w:val="20"/>
      <w:lang w:val="en-AU" w:eastAsia="zh-CN"/>
    </w:rPr>
  </w:style>
  <w:style w:type="paragraph" w:styleId="CommentSubject">
    <w:name w:val="annotation subject"/>
    <w:basedOn w:val="CommentText"/>
    <w:next w:val="CommentText"/>
    <w:link w:val="CommentSubjectChar"/>
    <w:uiPriority w:val="99"/>
    <w:semiHidden/>
    <w:unhideWhenUsed/>
    <w:rsid w:val="00493093"/>
    <w:rPr>
      <w:b/>
      <w:bCs/>
    </w:rPr>
  </w:style>
  <w:style w:type="character" w:customStyle="1" w:styleId="CommentSubjectChar">
    <w:name w:val="Comment Subject Char"/>
    <w:basedOn w:val="CommentTextChar"/>
    <w:link w:val="CommentSubject"/>
    <w:uiPriority w:val="99"/>
    <w:semiHidden/>
    <w:rsid w:val="00493093"/>
    <w:rPr>
      <w:rFonts w:ascii="Times New Roman" w:eastAsia="SimSun" w:hAnsi="Times New Roman" w:cs="Times New Roman"/>
      <w:b/>
      <w:bCs/>
      <w:sz w:val="20"/>
      <w:szCs w:val="20"/>
      <w:lang w:val="en-AU" w:eastAsia="zh-CN"/>
    </w:rPr>
  </w:style>
  <w:style w:type="paragraph" w:styleId="Revision">
    <w:name w:val="Revision"/>
    <w:hidden/>
    <w:uiPriority w:val="99"/>
    <w:semiHidden/>
    <w:rsid w:val="00493093"/>
    <w:pPr>
      <w:spacing w:after="0" w:line="240" w:lineRule="auto"/>
    </w:pPr>
    <w:rPr>
      <w:rFonts w:ascii="Times New Roman" w:eastAsia="SimSun" w:hAnsi="Times New Roman" w:cs="Times New Roman"/>
      <w:sz w:val="24"/>
      <w:szCs w:val="24"/>
      <w:lang w:val="en-AU" w:eastAsia="zh-CN"/>
    </w:rPr>
  </w:style>
  <w:style w:type="character" w:styleId="Hyperlink">
    <w:name w:val="Hyperlink"/>
    <w:basedOn w:val="DefaultParagraphFont"/>
    <w:uiPriority w:val="99"/>
    <w:unhideWhenUsed/>
    <w:rsid w:val="00461E26"/>
    <w:rPr>
      <w:color w:val="0563C1" w:themeColor="hyperlink"/>
      <w:u w:val="single"/>
    </w:rPr>
  </w:style>
  <w:style w:type="character" w:styleId="UnresolvedMention">
    <w:name w:val="Unresolved Mention"/>
    <w:basedOn w:val="DefaultParagraphFont"/>
    <w:uiPriority w:val="99"/>
    <w:semiHidden/>
    <w:unhideWhenUsed/>
    <w:rsid w:val="00461E26"/>
    <w:rPr>
      <w:color w:val="605E5C"/>
      <w:shd w:val="clear" w:color="auto" w:fill="E1DFDD"/>
    </w:rPr>
  </w:style>
  <w:style w:type="paragraph" w:customStyle="1" w:styleId="show">
    <w:name w:val="show"/>
    <w:basedOn w:val="Normal"/>
    <w:rsid w:val="00497235"/>
    <w:pPr>
      <w:spacing w:before="100" w:beforeAutospacing="1" w:after="100" w:afterAutospacing="1"/>
    </w:pPr>
    <w:rPr>
      <w:rFonts w:eastAsia="Times New Roman"/>
      <w:lang w:val="en-ID" w:eastAsia="en-US"/>
    </w:rPr>
  </w:style>
  <w:style w:type="table" w:styleId="TableGrid">
    <w:name w:val="Table Grid"/>
    <w:basedOn w:val="TableNormal"/>
    <w:uiPriority w:val="39"/>
    <w:rsid w:val="00A225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
    <w:name w:val="PARA"/>
    <w:basedOn w:val="Normal"/>
    <w:rsid w:val="004346CA"/>
    <w:pPr>
      <w:suppressAutoHyphens/>
      <w:autoSpaceDE w:val="0"/>
      <w:autoSpaceDN w:val="0"/>
      <w:adjustRightInd w:val="0"/>
      <w:spacing w:line="240" w:lineRule="exact"/>
      <w:jc w:val="both"/>
    </w:pPr>
    <w:rPr>
      <w:rFonts w:eastAsia="Times New Roman" w:cs="TimesLTStd-Roman"/>
      <w:spacing w:val="-2"/>
      <w:sz w:val="20"/>
      <w:szCs w:val="20"/>
      <w:lang w:val="en-US" w:eastAsia="en-US"/>
    </w:rPr>
  </w:style>
  <w:style w:type="paragraph" w:customStyle="1" w:styleId="PARAIndent">
    <w:name w:val="PARA_Indent"/>
    <w:basedOn w:val="PARA"/>
    <w:rsid w:val="00CA2E91"/>
    <w:pPr>
      <w:ind w:firstLine="200"/>
    </w:pPr>
  </w:style>
  <w:style w:type="character" w:customStyle="1" w:styleId="ITAL">
    <w:name w:val="ITAL"/>
    <w:rsid w:val="00CA2E91"/>
    <w:rPr>
      <w:i/>
    </w:rPr>
  </w:style>
  <w:style w:type="character" w:styleId="FollowedHyperlink">
    <w:name w:val="FollowedHyperlink"/>
    <w:basedOn w:val="DefaultParagraphFont"/>
    <w:uiPriority w:val="99"/>
    <w:semiHidden/>
    <w:unhideWhenUsed/>
    <w:rsid w:val="00FB35B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524852">
      <w:bodyDiv w:val="1"/>
      <w:marLeft w:val="0"/>
      <w:marRight w:val="0"/>
      <w:marTop w:val="0"/>
      <w:marBottom w:val="0"/>
      <w:divBdr>
        <w:top w:val="none" w:sz="0" w:space="0" w:color="auto"/>
        <w:left w:val="none" w:sz="0" w:space="0" w:color="auto"/>
        <w:bottom w:val="none" w:sz="0" w:space="0" w:color="auto"/>
        <w:right w:val="none" w:sz="0" w:space="0" w:color="auto"/>
      </w:divBdr>
    </w:div>
    <w:div w:id="489638163">
      <w:bodyDiv w:val="1"/>
      <w:marLeft w:val="0"/>
      <w:marRight w:val="0"/>
      <w:marTop w:val="0"/>
      <w:marBottom w:val="0"/>
      <w:divBdr>
        <w:top w:val="none" w:sz="0" w:space="0" w:color="auto"/>
        <w:left w:val="none" w:sz="0" w:space="0" w:color="auto"/>
        <w:bottom w:val="none" w:sz="0" w:space="0" w:color="auto"/>
        <w:right w:val="none" w:sz="0" w:space="0" w:color="auto"/>
      </w:divBdr>
    </w:div>
    <w:div w:id="639073538">
      <w:bodyDiv w:val="1"/>
      <w:marLeft w:val="0"/>
      <w:marRight w:val="0"/>
      <w:marTop w:val="0"/>
      <w:marBottom w:val="0"/>
      <w:divBdr>
        <w:top w:val="none" w:sz="0" w:space="0" w:color="auto"/>
        <w:left w:val="none" w:sz="0" w:space="0" w:color="auto"/>
        <w:bottom w:val="none" w:sz="0" w:space="0" w:color="auto"/>
        <w:right w:val="none" w:sz="0" w:space="0" w:color="auto"/>
      </w:divBdr>
    </w:div>
    <w:div w:id="1085148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3.xml"/><Relationship Id="rId18" Type="http://schemas.openxmlformats.org/officeDocument/2006/relationships/image" Target="media/image3.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header" Target="header4.xml"/><Relationship Id="rId17" Type="http://schemas.openxmlformats.org/officeDocument/2006/relationships/image" Target="media/image2.emf"/><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3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1.png"/><Relationship Id="rId10" Type="http://schemas.openxmlformats.org/officeDocument/2006/relationships/footer" Target="footer2.xml"/><Relationship Id="rId19" Type="http://schemas.openxmlformats.org/officeDocument/2006/relationships/image" Target="media/image20.emf"/><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1355</TotalTime>
  <Pages>4</Pages>
  <Words>2375</Words>
  <Characters>13538</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Nanang Dani Widyanto</dc:creator>
  <cp:keywords/>
  <dc:description/>
  <cp:lastModifiedBy>Ananda Asri</cp:lastModifiedBy>
  <cp:revision>1764</cp:revision>
  <dcterms:created xsi:type="dcterms:W3CDTF">2022-06-06T00:48:00Z</dcterms:created>
  <dcterms:modified xsi:type="dcterms:W3CDTF">2025-01-13T02:44:00Z</dcterms:modified>
</cp:coreProperties>
</file>