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CambriaMath-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line="240" w:lineRule="auto"/>
        <w:jc w:val="left"/>
        <w:rPr>
          <w:rFonts w:ascii="Times New Roman" w:cs="Times New Roman" w:eastAsia="Times New Roman" w:hAnsi="Times New Roman"/>
          <w:b w:val="1"/>
          <w:sz w:val="28"/>
          <w:szCs w:val="28"/>
        </w:rPr>
      </w:pPr>
    </w:p>
    <w:p>
      <w:pPr>
        <w:spacing w:line="240" w:lineRule="auto"/>
        <w:ind w:left="2880" w:firstLine="720"/>
        <w:jc w:val="left"/>
        <w:rPr>
          <w:rFonts w:ascii="Times New Roman" w:cs="Times New Roman" w:eastAsia="Times New Roman" w:hAnsi="Times New Roman"/>
          <w:sz w:val="28"/>
          <w:szCs w:val="28"/>
        </w:rPr>
      </w:pPr>
      <w:r>
        <w:rPr>
          <w:rFonts w:ascii="Times New Roman" w:cs="Times New Roman" w:eastAsia="Times New Roman" w:hAnsi="Times New Roman"/>
          <w:b w:val="1"/>
          <w:sz w:val="28"/>
          <w:szCs w:val="28"/>
          <w:rtl w:val="0"/>
        </w:rPr>
        <w:t>Machine Learning Applications in Healthcare: A Comprehensive Review</w:t>
      </w: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John Smith</w:t>
      </w:r>
      <w:r>
        <w:rPr>
          <w:rFonts w:ascii="Times New Roman" w:cs="Times New Roman" w:eastAsia="Times New Roman" w:hAnsi="Times New Roman"/>
          <w:sz w:val="24"/>
          <w:szCs w:val="24"/>
          <w:vertAlign w:val="superscript"/>
          <w:rtl w:val="0"/>
        </w:rPr>
        <w:t>1*)</w:t>
      </w:r>
      <w:r>
        <w:rPr>
          <w:rFonts w:ascii="Times New Roman" w:cs="Times New Roman" w:eastAsia="Times New Roman" w:hAnsi="Times New Roman"/>
          <w:sz w:val="24"/>
          <w:szCs w:val="24"/>
          <w:rtl w:val="0"/>
        </w:rPr>
        <w:t xml:space="preserve"> dan </w:t>
      </w:r>
      <w:r>
        <w:rPr>
          <w:rFonts w:ascii="Times New Roman" w:cs="Times New Roman" w:eastAsia="Times New Roman" w:hAnsi="Times New Roman"/>
          <w:sz w:val="24"/>
          <w:szCs w:val="24"/>
          <w:rtl w:val="0"/>
        </w:rPr>
        <w:t>Jane Doe</w:t>
      </w:r>
      <w:r>
        <w:rPr>
          <w:rFonts w:ascii="Times New Roman" w:cs="Times New Roman" w:eastAsia="Times New Roman" w:hAnsi="Times New Roman"/>
          <w:sz w:val="24"/>
          <w:szCs w:val="24"/>
          <w:vertAlign w:val="superscript"/>
          <w:rtl w:val="0"/>
        </w:rPr>
        <w:t>2</w:t>
      </w: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vertAlign w:val="superscript"/>
          <w:rtl w:val="0"/>
        </w:rPr>
        <w:t>1</w:t>
      </w:r>
      <w:r>
        <w:rPr>
          <w:rFonts w:ascii="Times New Roman" w:cs="Times New Roman" w:eastAsia="Times New Roman" w:hAnsi="Times New Roman"/>
          <w:sz w:val="20"/>
          <w:szCs w:val="20"/>
          <w:rtl w:val="0"/>
        </w:rPr>
        <w:t>Department of Computer Science, University of Technology, New York, USA</w:t>
      </w:r>
    </w:p>
    <w:p>
      <w:pPr>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vertAlign w:val="superscript"/>
          <w:rtl w:val="0"/>
        </w:rPr>
        <w:t>2</w:t>
      </w:r>
      <w:r>
        <w:rPr>
          <w:rFonts w:ascii="Times New Roman" w:cs="Times New Roman" w:eastAsia="Times New Roman" w:hAnsi="Times New Roman"/>
          <w:sz w:val="20"/>
          <w:szCs w:val="20"/>
          <w:rtl w:val="0"/>
        </w:rPr>
        <w:t>School of Medicine, Medical University, Boston, USA</w:t>
      </w: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i w:val="1"/>
          <w:sz w:val="20"/>
          <w:szCs w:val="20"/>
          <w:vertAlign w:val="superscript"/>
          <w:rtl w:val="0"/>
        </w:rPr>
        <w:t>*</w:t>
      </w:r>
      <w:r>
        <w:rPr>
          <w:rFonts w:ascii="Times New Roman" w:cs="Times New Roman" w:eastAsia="Times New Roman" w:hAnsi="Times New Roman"/>
          <w:i w:val="1"/>
          <w:sz w:val="20"/>
          <w:szCs w:val="20"/>
          <w:rtl w:val="0"/>
        </w:rPr>
        <w:t>Penulis korespondensi, E-mail: john.smith@university.edu</w:t>
      </w: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b/>
          <w:i/>
          <w:sz w:val="24"/>
          <w:szCs w:val="24"/>
          <w:vertAlign w:val="superscript"/>
          <w:rtl w:val="0"/>
        </w:rPr>
        <w:t>Abstrak</w:t>
      </w:r>
    </w:p>
    <w:p>
      <w:pPr>
        <w:spacing w:line="240" w:lineRule="auto"/>
        <w:jc w:val="both"/>
        <w:rPr>
          <w:rFonts w:ascii="Times New Roman" w:cs="Times New Roman" w:eastAsia="Times New Roman" w:hAnsi="Times New Roman"/>
          <w:sz w:val="24"/>
          <w:szCs w:val="24"/>
        </w:rPr>
      </w:pPr>
    </w:p>
    <w:p>
      <w:pPr>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spacing w:line="240" w:lineRule="auto"/>
        <w:jc w:val="both"/>
        <w:rPr>
          <w:rFonts w:ascii="Times New Roman" w:cs="Times New Roman" w:eastAsia="Times New Roman" w:hAnsi="Times New Roman"/>
          <w:sz w:val="24"/>
          <w:szCs w:val="24"/>
        </w:rPr>
      </w:pPr>
    </w:p>
    <w:p>
      <w:pPr>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i w:val="1"/>
          <w:sz w:val="20"/>
          <w:szCs w:val="20"/>
          <w:rtl w:val="0"/>
        </w:rPr>
        <w:t>Kata kunci: machine learning, healthcare, deep learning, medical imaging, predictive analytics, clinical decision support</w:t>
      </w: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Abstract</w:t>
      </w:r>
    </w:p>
    <w:p>
      <w:pPr>
        <w:spacing w:line="240" w:lineRule="auto"/>
        <w:jc w:val="center"/>
        <w:rPr>
          <w:rFonts w:ascii="Times New Roman" w:cs="Times New Roman" w:eastAsia="Times New Roman" w:hAnsi="Times New Roman"/>
          <w:sz w:val="28"/>
          <w:szCs w:val="28"/>
        </w:rPr>
      </w:pPr>
    </w:p>
    <w:p>
      <w:pPr>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This paper presents Machine Learning Applications in Healthcare: A Comprehensive Review. A dedicated English abstract was not provided in the source JSON, so this placeholder summary preserves the JTRANSIENT abstract format for verification.</w:t>
      </w:r>
    </w:p>
    <w:p>
      <w:pPr>
        <w:spacing w:line="240" w:lineRule="auto"/>
        <w:jc w:val="both"/>
        <w:rPr>
          <w:rFonts w:ascii="Times New Roman" w:cs="Times New Roman" w:eastAsia="Times New Roman" w:hAnsi="Times New Roman"/>
          <w:sz w:val="24"/>
          <w:szCs w:val="24"/>
        </w:rPr>
      </w:pPr>
    </w:p>
    <w:p>
      <w:pPr>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i w:val="1"/>
          <w:sz w:val="20"/>
          <w:szCs w:val="20"/>
          <w:rtl w:val="0"/>
        </w:rPr>
        <w:t>Keywords: machine learning, healthcare, deep learning, medical imaging, predictive analytics, clinical decision support</w:t>
      </w:r>
    </w:p>
    <w:p>
      <w:pPr>
        <w:spacing w:line="240" w:lineRule="auto"/>
        <w:jc w:val="both"/>
        <w:rPr>
          <w:rFonts w:ascii="Times New Roman" w:cs="Times New Roman" w:eastAsia="Times New Roman" w:hAnsi="Times New Roman"/>
          <w:sz w:val="24"/>
          <w:szCs w:val="24"/>
        </w:rPr>
      </w:pPr>
    </w:p>
    <w:p>
      <w:pPr>
        <w:spacing w:line="240" w:lineRule="auto"/>
        <w:jc w:val="both"/>
        <w:rPr>
          <w:rFonts w:ascii="Times New Roman" w:cs="Times New Roman" w:eastAsia="Times New Roman" w:hAnsi="Times New Roman"/>
          <w:sz w:val="20"/>
          <w:szCs w:val="20"/>
        </w:rPr>
        <w:sectPr>
          <w:headerReference r:id="rId8" w:type="default"/>
          <w:headerReference r:id="rId9" w:type="first"/>
          <w:headerReference r:id="rId10" w:type="even"/>
          <w:footerReference r:id="rId11" w:type="default"/>
          <w:footerReference r:id="rId12" w:type="first"/>
          <w:footerReference r:id="rId13" w:type="even"/>
          <w:pgSz w:h="16839" w:w="11907" w:orient="portrait"/>
          <w:pgMar w:bottom="1418" w:top="1985" w:left="1134" w:right="1134" w:header="720" w:footer="720"/>
          <w:pgNumType w:start="1"/>
          <w:titlePg w:val="1"/>
        </w:sectPr>
      </w:pPr>
    </w:p>
    <w:p>
      <w:pPr>
        <w:spacing w:line="240" w:lineRule="auto"/>
        <w:jc w:val="both"/>
        <w:rPr>
          <w:rFonts w:ascii="Times New Roman" w:cs="Times New Roman" w:eastAsia="Times New Roman" w:hAnsi="Times New Roman"/>
          <w:sz w:val="24"/>
          <w:szCs w:val="24"/>
        </w:rPr>
        <w:sectPr>
          <w:type w:val="continuous"/>
          <w:pgSz w:h="16839" w:w="11907" w:orient="portrait"/>
          <w:pgMar w:bottom="1418" w:top="1985" w:left="1134" w:right="1134" w:header="720" w:footer="720"/>
          <w:pgNumType w:start="1"/>
          <w:cols w:equalWidth="0" w:num="2">
            <w:col w:space="284" w:w="4677.5"/>
            <w:col w:space="0" w:w="4677.5"/>
          </w:cols>
          <w:titlePg w:val="1"/>
        </w:sectPr>
      </w:pPr>
    </w:p>
    <w:p>
      <w:pPr>
        <w:spacing w:line="240" w:lineRule="auto" w:before="60" w:after="60"/>
        <w:jc w:val="both"/>
        <w:rPr>
          <w:rFonts w:ascii="Times New Roman" w:cs="Times New Roman" w:eastAsia="Times New Roman" w:hAnsi="Times New Roman"/>
          <w:sz w:val="20"/>
          <w:szCs w:val="20"/>
        </w:rPr>
      </w:pPr>
      <w:r>
        <w:rPr>
          <w:rFonts w:ascii="Times New Roman" w:cs="Times New Roman" w:eastAsia="Times New Roman" w:hAnsi="Times New Roman"/>
          <w:b w:val="1"/>
          <w:sz w:val="24"/>
          <w:szCs w:val="24"/>
          <w:rtl w:val="0"/>
        </w:rPr>
        <w:t>1. Introduction</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1.1.</w:t>
        <w:tab/>
        <w:t>Motivation</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1.2.</w:t>
        <w:tab/>
        <w:t>Contributions</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spacing w:line="240" w:lineRule="auto" w:before="60" w:after="60"/>
        <w:jc w:val="both"/>
        <w:rPr>
          <w:rFonts w:ascii="Times New Roman" w:cs="Times New Roman" w:eastAsia="Times New Roman" w:hAnsi="Times New Roman"/>
          <w:sz w:val="20"/>
          <w:szCs w:val="20"/>
        </w:rPr>
      </w:pPr>
      <w:r>
        <w:rPr>
          <w:rFonts w:ascii="Times New Roman" w:cs="Times New Roman" w:eastAsia="Times New Roman" w:hAnsi="Times New Roman"/>
          <w:b w:val="1"/>
          <w:sz w:val="24"/>
          <w:szCs w:val="24"/>
          <w:rtl w:val="0"/>
        </w:rPr>
        <w:t>2. Background and Related Work</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2.1.</w:t>
        <w:tab/>
        <w:t>Machine Learning Fundamentals</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2.2.</w:t>
        <w:tab/>
        <w:t>Healthcare Data Sources</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Healthcare ML systems utilize diverse data sources including electronic health records (EHRs), medical imaging (X-rays, CT, MRI), genomic data, wearable sensor data, and clinical notes. Data quality, standardization, and privacy are critical considerations.</w:t>
      </w:r>
    </w:p>
    <w:p>
      <w:pPr>
        <w:spacing w:line="240" w:lineRule="auto" w:before="60" w:after="60"/>
        <w:jc w:val="both"/>
        <w:rPr>
          <w:rFonts w:ascii="Times New Roman" w:cs="Times New Roman" w:eastAsia="Times New Roman" w:hAnsi="Times New Roman"/>
          <w:sz w:val="20"/>
          <w:szCs w:val="20"/>
        </w:rPr>
      </w:pPr>
      <w:r>
        <w:rPr>
          <w:rFonts w:ascii="Times New Roman" w:cs="Times New Roman" w:eastAsia="Times New Roman" w:hAnsi="Times New Roman"/>
          <w:b w:val="1"/>
          <w:sz w:val="24"/>
          <w:szCs w:val="24"/>
          <w:rtl w:val="0"/>
        </w:rPr>
        <w:t>3. Machine Learning Applications</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This section reviews major application areas of machine learning in healthcare, organized by clinical domain and task type.</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3.1.</w:t>
        <w:tab/>
        <w:t>Medical Imaging</w:t>
      </w:r>
    </w:p>
    <w:p>
      <w:pPr>
        <w:jc w:val="center"/>
      </w:pPr>
      <w:r>
        <w:rPr>
          <w:i/>
          <w:color w:val="FF0000"/>
        </w:rPr>
        <w:t>[PROMPT UNTUK AI GAMBAR: Sample Figure. A diagram showing the system architecture]</w:t>
      </w:r>
    </w:p>
    <w:p>
      <w:pPr>
        <w:tabs>
          <w:tab w:val="left" w:leader="none" w:pos="851"/>
        </w:tabs>
        <w:spacing w:line="240" w:lineRule="auto" w:before="60" w:after="60"/>
        <w:jc w:val="center"/>
        <w:rPr>
          <w:rFonts w:ascii="Times New Roman" w:cs="Times New Roman" w:eastAsia="Times New Roman" w:hAnsi="Times New Roman"/>
          <w:sz w:val="20"/>
          <w:szCs w:val="20"/>
        </w:rPr>
      </w:pPr>
      <w:r>
        <w:rPr>
          <w:rFonts w:ascii="Times New Roman" w:cs="Times New Roman" w:eastAsia="Times New Roman" w:hAnsi="Times New Roman"/>
          <w:i/>
          <w:sz w:val="20"/>
          <w:szCs w:val="20"/>
          <w:rtl w:val="0"/>
        </w:rPr>
        <w:t>/home/sirobo/papergenerator/backend/tools/Journal</w:t>
      </w:r>
    </w:p>
    <w:p>
      <w:pPr>
        <w:tabs>
          <w:tab w:val="left" w:leader="none" w:pos="0"/>
        </w:tabs>
        <w:spacing w:line="240" w:lineRule="auto" w:before="60" w:after="12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Gambar 1. Sample Figure</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tabs>
          <w:tab w:val="left" w:leader="none" w:pos="0"/>
        </w:tabs>
        <w:spacing w:line="240" w:lineRule="auto" w:before="120" w:after="6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Tabel 1.</w:t>
        <w:tab/>
        <w:t>Performance of ML Models in Medical Imaging</w:t>
      </w:r>
    </w:p>
    <w:tbl>
      <w:tblPr>
        <w:tblW w:type="dxa" w:w="4678"/>
        <w:jc w:val="center"/>
        <w:tblLayout w:type="fixed"/>
        <w:tblLook w:firstColumn="1" w:firstRow="1" w:lastColumn="0" w:lastRow="0" w:noHBand="0" w:noVBand="1" w:val="0000"/>
        <w:tblStyle w:val="Table1"/>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Pr>
      <w:tblGrid>
        <w:gridCol w:w="2118"/>
        <w:gridCol w:w="794"/>
        <w:gridCol w:w="706"/>
        <w:gridCol w:w="1060"/>
      </w:tblGrid>
      <w:tr>
        <w:tc>
          <w:tcPr>
            <w:tcW w:type="dxa" w:w="2118"/>
            <w:vAlign w:val="center"/>
          </w:tcPr>
          <w:p>
            <w:pPr>
              <w:jc w:val="center"/>
            </w:pPr>
            <w:r>
              <w:rPr>
                <w:rFonts w:ascii="Arial Narrow" w:hAnsi="Arial Narrow" w:eastAsia="Arial Narrow" w:cs="Arial Narrow"/>
                <w:b/>
                <w:i w:val="0"/>
                <w:sz w:val="16"/>
                <w:u w:val="none"/>
              </w:rPr>
              <w:t>Task</w:t>
            </w:r>
          </w:p>
        </w:tc>
        <w:tc>
          <w:tcPr>
            <w:tcW w:type="dxa" w:w="794"/>
            <w:vAlign w:val="center"/>
          </w:tcPr>
          <w:p>
            <w:pPr>
              <w:jc w:val="center"/>
            </w:pPr>
            <w:r>
              <w:rPr>
                <w:rFonts w:ascii="Arial Narrow" w:hAnsi="Arial Narrow" w:eastAsia="Arial Narrow" w:cs="Arial Narrow"/>
                <w:b/>
                <w:i w:val="0"/>
                <w:sz w:val="16"/>
                <w:u w:val="none"/>
              </w:rPr>
              <w:t>Model</w:t>
            </w:r>
          </w:p>
        </w:tc>
        <w:tc>
          <w:tcPr>
            <w:tcW w:type="dxa" w:w="706"/>
            <w:vAlign w:val="center"/>
          </w:tcPr>
          <w:p>
            <w:pPr>
              <w:jc w:val="center"/>
            </w:pPr>
            <w:r>
              <w:rPr>
                <w:rFonts w:ascii="Arial Narrow" w:hAnsi="Arial Narrow" w:eastAsia="Arial Narrow" w:cs="Arial Narrow"/>
                <w:b/>
                <w:i w:val="0"/>
                <w:sz w:val="16"/>
                <w:u w:val="none"/>
              </w:rPr>
              <w:t>Accuracy</w:t>
            </w:r>
          </w:p>
        </w:tc>
        <w:tc>
          <w:tcPr>
            <w:tcW w:type="dxa" w:w="1060"/>
            <w:vAlign w:val="center"/>
          </w:tcPr>
          <w:p>
            <w:pPr>
              <w:jc w:val="center"/>
            </w:pPr>
            <w:r>
              <w:rPr>
                <w:rFonts w:ascii="Arial Narrow" w:hAnsi="Arial Narrow" w:eastAsia="Arial Narrow" w:cs="Arial Narrow"/>
                <w:b/>
                <w:i w:val="0"/>
                <w:sz w:val="16"/>
                <w:u w:val="none"/>
              </w:rPr>
              <w:t>Dataset Size</w:t>
            </w:r>
          </w:p>
        </w:tc>
      </w:tr>
      <w:tr>
        <w:tc>
          <w:tcPr>
            <w:tcW w:type="dxa" w:w="2118"/>
            <w:vAlign w:val="center"/>
          </w:tcPr>
          <w:p>
            <w:pPr>
              <w:jc w:val="center"/>
            </w:pPr>
            <w:r>
              <w:rPr>
                <w:rFonts w:ascii="Arial Narrow" w:hAnsi="Arial Narrow" w:eastAsia="Arial Narrow" w:cs="Arial Narrow"/>
                <w:b w:val="0"/>
                <w:i w:val="0"/>
                <w:sz w:val="16"/>
                <w:u w:val="none"/>
              </w:rPr>
              <w:t>Diabetic Retinopathy</w:t>
            </w:r>
          </w:p>
        </w:tc>
        <w:tc>
          <w:tcPr>
            <w:tcW w:type="dxa" w:w="794"/>
            <w:vAlign w:val="center"/>
          </w:tcPr>
          <w:p>
            <w:pPr>
              <w:jc w:val="center"/>
            </w:pPr>
            <w:r>
              <w:rPr>
                <w:rFonts w:ascii="Arial Narrow" w:hAnsi="Arial Narrow" w:eastAsia="Arial Narrow" w:cs="Arial Narrow"/>
                <w:b w:val="0"/>
                <w:i w:val="0"/>
                <w:sz w:val="16"/>
                <w:u w:val="none"/>
              </w:rPr>
              <w:t>ResNet-50</w:t>
            </w:r>
          </w:p>
        </w:tc>
        <w:tc>
          <w:tcPr>
            <w:tcW w:type="dxa" w:w="706"/>
            <w:vAlign w:val="center"/>
          </w:tcPr>
          <w:p>
            <w:pPr>
              <w:jc w:val="center"/>
            </w:pPr>
            <w:r>
              <w:rPr>
                <w:rFonts w:ascii="Arial Narrow" w:hAnsi="Arial Narrow" w:eastAsia="Arial Narrow" w:cs="Arial Narrow"/>
                <w:b w:val="0"/>
                <w:i w:val="0"/>
                <w:sz w:val="16"/>
                <w:u w:val="none"/>
              </w:rPr>
              <w:t>95.2%</w:t>
            </w:r>
          </w:p>
        </w:tc>
        <w:tc>
          <w:tcPr>
            <w:tcW w:type="dxa" w:w="1060"/>
            <w:vAlign w:val="center"/>
          </w:tcPr>
          <w:p>
            <w:pPr>
              <w:jc w:val="center"/>
            </w:pPr>
            <w:r>
              <w:rPr>
                <w:rFonts w:ascii="Arial Narrow" w:hAnsi="Arial Narrow" w:eastAsia="Arial Narrow" w:cs="Arial Narrow"/>
                <w:b w:val="0"/>
                <w:i w:val="0"/>
                <w:sz w:val="16"/>
                <w:u w:val="none"/>
              </w:rPr>
              <w:t>128,000</w:t>
            </w:r>
          </w:p>
        </w:tc>
      </w:tr>
      <w:tr>
        <w:tc>
          <w:tcPr>
            <w:tcW w:type="dxa" w:w="2118"/>
            <w:vAlign w:val="center"/>
          </w:tcPr>
          <w:p>
            <w:pPr>
              <w:jc w:val="center"/>
            </w:pPr>
            <w:r>
              <w:rPr>
                <w:rFonts w:ascii="Arial Narrow" w:hAnsi="Arial Narrow" w:eastAsia="Arial Narrow" w:cs="Arial Narrow"/>
                <w:b w:val="0"/>
                <w:i w:val="0"/>
                <w:sz w:val="16"/>
                <w:u w:val="none"/>
              </w:rPr>
              <w:t>Lung Nodule Detection</w:t>
            </w:r>
          </w:p>
        </w:tc>
        <w:tc>
          <w:tcPr>
            <w:tcW w:type="dxa" w:w="794"/>
            <w:vAlign w:val="center"/>
          </w:tcPr>
          <w:p>
            <w:pPr>
              <w:jc w:val="center"/>
            </w:pPr>
            <w:r>
              <w:rPr>
                <w:rFonts w:ascii="Arial Narrow" w:hAnsi="Arial Narrow" w:eastAsia="Arial Narrow" w:cs="Arial Narrow"/>
                <w:b w:val="0"/>
                <w:i w:val="0"/>
                <w:sz w:val="16"/>
                <w:u w:val="none"/>
              </w:rPr>
              <w:t>3D CNN</w:t>
            </w:r>
          </w:p>
        </w:tc>
        <w:tc>
          <w:tcPr>
            <w:tcW w:type="dxa" w:w="706"/>
            <w:vAlign w:val="center"/>
          </w:tcPr>
          <w:p>
            <w:pPr>
              <w:jc w:val="center"/>
            </w:pPr>
            <w:r>
              <w:rPr>
                <w:rFonts w:ascii="Arial Narrow" w:hAnsi="Arial Narrow" w:eastAsia="Arial Narrow" w:cs="Arial Narrow"/>
                <w:b w:val="0"/>
                <w:i w:val="0"/>
                <w:sz w:val="16"/>
                <w:u w:val="none"/>
              </w:rPr>
              <w:t>92.8%</w:t>
            </w:r>
          </w:p>
        </w:tc>
        <w:tc>
          <w:tcPr>
            <w:tcW w:type="dxa" w:w="1060"/>
            <w:vAlign w:val="center"/>
          </w:tcPr>
          <w:p>
            <w:pPr>
              <w:jc w:val="center"/>
            </w:pPr>
            <w:r>
              <w:rPr>
                <w:rFonts w:ascii="Arial Narrow" w:hAnsi="Arial Narrow" w:eastAsia="Arial Narrow" w:cs="Arial Narrow"/>
                <w:b w:val="0"/>
                <w:i w:val="0"/>
                <w:sz w:val="16"/>
                <w:u w:val="none"/>
              </w:rPr>
              <w:t>45,000</w:t>
            </w:r>
          </w:p>
        </w:tc>
      </w:tr>
      <w:tr>
        <w:tc>
          <w:tcPr>
            <w:tcW w:type="dxa" w:w="2118"/>
            <w:vAlign w:val="center"/>
          </w:tcPr>
          <w:p>
            <w:pPr>
              <w:jc w:val="center"/>
            </w:pPr>
            <w:r>
              <w:rPr>
                <w:rFonts w:ascii="Arial Narrow" w:hAnsi="Arial Narrow" w:eastAsia="Arial Narrow" w:cs="Arial Narrow"/>
                <w:b w:val="0"/>
                <w:i w:val="0"/>
                <w:sz w:val="16"/>
                <w:u w:val="none"/>
              </w:rPr>
              <w:t>Breast Cancer</w:t>
            </w:r>
          </w:p>
        </w:tc>
        <w:tc>
          <w:tcPr>
            <w:tcW w:type="dxa" w:w="794"/>
            <w:vAlign w:val="center"/>
          </w:tcPr>
          <w:p>
            <w:pPr>
              <w:jc w:val="center"/>
            </w:pPr>
            <w:r>
              <w:rPr>
                <w:rFonts w:ascii="Arial Narrow" w:hAnsi="Arial Narrow" w:eastAsia="Arial Narrow" w:cs="Arial Narrow"/>
                <w:b w:val="0"/>
                <w:i w:val="0"/>
                <w:sz w:val="16"/>
                <w:u w:val="none"/>
              </w:rPr>
              <w:t>DenseNet</w:t>
            </w:r>
          </w:p>
        </w:tc>
        <w:tc>
          <w:tcPr>
            <w:tcW w:type="dxa" w:w="706"/>
            <w:vAlign w:val="center"/>
          </w:tcPr>
          <w:p>
            <w:pPr>
              <w:jc w:val="center"/>
            </w:pPr>
            <w:r>
              <w:rPr>
                <w:rFonts w:ascii="Arial Narrow" w:hAnsi="Arial Narrow" w:eastAsia="Arial Narrow" w:cs="Arial Narrow"/>
                <w:b w:val="0"/>
                <w:i w:val="0"/>
                <w:sz w:val="16"/>
                <w:u w:val="none"/>
              </w:rPr>
              <w:t>94.5%</w:t>
            </w:r>
          </w:p>
        </w:tc>
        <w:tc>
          <w:tcPr>
            <w:tcW w:type="dxa" w:w="1060"/>
            <w:vAlign w:val="center"/>
          </w:tcPr>
          <w:p>
            <w:pPr>
              <w:jc w:val="center"/>
            </w:pPr>
            <w:r>
              <w:rPr>
                <w:rFonts w:ascii="Arial Narrow" w:hAnsi="Arial Narrow" w:eastAsia="Arial Narrow" w:cs="Arial Narrow"/>
                <w:b w:val="0"/>
                <w:i w:val="0"/>
                <w:sz w:val="16"/>
                <w:u w:val="none"/>
              </w:rPr>
              <w:t>60,000</w:t>
            </w:r>
          </w:p>
        </w:tc>
      </w:tr>
      <w:tr>
        <w:tc>
          <w:tcPr>
            <w:tcW w:type="dxa" w:w="2118"/>
            <w:vAlign w:val="center"/>
          </w:tcPr>
          <w:p>
            <w:pPr>
              <w:jc w:val="center"/>
            </w:pPr>
            <w:r>
              <w:rPr>
                <w:rFonts w:ascii="Arial Narrow" w:hAnsi="Arial Narrow" w:eastAsia="Arial Narrow" w:cs="Arial Narrow"/>
                <w:b w:val="0"/>
                <w:i w:val="0"/>
                <w:sz w:val="16"/>
                <w:u w:val="none"/>
              </w:rPr>
              <w:t>Brain Tumor Segmentation</w:t>
            </w:r>
          </w:p>
        </w:tc>
        <w:tc>
          <w:tcPr>
            <w:tcW w:type="dxa" w:w="794"/>
            <w:vAlign w:val="center"/>
          </w:tcPr>
          <w:p>
            <w:pPr>
              <w:jc w:val="center"/>
            </w:pPr>
            <w:r>
              <w:rPr>
                <w:rFonts w:ascii="Arial Narrow" w:hAnsi="Arial Narrow" w:eastAsia="Arial Narrow" w:cs="Arial Narrow"/>
                <w:b w:val="0"/>
                <w:i w:val="0"/>
                <w:sz w:val="16"/>
                <w:u w:val="none"/>
              </w:rPr>
              <w:t>U-Net</w:t>
            </w:r>
          </w:p>
        </w:tc>
        <w:tc>
          <w:tcPr>
            <w:tcW w:type="dxa" w:w="706"/>
            <w:vAlign w:val="center"/>
          </w:tcPr>
          <w:p>
            <w:pPr>
              <w:jc w:val="center"/>
            </w:pPr>
            <w:r>
              <w:rPr>
                <w:rFonts w:ascii="Arial Narrow" w:hAnsi="Arial Narrow" w:eastAsia="Arial Narrow" w:cs="Arial Narrow"/>
                <w:b w:val="0"/>
                <w:i w:val="0"/>
                <w:sz w:val="16"/>
                <w:u w:val="none"/>
              </w:rPr>
              <w:t>91.3%</w:t>
            </w:r>
          </w:p>
        </w:tc>
        <w:tc>
          <w:tcPr>
            <w:tcW w:type="dxa" w:w="1060"/>
            <w:vAlign w:val="center"/>
          </w:tcPr>
          <w:p>
            <w:pPr>
              <w:jc w:val="center"/>
            </w:pPr>
            <w:r>
              <w:rPr>
                <w:rFonts w:ascii="Arial Narrow" w:hAnsi="Arial Narrow" w:eastAsia="Arial Narrow" w:cs="Arial Narrow"/>
                <w:b w:val="0"/>
                <w:i w:val="0"/>
                <w:sz w:val="16"/>
                <w:u w:val="none"/>
              </w:rPr>
              <w:t>35,000</w:t>
            </w:r>
          </w:p>
        </w:tc>
      </w:tr>
    </w:tbl>
    <w:p>
      <w:pPr>
        <w:spacing w:line="240" w:lineRule="auto" w:before="60" w:after="60"/>
        <w:ind w:firstLine="720"/>
        <w:jc w:val="both"/>
        <w:rPr>
          <w:rFonts w:ascii="Times New Roman" w:cs="Times New Roman" w:eastAsia="Times New Roman" w:hAnsi="Times New Roman"/>
          <w:sz w:val="20"/>
          <w:szCs w:val="20"/>
        </w:rPr>
      </w:pPr>
      <m:oMath xmlns:mml="http://www.w3.org/1998/Math/MathML">
        <m:r>
          <w:rPr>
            <w:rFonts w:ascii="Cambria Math" w:hAnsi="Cambria Math" w:eastAsia="Cambria Math" w:cs="Cambria Math"/>
            <w:sz w:val="20"/>
            <w:szCs w:val="20"/>
          </w:rPr>
          <m:t>E=m</m:t>
        </m:r>
        <m:sSup>
          <m:e>
            <m:r>
              <w:rPr>
                <w:rFonts w:ascii="Cambria Math" w:hAnsi="Cambria Math" w:eastAsia="Cambria Math" w:cs="Cambria Math"/>
                <w:sz w:val="20"/>
                <w:szCs w:val="20"/>
              </w:rPr>
              <m:t>c</m:t>
            </m:r>
          </m:e>
          <m:sup>
            <m:r>
              <w:rPr>
                <w:rFonts w:ascii="Cambria Math" w:hAnsi="Cambria Math" w:eastAsia="Cambria Math" w:cs="Cambria Math"/>
                <w:sz w:val="20"/>
                <w:szCs w:val="20"/>
              </w:rPr>
              <m:t>2</m:t>
            </m:r>
          </m:sup>
        </m:sSup>
      </m:oMath>
      <w:r>
        <w:rPr>
          <w:rFonts w:ascii="Times New Roman" w:cs="Times New Roman" w:eastAsia="Times New Roman" w:hAnsi="Times New Roman"/>
          <w:sz w:val="20"/>
          <w:szCs w:val="20"/>
          <w:rtl w:val="0"/>
        </w:rPr>
        <w:tab/>
        <w:tab/>
        <w:tab/>
        <w:tab/>
        <w:t>(1)</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3.2.</w:t>
        <w:tab/>
        <w:t>Disease Prediction</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Predictive models use patient data to forecast disease onset, progression, and outcomes. Random forests, gradient boosting, and neural networks are commonly employed for risk stratification and early warning systems.</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3.3.</w:t>
        <w:tab/>
        <w:t>Drug Discovery</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ML accelerates drug discovery by predicting molecular properties, identifying drug targets, and optimizing compound structures. Deep learning models can screen millions of compounds in silico, significantly reducing time and cost.</w:t>
      </w:r>
    </w:p>
    <w:p>
      <w:pPr>
        <w:spacing w:line="240" w:lineRule="auto" w:before="60" w:after="60"/>
        <w:jc w:val="both"/>
        <w:rPr>
          <w:rFonts w:ascii="Times New Roman" w:cs="Times New Roman" w:eastAsia="Times New Roman" w:hAnsi="Times New Roman"/>
          <w:sz w:val="20"/>
          <w:szCs w:val="20"/>
        </w:rPr>
      </w:pPr>
      <w:r>
        <w:rPr>
          <w:rFonts w:ascii="Times New Roman" w:cs="Times New Roman" w:eastAsia="Times New Roman" w:hAnsi="Times New Roman"/>
          <w:b w:val="1"/>
          <w:sz w:val="24"/>
          <w:szCs w:val="24"/>
          <w:rtl w:val="0"/>
        </w:rPr>
        <w:t>4. Challenges and Limitations</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Despite significant progress, several challenges hinder widespread adoption of ML in healthcare.</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4.1.</w:t>
        <w:tab/>
        <w:t>Data Privacy and Security</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Healthcare data is highly sensitive and subject to strict regulations (HIPAA, GDPR). Ensuring privacy while enabling ML model training requires techniques such as federated learning, differential privacy, and secure multi-party computation.</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4.2.</w:t>
        <w:tab/>
        <w:t>Model Interpretability</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Deep learning models often function as black boxes, making it difficult for clinicians to understand and trust their predictions. Explainable AI (XAI) methods such as attention mechanisms, saliency maps, and SHAP values help address this limitation.</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4.3.</w:t>
        <w:tab/>
        <w:t>Clinical Integration</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Integrating ML systems into clinical workflows requires careful consideration of usability, validation, and regulatory approval. Models must be robust, reliable, and aligned with clinical practice guidelines.</w:t>
      </w:r>
    </w:p>
    <w:p>
      <w:pPr>
        <w:spacing w:line="240" w:lineRule="auto" w:before="60" w:after="60"/>
        <w:jc w:val="both"/>
        <w:rPr>
          <w:rFonts w:ascii="Times New Roman" w:cs="Times New Roman" w:eastAsia="Times New Roman" w:hAnsi="Times New Roman"/>
          <w:sz w:val="20"/>
          <w:szCs w:val="20"/>
        </w:rPr>
      </w:pPr>
      <w:r>
        <w:rPr>
          <w:rFonts w:ascii="Times New Roman" w:cs="Times New Roman" w:eastAsia="Times New Roman" w:hAnsi="Times New Roman"/>
          <w:b w:val="1"/>
          <w:sz w:val="24"/>
          <w:szCs w:val="24"/>
          <w:rtl w:val="0"/>
        </w:rPr>
        <w:t>5. Future Directions</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The future of ML in healthcare is promising, with several emerging trends and research directions.</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5.1.</w:t>
        <w:tab/>
        <w:t>Federated Learning</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Federated learning enables collaborative model training across institutions without sharing raw data, addressing privacy concerns while leveraging diverse datasets.</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5.2.</w:t>
        <w:tab/>
        <w:t>Multimodal Learning</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Integrating multiple data modalities (imaging, genomics, EHRs) can improve diagnostic accuracy and enable more comprehensive patient assessment.</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5.3.</w:t>
        <w:tab/>
        <w:t>Real-time Clinical Decision Support</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Deploying ML models at the point of care can provide real-time recommendations, alerts, and decision support to clinicians, improving patient outcomes and reducing errors.</w:t>
      </w:r>
    </w:p>
    <w:p>
      <w:pPr>
        <w:spacing w:line="240" w:lineRule="auto" w:before="60" w:after="60"/>
        <w:jc w:val="both"/>
        <w:rPr>
          <w:rFonts w:ascii="Times New Roman" w:cs="Times New Roman" w:eastAsia="Times New Roman" w:hAnsi="Times New Roman"/>
          <w:sz w:val="20"/>
          <w:szCs w:val="20"/>
        </w:rPr>
      </w:pPr>
      <w:r>
        <w:rPr>
          <w:rFonts w:ascii="Times New Roman" w:cs="Times New Roman" w:eastAsia="Times New Roman" w:hAnsi="Times New Roman"/>
          <w:b w:val="1"/>
          <w:sz w:val="24"/>
          <w:szCs w:val="24"/>
          <w:rtl w:val="0"/>
        </w:rPr>
        <w:t>6. Conclusion</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sectPr>
          <w:type w:val="continuous"/>
          <w:pgSz w:h="16839" w:w="11907" w:orient="portrait"/>
          <w:pgMar w:bottom="1418" w:top="1985" w:left="1134" w:right="1134" w:header="720" w:footer="720"/>
          <w:cols w:num="2" w:space="360"/>
        </w:sectPr>
      </w:pPr>
    </w:p>
    <w:p>
      <w:pPr>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b w:val="1"/>
          <w:sz w:val="24"/>
          <w:szCs w:val="24"/>
          <w:rtl w:val="0"/>
        </w:rPr>
        <w:t>Referensi</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Referensi belum tersedia pada source JSON.</w:t>
      </w:r>
    </w:p>
    <w:sectPr>
      <w:type w:val="continuous"/>
      <w:pgSz w:h="16839" w:w="11907" w:orient="portrait"/>
      <w:pgMar w:bottom="1418" w:top="1985" w:left="1134" w:right="1134" w:header="720" w:footer="720"/>
      <w:cols w:equalWidth="0" w:num="2">
        <w:col w:space="284" w:w="4677.5"/>
        <w:col w:space="0" w:w="467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https://ejournal3.undip.ac.id/index.php/transient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https://ejournal3.undip.ac.id/index.php/transient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https://ejournal3.undip.ac.id/index.php/transient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tabs>
        <w:tab w:val="center" w:leader="none" w:pos="4153"/>
        <w:tab w:val="right" w:leader="none" w:pos="8306"/>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TRANSIENT, VOL. XX, NO. XX, BULAN 2024, e-ISSN: 2685-0206</w:t>
    </w:r>
    <w:r w:rsidDel="00000000" w:rsidR="00000000" w:rsidRPr="00000000">
      <w:rPr>
        <w:rtl w:val="0"/>
      </w:rPr>
    </w:r>
  </w:p>
  <w:p w:rsidR="00000000" w:rsidDel="00000000" w:rsidP="00000000" w:rsidRDefault="00000000" w:rsidRPr="00000000" w14:paraId="000000A2">
    <w:pPr>
      <w:tabs>
        <w:tab w:val="center" w:leader="none" w:pos="4153"/>
        <w:tab w:val="right" w:leader="none" w:pos="8306"/>
      </w:tab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tabs>
        <w:tab w:val="center" w:leader="none" w:pos="4153"/>
        <w:tab w:val="right" w:leader="none" w:pos="8306"/>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TRANSIENT, VOL. XX, NO. XX, BULAN 2024, e-ISSN: 2685-0206</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tabs>
        <w:tab w:val="center" w:leader="none" w:pos="4153"/>
        <w:tab w:val="right" w:leader="none" w:pos="8306"/>
      </w:tabs>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TRANSIENT : Jurnal Ilmiah Teknik Elektro</w:t>
    </w:r>
    <w:r w:rsidDel="00000000" w:rsidR="00000000" w:rsidRPr="00000000">
      <w:rPr>
        <w:rFonts w:ascii="Arial" w:cs="Arial" w:eastAsia="Arial" w:hAnsi="Arial"/>
        <w:b w:val="1"/>
        <w:i w:val="1"/>
        <w:color w:val="111111"/>
        <w:sz w:val="21"/>
        <w:szCs w:val="21"/>
        <w:highlight w:val="white"/>
        <w:rtl w:val="0"/>
      </w:rPr>
      <w:t xml:space="preserve"> </w:t>
    </w:r>
    <w:hyperlink r:id="rId1">
      <w:r w:rsidDel="00000000" w:rsidR="00000000" w:rsidRPr="00000000">
        <w:rPr>
          <w:rFonts w:ascii="Arial" w:cs="Arial" w:eastAsia="Arial" w:hAnsi="Arial"/>
          <w:b w:val="1"/>
          <w:i w:val="1"/>
          <w:color w:val="0056b3"/>
          <w:sz w:val="21"/>
          <w:szCs w:val="21"/>
          <w:highlight w:val="white"/>
          <w:rtl w:val="0"/>
        </w:rPr>
        <w:t xml:space="preserve">(e-ISSN:2685-0206)</w:t>
      </w:r>
    </w:hyperlink>
    <w:r w:rsidDel="00000000" w:rsidR="00000000" w:rsidRPr="00000000">
      <w:rPr>
        <w:rFonts w:ascii="Times New Roman" w:cs="Times New Roman" w:eastAsia="Times New Roman" w:hAnsi="Times New Roman"/>
        <w:b w:val="1"/>
        <w:i w:val="1"/>
        <w:sz w:val="24"/>
        <w:szCs w:val="24"/>
        <w:rtl w:val="0"/>
      </w:rPr>
      <w:t xml:space="preserve">VOL. XX, NO. XX, BULAN2</w:t>
    </w:r>
    <w:r w:rsidDel="00000000" w:rsidR="00000000" w:rsidRPr="00000000">
      <w:rPr>
        <w:rFonts w:ascii="Times New Roman" w:cs="Times New Roman" w:eastAsia="Times New Roman" w:hAnsi="Times New Roman"/>
        <w:b w:val="1"/>
        <w:i w:val="1"/>
        <w:color w:val="000000"/>
        <w:sz w:val="24"/>
        <w:szCs w:val="24"/>
        <w:rtl w:val="0"/>
      </w:rPr>
      <w:t xml:space="preserve">024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360" w:hanging="360"/>
      </w:pPr>
      <w:rPr>
        <w:b w:val="0"/>
        <w:i w:val="0"/>
        <w:sz w:val="16"/>
        <w:szCs w:val="16"/>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spacing w:after="60" w:before="240" w:line="240" w:lineRule="auto"/>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spacing w:after="60" w:before="240" w:line="240" w:lineRule="auto"/>
      <w:outlineLvl w:val="2"/>
    </w:pPr>
    <w:rPr>
      <w:rFonts w:ascii="Arial" w:cs="Arial" w:eastAsia="Arial" w:hAnsi="Arial"/>
      <w:b w:val="1"/>
      <w:sz w:val="26"/>
      <w:szCs w:val="26"/>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paragraph" w:styleId="BalloonText">
    <w:name w:val="Balloon Text"/>
    <w:basedOn w:val="Normal"/>
    <w:link w:val="BalloonTextChar"/>
    <w:uiPriority w:val="99"/>
    <w:semiHidden w:val="1"/>
    <w:unhideWhenUsed w:val="1"/>
    <w:rsid w:val="00726C1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726C1C"/>
    <w:rPr>
      <w:rFonts w:ascii="Segoe UI" w:cs="Segoe UI" w:hAnsi="Segoe UI"/>
      <w:sz w:val="18"/>
      <w:szCs w:val="18"/>
    </w:rPr>
  </w:style>
  <w:style w:type="character" w:styleId="Hyperlink">
    <w:name w:val="Hyperlink"/>
    <w:basedOn w:val="DefaultParagraphFont"/>
    <w:uiPriority w:val="99"/>
    <w:unhideWhenUsed w:val="1"/>
    <w:rsid w:val="00726C1C"/>
    <w:rPr>
      <w:color w:val="0000ff" w:themeColor="hyperlink"/>
      <w:u w:val="single"/>
    </w:rPr>
  </w:style>
  <w:style w:type="character" w:styleId="UnresolvedMention1" w:customStyle="1">
    <w:name w:val="Unresolved Mention1"/>
    <w:basedOn w:val="DefaultParagraphFont"/>
    <w:uiPriority w:val="99"/>
    <w:semiHidden w:val="1"/>
    <w:unhideWhenUsed w:val="1"/>
    <w:rsid w:val="00726C1C"/>
    <w:rPr>
      <w:color w:val="605e5c"/>
      <w:shd w:color="auto" w:fill="e1dfdd" w:val="clear"/>
    </w:rPr>
  </w:style>
  <w:style w:type="paragraph" w:styleId="Footer">
    <w:name w:val="footer"/>
    <w:basedOn w:val="Normal"/>
    <w:link w:val="FooterChar"/>
    <w:uiPriority w:val="99"/>
    <w:unhideWhenUsed w:val="1"/>
    <w:rsid w:val="006F3A30"/>
    <w:pPr>
      <w:tabs>
        <w:tab w:val="center" w:pos="4680"/>
        <w:tab w:val="right" w:pos="9360"/>
      </w:tabs>
      <w:spacing w:line="240" w:lineRule="auto"/>
    </w:pPr>
  </w:style>
  <w:style w:type="character" w:styleId="FooterChar" w:customStyle="1">
    <w:name w:val="Footer Char"/>
    <w:basedOn w:val="DefaultParagraphFont"/>
    <w:link w:val="Footer"/>
    <w:uiPriority w:val="99"/>
    <w:rsid w:val="006F3A30"/>
  </w:style>
  <w:style w:type="paragraph" w:styleId="Header">
    <w:name w:val="header"/>
    <w:basedOn w:val="Normal"/>
    <w:link w:val="HeaderChar"/>
    <w:uiPriority w:val="99"/>
    <w:unhideWhenUsed w:val="1"/>
    <w:rsid w:val="006F3A30"/>
    <w:pPr>
      <w:tabs>
        <w:tab w:val="center" w:pos="4680"/>
        <w:tab w:val="right" w:pos="9360"/>
      </w:tabs>
      <w:spacing w:line="240" w:lineRule="auto"/>
    </w:pPr>
  </w:style>
  <w:style w:type="character" w:styleId="HeaderChar" w:customStyle="1">
    <w:name w:val="Header Char"/>
    <w:basedOn w:val="DefaultParagraphFont"/>
    <w:link w:val="Header"/>
    <w:uiPriority w:val="99"/>
    <w:rsid w:val="006F3A30"/>
  </w:style>
  <w:style w:type="character" w:styleId="PlaceholderText">
    <w:name w:val="Placeholder Text"/>
    <w:basedOn w:val="DefaultParagraphFont"/>
    <w:uiPriority w:val="99"/>
    <w:semiHidden w:val="1"/>
    <w:rsid w:val="006F3A30"/>
    <w:rPr>
      <w:color w:val="808080"/>
    </w:rPr>
  </w:style>
  <w:style w:type="character" w:styleId="Emphasis">
    <w:name w:val="Emphasis"/>
    <w:basedOn w:val="DefaultParagraphFont"/>
    <w:uiPriority w:val="20"/>
    <w:qFormat w:val="1"/>
    <w:rsid w:val="00E33BAE"/>
    <w:rPr>
      <w:i w:val="1"/>
      <w:iCs w:val="1"/>
    </w:rPr>
  </w:style>
  <w:style w:type="paragraph" w:styleId="ListParagraph">
    <w:name w:val="List Paragraph"/>
    <w:basedOn w:val="Normal"/>
    <w:uiPriority w:val="34"/>
    <w:qFormat w:val="1"/>
    <w:rsid w:val="00F10B64"/>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amapenulis@institusi.ac.id"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CambriaMath-regular.ttf"/></Relationships>
</file>

<file path=word/_rels/header3.xml.rels><?xml version='1.0' encoding='UTF-8' standalone='yes'?>
<Relationships xmlns="http://schemas.openxmlformats.org/package/2006/relationships"><Relationship Id="rId1" Type="http://schemas.openxmlformats.org/officeDocument/2006/relationships/hyperlink" Target="https://issn.brin.go.id/terbit/detail/15604919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kud4irufxjvHxzrU0UmP/OHqxw==">CgMxLjAyCGguZ2pkZ3hzOAByITFiclNRZUMyZjhDS1JKWDFsb2cwWmp0eVo0a2VHTS14Tw==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2024-01-18T04:34:00Z</dcterms:created>
  <dc:creator>Wahyudi Wahyudi</dc:creator>
</cp:coreProperties>
</file>