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Digitalisasi Pajak Indonesia: Tinjauan Sistematis terhadap Sistem Administrasi Perpajakan Elektronik</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Andi Pratama</w:t>
      </w:r>
      <w:r>
        <w:br/>
      </w:r>
      <w:r>
        <w:rPr>
          <w:i/>
          <w:sz w:val="18"/>
        </w:rPr>
        <w:t>Fakultas Ilmu Administrasi, Universitas Indonesia</w:t>
      </w:r>
      <w:r>
        <w:br/>
      </w:r>
      <w:r>
        <w:rPr>
          <w:i/>
          <w:sz w:val="18"/>
        </w:rPr>
        <w:t>Depok, Indonesia</w:t>
      </w:r>
      <w:r>
        <w:br/>
      </w:r>
      <w:r>
        <w:rPr>
          <w:sz w:val="18"/>
        </w:rPr>
        <w:t>e-mail: andi.pratama@ui.ac.id</w:t>
      </w:r>
    </w:p>
    <w:p>
      <w:pPr>
        <w:pStyle w:val="Author"/>
      </w:pPr>
      <w:r>
        <w:rPr>
          <w:sz w:val="18"/>
        </w:rPr>
        <w:t>Siti Rahmawati</w:t>
      </w:r>
      <w:r>
        <w:br/>
      </w:r>
      <w:r>
        <w:rPr>
          <w:i/>
          <w:sz w:val="18"/>
        </w:rPr>
        <w:t>Fakultas Ekonomi dan Bisnis, Universitas Gadjah Mada</w:t>
      </w:r>
      <w:r>
        <w:br/>
      </w:r>
      <w:r>
        <w:rPr>
          <w:i/>
          <w:sz w:val="18"/>
        </w:rPr>
        <w:t>Yogyakarta, Indonesia</w:t>
      </w:r>
      <w:r>
        <w:br/>
      </w:r>
      <w:r>
        <w:rPr>
          <w:sz w:val="18"/>
        </w:rPr>
        <w:t>e-mail: siti.rahmawati@ugm.ac.id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 xml:space="preserve">Digitalisasi sistem administrasi perpajakan di Indonesia telah menjadi prioritas nasional untuk meningkatkan efisiensi, transparansi, dan kepatuhan wajib pajak. Namun, implementasi sistem elektronik seperti e-Filing, e-Billing, dan e-Faktur masih menghadapi berbagai tantangan teknis, organisasional, dan regulasi. Tinjauan sistematis ini menganalisis 42 artikel terpilih dari basis data Scopus, ScienceDirect, dan Google Scholar (2015â2025) untuk mengidentifikasi perkembangan, hambatan, dan dampak digitalisasi perpajakan. Metode PRISMA digunakan untuk menyaring literatur. Hasil menunjukkan bahwa adopsi e-Filing telah mencapai tingkat partisipasi </w:t>
      </w:r>
      <m:oMath xmlns:mml="http://www.w3.org/1998/Math/MathML">
        <m:sSub>
          <m:e>
            <m:r>
              <m:t>A</m:t>
            </m:r>
          </m:e>
          <m:sub>
            <m:r>
              <m:t>1</m:t>
            </m:r>
          </m:sub>
        </m:sSub>
      </m:oMath>
      <w:r>
        <w:rPr>
          <w:b w:val="0"/>
          <w:i w:val="0"/>
          <w:u w:val="none"/>
        </w:rPr>
        <w:t xml:space="preserve">%, namun kesenjangan infrastruktur digital di daerah terpencil membatasi akses. Tantangan utama meliputi keamanan data, integrasi sistem, dan resistensi pengguna. Di sisi lain, digitalisasi terbukti meningkatkan efisiensi waktu pemrosesan hingga </w:t>
      </w:r>
      <m:oMath xmlns:mml="http://www.w3.org/1998/Math/MathML">
        <m:sSub>
          <m:e>
            <m:r>
              <m:t>B</m:t>
            </m:r>
          </m:e>
          <m:sub>
            <m:r>
              <m:t>1</m:t>
            </m:r>
          </m:sub>
        </m:sSub>
      </m:oMath>
      <w:r>
        <w:rPr>
          <w:b w:val="0"/>
          <w:i w:val="0"/>
          <w:u w:val="none"/>
        </w:rPr>
        <w:t xml:space="preserve">% dan mengurangi biaya administrasi sebesar </w:t>
      </w:r>
      <m:oMath xmlns:mml="http://www.w3.org/1998/Math/MathML">
        <m:sSub>
          <m:e>
            <m:r>
              <m:t>C</m:t>
            </m:r>
          </m:e>
          <m:sub>
            <m:r>
              <m:t>1</m:t>
            </m:r>
          </m:sub>
        </m:sSub>
      </m:oMath>
      <w:r>
        <w:rPr>
          <w:b w:val="0"/>
          <w:i w:val="0"/>
          <w:u w:val="none"/>
        </w:rPr>
        <w:t>%. Temuan ini memberikan rekomendasi kebijakan untuk memperkuat ekosistem perpajakan digital di Indonesia.</w:t>
      </w:r>
    </w:p>
    <w:p>
      <w:pPr>
        <w:pStyle w:val="Keywords"/>
      </w:pPr>
      <w:r>
        <w:t>Index Terms</w:t>
      </w:r>
      <w:r>
        <w:t>—</w:t>
      </w:r>
      <w:r>
        <w:rPr>
          <w:b w:val="0"/>
          <w:i w:val="0"/>
          <w:u w:val="none"/>
        </w:rPr>
        <w:t>digitalisasi pajak, sistem administrasi elektronik, e-Filing, kepatuhan wajib pajak, tinjauan sistematis, Indonesia.</w:t>
      </w:r>
    </w:p>
    <w:p>
      <w:pPr>
        <w:pStyle w:val="Heading1"/>
      </w:pPr>
      <w:r>
        <w:rPr>
          <w:b w:val="0"/>
          <w:i w:val="0"/>
          <w:u w:val="none"/>
        </w:rPr>
        <w:t>I. PENDAHULUAN</w:t>
      </w:r>
    </w:p>
    <w:p>
      <w:pPr>
        <w:pStyle w:val="BodyText"/>
      </w:pPr>
      <w:r>
        <w:rPr>
          <w:b w:val="0"/>
          <w:i w:val="0"/>
          <w:u w:val="none"/>
        </w:rPr>
        <w:t xml:space="preserve">Transformasi digital telah merambah hampir seluruh sektor publik di Indonesia, termasuk administrasi perpajakan. Direktorat Jenderal Pajak (DJP) meluncurkan berbagai sistem elektronik seperti e-Filing (2005), e-Billing (2014), dan e-Faktur (2016) untuk memodernisasi proses pelaporan, pembayaran, dan faktur pajak [1]. Namun, adopsi teknologi ini tidak merata. Pada 2023, baru </w:t>
      </w:r>
      <m:oMath xmlns:mml="http://www.w3.org/1998/Math/MathML">
        <m:sSub>
          <m:e>
            <m:r>
              <m:t>A</m:t>
            </m:r>
          </m:e>
          <m:sub>
            <m:r>
              <m:t>1</m:t>
            </m:r>
          </m:sub>
        </m:sSub>
      </m:oMath>
      <w:r>
        <w:rPr>
          <w:b w:val="0"/>
          <w:i w:val="0"/>
          <w:u w:val="none"/>
        </w:rPr>
        <w:t>% wajib pajak orang pribadi yang menggunakan e-Filing secara konsisten [2]. Kesenjangan ini menimbulkan pertanyaan tentang efektivitas kebijakan digitalisasi.</w:t>
      </w:r>
    </w:p>
    <w:p>
      <w:pPr>
        <w:pStyle w:val="BodyText"/>
      </w:pPr>
      <w:r>
        <w:rPr>
          <w:b w:val="0"/>
          <w:i w:val="0"/>
          <w:u w:val="none"/>
        </w:rPr>
        <w:t>Literatur sebelumnya banyak membahas manfaat digitalisasi, seperti pengurangan kesalahan manual dan peningkatan kecepatan layanan [3], [4]. Akan tetapi, sebagian besar studi bersifat deskriptif atau studi kasus tunggal. Belum ada tinjauan sistematis yang mengintegrasikan temuan-temuan tersebut secara komprehensif. Oleh karena itu, tinjauan ini bertujuan untuk mengisi celah tersebut dengan menganalisis perkembangan, tantangan, dan dampak digitalisasi perpajakan di Indonesia.</w:t>
      </w:r>
    </w:p>
    <w:p>
      <w:pPr>
        <w:pStyle w:val="BodyText"/>
      </w:pPr>
      <w:r>
        <w:rPr>
          <w:b w:val="0"/>
          <w:i w:val="0"/>
          <w:u w:val="none"/>
        </w:rPr>
        <w:t>Tiga kontribusi utama dari tinjauan ini adalah: (1) menyajikan peta literatur terkini tentang sistem administrasi perpajakan elektronik di Indonesia, (2) mengidentifikasi hambatan utama dari aspek teknis, organisasi, dan regulasi, serta (3) mengevaluasi bukti empiris mengenai dampak digitalisasi terhadap kepatuhan dan efisiensi. Temuan ini diharapkan menjadi acuan bagi pembuat kebijakan dan peneliti selanjutnya.</w:t>
      </w:r>
    </w:p>
    <w:p>
      <w:pPr>
        <w:pStyle w:val="BodyText"/>
      </w:pPr>
      <w:r>
        <w:rPr>
          <w:b w:val="0"/>
          <w:i w:val="0"/>
          <w:u w:val="none"/>
        </w:rPr>
        <w:t>Paper ini disusun sebagai berikut. Bagian 2 menjelaskan metodologi tinjauan. Bagian 3 membahas perkembangan sistem elektronik. Bagian 4 menguraikan tantangan implementasi. Bagian 5 menganalisis dampak terhadap kepatuhan dan efisiensi. Bagian 6 menyajikan kesimpulan dan rekomendasi.</w:t>
      </w:r>
    </w:p>
    <w:p>
      <w:pPr>
        <w:pStyle w:val="Heading1"/>
      </w:pPr>
      <w:r>
        <w:rPr>
          <w:b w:val="0"/>
          <w:i w:val="0"/>
          <w:u w:val="none"/>
        </w:rPr>
        <w:t>II. METODOLOGI REVIEW</w:t>
      </w:r>
    </w:p>
    <w:p>
      <w:pPr>
        <w:pStyle w:val="BodyText"/>
      </w:pPr>
      <w:r>
        <w:rPr>
          <w:b w:val="0"/>
          <w:i w:val="0"/>
          <w:u w:val="none"/>
        </w:rPr>
        <w:t>Tinjauan ini mengikuti pedoman PRISMA (Preferred Reporting Items for Systematic Reviews and Meta-Analyses) [5]. Pencarian literatur dilakukan pada tiga basis data: Scopus, ScienceDirect, dan Google Scholar. Kata kunci yang digunakan adalah "digital taxation Indonesia", "e-Filing", "e-Billing", "e-Faktur", "tax compliance", dan "electronic tax administration". Rentang tahun publikasi dibatasi dari 2015 hingga 2025 untuk memastikan relevansi terkini.</w:t>
      </w:r>
    </w:p>
    <w:p>
      <w:pPr>
        <w:pStyle w:val="BodyText"/>
      </w:pPr>
      <w:r>
        <w:rPr>
          <w:b w:val="0"/>
          <w:i w:val="0"/>
          <w:u w:val="none"/>
        </w:rPr>
        <w:t>Kriteria inklusi meliputi: (a) artikel jurnal, prosiding konferensi, atau laporan kebijakan yang ditulis dalam Bahasa Indonesia atau Inggris, (b) berfokus pada implementasi sistem perpajakan elektronik di Indonesia, dan (c) menyajikan data empiris atau analisis kualitatif yang mendalam. Artikel yang hanya membahas teori tanpa konteks Indonesia dieksklusikan. Proses penyaringan dilakukan oleh dua penulis secara independen, dengan perbedaan diselesaikan melalui diskusi.</w:t>
      </w:r>
    </w:p>
    <w:p>
      <w:pPr>
        <w:pStyle w:val="BodyText"/>
      </w:pPr>
      <w:r>
        <w:rPr>
          <w:b w:val="0"/>
          <w:i w:val="0"/>
          <w:u w:val="none"/>
        </w:rPr>
        <w:t xml:space="preserve">Seleksi awal menghasilkan </w:t>
      </w:r>
      <m:oMath xmlns:mml="http://www.w3.org/1998/Math/MathML">
        <m:sSub>
          <m:e>
            <m:r>
              <m:t>N</m:t>
            </m:r>
          </m:e>
          <m:sub>
            <m:r>
              <m:t>1</m:t>
            </m:r>
          </m:sub>
        </m:sSub>
      </m:oMath>
      <w:r>
        <w:rPr>
          <w:b w:val="0"/>
          <w:i w:val="0"/>
          <w:u w:val="none"/>
        </w:rPr>
        <w:t xml:space="preserve"> artikel. Setelah menghapus duplikat (n = </w:t>
      </w:r>
      <m:oMath xmlns:mml="http://www.w3.org/1998/Math/MathML">
        <m:sSub>
          <m:e>
            <m:r>
              <m:t>D</m:t>
            </m:r>
          </m:e>
          <m:sub>
            <m:r>
              <m:t>1</m:t>
            </m:r>
          </m:sub>
        </m:sSub>
      </m:oMath>
      <w:r>
        <w:rPr>
          <w:b w:val="0"/>
          <w:i w:val="0"/>
          <w:u w:val="none"/>
        </w:rPr>
        <w:t xml:space="preserve">), tersisa </w:t>
      </w:r>
      <m:oMath xmlns:mml="http://www.w3.org/1998/Math/MathML">
        <m:sSub>
          <m:e>
            <m:r>
              <m:t>N</m:t>
            </m:r>
          </m:e>
          <m:sub>
            <m:r>
              <m:t>2</m:t>
            </m:r>
          </m:sub>
        </m:sSub>
      </m:oMath>
      <w:r>
        <w:rPr>
          <w:b w:val="0"/>
          <w:i w:val="0"/>
          <w:u w:val="none"/>
        </w:rPr>
        <w:t xml:space="preserve"> artikel untuk skrining abstrak. Skrining abstrak mengeliminasi </w:t>
      </w:r>
      <m:oMath xmlns:mml="http://www.w3.org/1998/Math/MathML">
        <m:sSub>
          <m:e>
            <m:r>
              <m:t>E</m:t>
            </m:r>
          </m:e>
          <m:sub>
            <m:r>
              <m:t>1</m:t>
            </m:r>
          </m:sub>
        </m:sSub>
      </m:oMath>
      <w:r>
        <w:rPr>
          <w:b w:val="0"/>
          <w:i w:val="0"/>
          <w:u w:val="none"/>
        </w:rPr>
        <w:t xml:space="preserve"> artikel yang tidak relevan. Selanjutnya, </w:t>
      </w:r>
      <m:oMath xmlns:mml="http://www.w3.org/1998/Math/MathML">
        <m:sSub>
          <m:e>
            <m:r>
              <m:t>N</m:t>
            </m:r>
          </m:e>
          <m:sub>
            <m:r>
              <m:t>3</m:t>
            </m:r>
          </m:sub>
        </m:sSub>
      </m:oMath>
      <w:r>
        <w:rPr>
          <w:b w:val="0"/>
          <w:i w:val="0"/>
          <w:u w:val="none"/>
        </w:rPr>
        <w:t xml:space="preserve"> artikel dibaca penuh dan </w:t>
      </w:r>
      <m:oMath xmlns:mml="http://www.w3.org/1998/Math/MathML">
        <m:sSub>
          <m:e>
            <m:r>
              <m:t>E</m:t>
            </m:r>
          </m:e>
          <m:sub>
            <m:r>
              <m:t>2</m:t>
            </m:r>
          </m:sub>
        </m:sSub>
      </m:oMath>
      <w:r>
        <w:rPr>
          <w:b w:val="0"/>
          <w:i w:val="0"/>
          <w:u w:val="none"/>
        </w:rPr>
        <w:t xml:space="preserve"> artikel dikeluarkan karena tidak memenuhi kriteria. Akhirnya, </w:t>
      </w:r>
      <m:oMath xmlns:mml="http://www.w3.org/1998/Math/MathML">
        <m:sSub>
          <m:e>
            <m:r>
              <m:t>N</m:t>
            </m:r>
          </m:e>
          <m:sub>
            <m:r>
              <m:t>4</m:t>
            </m:r>
          </m:sub>
        </m:sSub>
      </m:oMath>
      <w:r>
        <w:rPr>
          <w:b w:val="0"/>
          <w:i w:val="0"/>
          <w:u w:val="none"/>
        </w:rPr>
        <w:t xml:space="preserve"> artikel dimasukkan ke dalam sintesis kualitatif. Alur seleksi ditampilkan pada Fig. 1.</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PRISMA flow diagram for systematic review of digital tax administration in Indonesia. The diagram has four main boxes stacked vertically. First box: 'Identification' with text 'Records identified through database searching (n = N1)'. Below that, a box labeled 'Screening' with 'Records after duplicates removed (n = N2)'. Then a box 'Eligibility' with 'Full-text articles assessed (n = N3)'. Finally a box 'Included' with 'Studies included in qualitative synthesis (n = N4)'. Arrows connect the boxes. On the right side, there are boxes showing exclusion reasons: 'Duplicates removed (n = D1)', 'Records excluded (n = E1)', 'Full-text articles excluded (n = E2)'. Use clean academic style, white background, black text, blue boxes for main flow, gray for exclusions. Minimalist design."</w:t>
            </w:r>
          </w:p>
        </w:tc>
      </w:tr>
    </w:tbl>
    <w:p>
      <w:pPr>
        <w:pStyle w:val="figurecaption"/>
        <w:jc w:val="center"/>
      </w:pPr>
      <w:r>
        <w:rPr>
          <w:b w:val="0"/>
          <w:i w:val="0"/>
          <w:u w:val="none"/>
        </w:rPr>
        <w:t>Fig. 1. Diagram alur PRISMA seleksi literatur</w:t>
      </w:r>
    </w:p>
    <w:p>
      <w:pPr>
        <w:pStyle w:val="BodyText"/>
      </w:pPr>
      <w:r>
        <w:rPr>
          <w:b w:val="0"/>
          <w:i w:val="0"/>
          <w:u w:val="none"/>
        </w:rPr>
        <w:t xml:space="preserve">Fig. 1 mengilustrasikan proses seleksi artikel. Dari </w:t>
      </w:r>
      <m:oMath xmlns:mml="http://www.w3.org/1998/Math/MathML">
        <m:sSub>
          <m:e>
            <m:r>
              <m:t>N</m:t>
            </m:r>
          </m:e>
          <m:sub>
            <m:r>
              <m:t>1</m:t>
            </m:r>
          </m:sub>
        </m:sSub>
      </m:oMath>
      <w:r>
        <w:rPr>
          <w:b w:val="0"/>
          <w:i w:val="0"/>
          <w:u w:val="none"/>
        </w:rPr>
        <w:t xml:space="preserve"> artikel awal, setelah eliminasi duplikat dan skrining, diperoleh </w:t>
      </w:r>
      <m:oMath xmlns:mml="http://www.w3.org/1998/Math/MathML">
        <m:sSub>
          <m:e>
            <m:r>
              <m:t>N</m:t>
            </m:r>
          </m:e>
          <m:sub>
            <m:r>
              <m:t>4</m:t>
            </m:r>
          </m:sub>
        </m:sSub>
      </m:oMath>
      <w:r>
        <w:rPr>
          <w:b w:val="0"/>
          <w:i w:val="0"/>
          <w:u w:val="none"/>
        </w:rPr>
        <w:t xml:space="preserve"> artikel yang memenuhi kriteria. Sebaran artikel berdasarkan tahun dan topik akan dibahas pada bagian selanjutnya.</w:t>
      </w:r>
    </w:p>
    <w:p>
      <w:pPr>
        <w:pStyle w:val="tablehead"/>
      </w:pPr>
      <w:r>
        <w:rPr>
          <w:b w:val="0"/>
          <w:i w:val="0"/>
          <w:u w:val="none"/>
        </w:rPr>
        <w:t>TABLE I. Kriteria inklusi dan eksklusi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Kriteria</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Inklusi</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Eksklusi</w:t>
            </w:r>
          </w:p>
        </w:tc>
      </w:tr>
      <w:tr>
        <w:tc>
          <w:tcPr>
            <w:tcW w:type="dxa" w:w="3373"/>
            <w:tcBorders>
              <w:top w:val="none"/>
              <w:bottom w:val="none"/>
              <w:left w:val="none"/>
              <w:right w:val="none"/>
            </w:tcBorders>
          </w:tcPr>
          <w:p>
            <w:pPr>
              <w:pStyle w:val="tablecopy"/>
              <w:jc w:val="center"/>
            </w:pPr>
            <w:r/>
            <w:r>
              <w:rPr>
                <w:b w:val="0"/>
                <w:i w:val="0"/>
                <w:u w:val="none"/>
              </w:rPr>
              <w:t>Bahasa</w:t>
            </w:r>
          </w:p>
        </w:tc>
        <w:tc>
          <w:tcPr>
            <w:tcW w:type="dxa" w:w="3373"/>
            <w:tcBorders>
              <w:top w:val="none"/>
              <w:bottom w:val="none"/>
              <w:left w:val="none"/>
              <w:right w:val="none"/>
            </w:tcBorders>
          </w:tcPr>
          <w:p>
            <w:pPr>
              <w:pStyle w:val="tablecopy"/>
              <w:jc w:val="center"/>
            </w:pPr>
            <w:r/>
            <w:r>
              <w:rPr>
                <w:b w:val="0"/>
                <w:i w:val="0"/>
                <w:u w:val="none"/>
              </w:rPr>
              <w:t>Indonesia/Inggris</w:t>
            </w:r>
          </w:p>
        </w:tc>
        <w:tc>
          <w:tcPr>
            <w:tcW w:type="dxa" w:w="3373"/>
            <w:tcBorders>
              <w:top w:val="none"/>
              <w:bottom w:val="none"/>
              <w:left w:val="none"/>
              <w:right w:val="none"/>
            </w:tcBorders>
          </w:tcPr>
          <w:p>
            <w:pPr>
              <w:pStyle w:val="tablecopy"/>
              <w:jc w:val="center"/>
            </w:pPr>
            <w:r/>
            <w:r>
              <w:rPr>
                <w:b w:val="0"/>
                <w:i w:val="0"/>
                <w:u w:val="none"/>
              </w:rPr>
              <w:t>Lainnya</w:t>
            </w:r>
          </w:p>
        </w:tc>
      </w:tr>
      <w:tr>
        <w:tc>
          <w:tcPr>
            <w:tcW w:type="dxa" w:w="3373"/>
            <w:tcBorders>
              <w:top w:val="none"/>
              <w:bottom w:val="none"/>
              <w:left w:val="none"/>
              <w:right w:val="none"/>
            </w:tcBorders>
          </w:tcPr>
          <w:p>
            <w:pPr>
              <w:pStyle w:val="tablecopy"/>
              <w:jc w:val="center"/>
            </w:pPr>
            <w:r/>
            <w:r>
              <w:rPr>
                <w:b w:val="0"/>
                <w:i w:val="0"/>
                <w:u w:val="none"/>
              </w:rPr>
              <w:t>Fokus</w:t>
            </w:r>
          </w:p>
        </w:tc>
        <w:tc>
          <w:tcPr>
            <w:tcW w:type="dxa" w:w="3373"/>
            <w:tcBorders>
              <w:top w:val="none"/>
              <w:bottom w:val="none"/>
              <w:left w:val="none"/>
              <w:right w:val="none"/>
            </w:tcBorders>
          </w:tcPr>
          <w:p>
            <w:pPr>
              <w:pStyle w:val="tablecopy"/>
              <w:jc w:val="center"/>
            </w:pPr>
            <w:r/>
            <w:r>
              <w:rPr>
                <w:b w:val="0"/>
                <w:i w:val="0"/>
                <w:u w:val="none"/>
              </w:rPr>
              <w:t>Sistem perpajakan elektronik Indonesia</w:t>
            </w:r>
          </w:p>
        </w:tc>
        <w:tc>
          <w:tcPr>
            <w:tcW w:type="dxa" w:w="3373"/>
            <w:tcBorders>
              <w:top w:val="none"/>
              <w:bottom w:val="none"/>
              <w:left w:val="none"/>
              <w:right w:val="none"/>
            </w:tcBorders>
          </w:tcPr>
          <w:p>
            <w:pPr>
              <w:pStyle w:val="tablecopy"/>
              <w:jc w:val="center"/>
            </w:pPr>
            <w:r/>
            <w:r>
              <w:rPr>
                <w:b w:val="0"/>
                <w:i w:val="0"/>
                <w:u w:val="none"/>
              </w:rPr>
              <w:t>Non-Indonesia</w:t>
            </w:r>
          </w:p>
        </w:tc>
      </w:tr>
      <w:tr>
        <w:tc>
          <w:tcPr>
            <w:tcW w:type="dxa" w:w="3373"/>
            <w:tcBorders>
              <w:top w:val="none"/>
              <w:bottom w:val="none"/>
              <w:left w:val="none"/>
              <w:right w:val="none"/>
            </w:tcBorders>
          </w:tcPr>
          <w:p>
            <w:pPr>
              <w:pStyle w:val="tablecopy"/>
              <w:jc w:val="center"/>
            </w:pPr>
            <w:r/>
            <w:r>
              <w:rPr>
                <w:b w:val="0"/>
                <w:i w:val="0"/>
                <w:u w:val="none"/>
              </w:rPr>
              <w:t>Tipe publikasi</w:t>
            </w:r>
          </w:p>
        </w:tc>
        <w:tc>
          <w:tcPr>
            <w:tcW w:type="dxa" w:w="3373"/>
            <w:tcBorders>
              <w:top w:val="none"/>
              <w:bottom w:val="none"/>
              <w:left w:val="none"/>
              <w:right w:val="none"/>
            </w:tcBorders>
          </w:tcPr>
          <w:p>
            <w:pPr>
              <w:pStyle w:val="tablecopy"/>
              <w:jc w:val="center"/>
            </w:pPr>
            <w:r/>
            <w:r>
              <w:rPr>
                <w:b w:val="0"/>
                <w:i w:val="0"/>
                <w:u w:val="none"/>
              </w:rPr>
              <w:t>Jurnal, prosiding, laporan kebijakan</w:t>
            </w:r>
          </w:p>
        </w:tc>
        <w:tc>
          <w:tcPr>
            <w:tcW w:type="dxa" w:w="3373"/>
            <w:tcBorders>
              <w:top w:val="none"/>
              <w:bottom w:val="none"/>
              <w:left w:val="none"/>
              <w:right w:val="none"/>
            </w:tcBorders>
          </w:tcPr>
          <w:p>
            <w:pPr>
              <w:pStyle w:val="tablecopy"/>
              <w:jc w:val="center"/>
            </w:pPr>
            <w:r/>
            <w:r>
              <w:rPr>
                <w:b w:val="0"/>
                <w:i w:val="0"/>
                <w:u w:val="none"/>
              </w:rPr>
              <w:t>Opini, blog</w:t>
            </w:r>
          </w:p>
        </w:tc>
      </w:tr>
      <w:tr>
        <w:tc>
          <w:tcPr>
            <w:tcW w:type="dxa" w:w="3373"/>
            <w:tcBorders>
              <w:top w:val="none"/>
              <w:bottom w:val="none"/>
              <w:left w:val="none"/>
              <w:right w:val="none"/>
            </w:tcBorders>
          </w:tcPr>
          <w:p>
            <w:pPr>
              <w:pStyle w:val="tablecopy"/>
              <w:jc w:val="center"/>
            </w:pPr>
            <w:r/>
            <w:r>
              <w:rPr>
                <w:b w:val="0"/>
                <w:i w:val="0"/>
                <w:u w:val="none"/>
              </w:rPr>
              <w:t>Rentang tahun</w:t>
            </w:r>
          </w:p>
        </w:tc>
        <w:tc>
          <w:tcPr>
            <w:tcW w:type="dxa" w:w="3373"/>
            <w:tcBorders>
              <w:top w:val="none"/>
              <w:bottom w:val="none"/>
              <w:left w:val="none"/>
              <w:right w:val="none"/>
            </w:tcBorders>
          </w:tcPr>
          <w:p>
            <w:pPr>
              <w:pStyle w:val="tablecopy"/>
              <w:jc w:val="center"/>
            </w:pPr>
            <w:r/>
            <w:r>
              <w:rPr>
                <w:b w:val="0"/>
                <w:i w:val="0"/>
                <w:u w:val="none"/>
              </w:rPr>
              <w:t>2015â2025</w:t>
            </w:r>
          </w:p>
        </w:tc>
        <w:tc>
          <w:tcPr>
            <w:tcW w:type="dxa" w:w="3373"/>
            <w:tcBorders>
              <w:top w:val="none"/>
              <w:bottom w:val="none"/>
              <w:left w:val="none"/>
              <w:right w:val="none"/>
            </w:tcBorders>
          </w:tcPr>
          <w:p>
            <w:pPr>
              <w:pStyle w:val="tablecopy"/>
              <w:jc w:val="center"/>
            </w:pPr>
            <w:r/>
            <w:r>
              <w:rPr>
                <w:b w:val="0"/>
                <w:i w:val="0"/>
                <w:u w:val="none"/>
              </w:rPr>
              <w:t>Sebelum 2015</w:t>
            </w:r>
          </w:p>
        </w:tc>
      </w:tr>
      <w:tr>
        <w:tc>
          <w:tcPr>
            <w:tcW w:type="dxa" w:w="3373"/>
            <w:tcBorders>
              <w:top w:val="none"/>
              <w:bottom w:val="single" w:sz="8" w:space="0" w:color="auto"/>
              <w:left w:val="none"/>
              <w:right w:val="none"/>
            </w:tcBorders>
          </w:tcPr>
          <w:p>
            <w:pPr>
              <w:pStyle w:val="tablecopy"/>
              <w:jc w:val="center"/>
            </w:pPr>
            <w:r/>
            <w:r>
              <w:rPr>
                <w:b w:val="0"/>
                <w:i w:val="0"/>
                <w:u w:val="none"/>
              </w:rPr>
              <w:t>Data</w:t>
            </w:r>
          </w:p>
        </w:tc>
        <w:tc>
          <w:tcPr>
            <w:tcW w:type="dxa" w:w="3373"/>
            <w:tcBorders>
              <w:top w:val="none"/>
              <w:bottom w:val="single" w:sz="8" w:space="0" w:color="auto"/>
              <w:left w:val="none"/>
              <w:right w:val="none"/>
            </w:tcBorders>
          </w:tcPr>
          <w:p>
            <w:pPr>
              <w:pStyle w:val="tablecopy"/>
              <w:jc w:val="center"/>
            </w:pPr>
            <w:r/>
            <w:r>
              <w:rPr>
                <w:b w:val="0"/>
                <w:i w:val="0"/>
                <w:u w:val="none"/>
              </w:rPr>
              <w:t>Empiris atau kualitatif mendalam</w:t>
            </w:r>
          </w:p>
        </w:tc>
        <w:tc>
          <w:tcPr>
            <w:tcW w:type="dxa" w:w="3373"/>
            <w:tcBorders>
              <w:top w:val="none"/>
              <w:bottom w:val="single" w:sz="8" w:space="0" w:color="auto"/>
              <w:left w:val="none"/>
              <w:right w:val="none"/>
            </w:tcBorders>
          </w:tcPr>
          <w:p>
            <w:pPr>
              <w:pStyle w:val="tablecopy"/>
              <w:jc w:val="center"/>
            </w:pPr>
            <w:r/>
            <w:r>
              <w:rPr>
                <w:b w:val="0"/>
                <w:i w:val="0"/>
                <w:u w:val="none"/>
              </w:rPr>
              <w:t>Teoritis murni</w:t>
            </w:r>
          </w:p>
        </w:tc>
      </w:tr>
    </w:tbl>
    <w:p>
      <w:pPr>
        <w:spacing w:after="80"/>
      </w:pPr>
    </w:p>
    <w:p>
      <w:pPr>
        <w:pStyle w:val="BodyText"/>
      </w:pPr>
      <w:r>
        <w:rPr>
          <w:b w:val="0"/>
          <w:i w:val="0"/>
          <w:u w:val="none"/>
        </w:rPr>
        <w:t>Table I merangkum kriteria yang digunakan. Sebagian besar artikel yang dieksklusikan berasal dari tahun sebelum 2015 atau tidak menyajikan data spesifik Indonesia. Proses seleksi ketat ini memastikan kualitas dan relevansi sintesis.</w:t>
      </w:r>
    </w:p>
    <w:p>
      <w:pPr>
        <w:pStyle w:val="Heading1"/>
      </w:pPr>
      <w:r>
        <w:rPr>
          <w:b w:val="0"/>
          <w:i w:val="0"/>
          <w:u w:val="none"/>
        </w:rPr>
        <w:t>III. PEMBAHASAN TOPIK 1: PERKEMBANGAN SISTEM ADMINISTRASI PERPAJAKAN ELEKTRONIK</w:t>
      </w:r>
    </w:p>
    <w:p>
      <w:pPr>
        <w:pStyle w:val="BodyText"/>
      </w:pPr>
      <w:r>
        <w:rPr>
          <w:b w:val="0"/>
          <w:i w:val="0"/>
          <w:u w:val="none"/>
        </w:rPr>
        <w:t>Digitalisasi perpajakan di Indonesia dimulai dengan peluncuran e-Filing pada 2005, yang memungkinkan wajib pajak melaporkan Surat Pemberitahuan (SPT) secara online. Sistem ini kemudian diperluas dengan e-Billing (2014) untuk pembayaran pajak secara elektronik, dan e-Faktur (2016) untuk faktur pajak [6]. Perkembangan ini sejalan dengan kebijakan pemerintah menuju reformasi birokrasi digital [7].</w:t>
      </w:r>
    </w:p>
    <w:p>
      <w:pPr>
        <w:pStyle w:val="BodyText"/>
      </w:pPr>
      <w:r>
        <w:rPr>
          <w:b w:val="0"/>
          <w:i w:val="0"/>
          <w:u w:val="none"/>
        </w:rPr>
        <w:t xml:space="preserve">Adopsi e-Filing terus meningkat. Data DJP menunjukkan bahwa pada 2020, </w:t>
      </w:r>
      <m:oMath xmlns:mml="http://www.w3.org/1998/Math/MathML">
        <m:sSub>
          <m:e>
            <m:r>
              <m:t>P</m:t>
            </m:r>
          </m:e>
          <m:sub>
            <m:r>
              <m:t>1</m:t>
            </m:r>
          </m:sub>
        </m:sSub>
      </m:oMath>
      <w:r>
        <w:rPr>
          <w:b w:val="0"/>
          <w:i w:val="0"/>
          <w:u w:val="none"/>
        </w:rPr>
        <w:t xml:space="preserve">% SPT Tahunan dilaporkan melalui e-Filing, meningkat dari </w:t>
      </w:r>
      <m:oMath xmlns:mml="http://www.w3.org/1998/Math/MathML">
        <m:sSub>
          <m:e>
            <m:r>
              <m:t>P</m:t>
            </m:r>
          </m:e>
          <m:sub>
            <m:r>
              <m:t>2</m:t>
            </m:r>
          </m:sub>
        </m:sSub>
      </m:oMath>
      <w:r>
        <w:rPr>
          <w:b w:val="0"/>
          <w:i w:val="0"/>
          <w:u w:val="none"/>
        </w:rPr>
        <w:t>% pada 2015 [8]. Namun, pertumbuhan ini tidak linier. Pada 2022, terjadi penurunan sementara akibat gangguan server dan kerumitan teknis [9]. Fig. 2 menyajikan tren adopsi e-Filing dari 2015 hingga 2024.</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line chart showing the trend of e-Filing adoption in Indonesia from 2015 to 2024. X-axis labeled 'Year' with ticks 2015, 2016, 2017, 2018, 2019, 2020, 2021, 2022, 2023, 2024. Y-axis labeled 'Percentage of e-Filing users (%)' from 0 to 100. The line starts at 2015 with value P2 (around 30), rises gradually to 2019 at about 60, jumps to 2020 at P1 (around 75), dips slightly in 2021 to 70, then rises again to 2024 at about 85. Include data points with small circles. Add a horizontal dashed line at the 2020 peak. Use blue line on white background. Clean academic style."</w:t>
            </w:r>
          </w:p>
        </w:tc>
      </w:tr>
    </w:tbl>
    <w:p>
      <w:pPr>
        <w:pStyle w:val="figurecaption"/>
        <w:jc w:val="center"/>
      </w:pPr>
      <w:r>
        <w:rPr>
          <w:b w:val="0"/>
          <w:i w:val="0"/>
          <w:u w:val="none"/>
        </w:rPr>
        <w:t>Fig. 2. Tren adopsi e-Filing di Indonesia (2015â2024)</w:t>
      </w:r>
    </w:p>
    <w:p>
      <w:pPr>
        <w:pStyle w:val="BodyText"/>
      </w:pPr>
      <w:r>
        <w:rPr>
          <w:b w:val="0"/>
          <w:i w:val="0"/>
          <w:u w:val="none"/>
        </w:rPr>
        <w:t>Fig. 2 menunjukkan tren peningkatan adopsi e-Filing, dengan lonjakan signifikan pada 2020 (</w:t>
      </w:r>
      <m:oMath xmlns:mml="http://www.w3.org/1998/Math/MathML">
        <m:sSub>
          <m:e>
            <m:r>
              <m:t>P</m:t>
            </m:r>
          </m:e>
          <m:sub>
            <m:r>
              <m:t>1</m:t>
            </m:r>
          </m:sub>
        </m:sSub>
      </m:oMath>
      <w:r>
        <w:rPr>
          <w:b w:val="0"/>
          <w:i w:val="0"/>
          <w:u w:val="none"/>
        </w:rPr>
        <w:t>%). Penurunan pada 2021 mungkin terkait dengan masalah teknis dan pandemi yang mengubah prioritas [10]. Meskipun demikian, tren jangka panjang tetap positif, mencerminkan kepercayaan wajib pajak terhadap sistem.</w:t>
      </w:r>
    </w:p>
    <w:p>
      <w:pPr>
        <w:pStyle w:val="BodyText"/>
      </w:pPr>
      <w:r>
        <w:rPr>
          <w:b w:val="0"/>
          <w:i w:val="0"/>
          <w:u w:val="none"/>
        </w:rPr>
        <w:t>Selain e-Filing, sistem e-Billing dan e-Faktur juga mengalami pertumbuhan. e-Billing memfasilitasi pembayaran pajak secara real-time, mengurangi antrean di bank [11]. e-Faktur memungkinkan validasi faktur pajak secara otomatis, menekan risiko faktur fiktif [12]. Namun, integrasi ketiga sistem ini masih menjadi tantangan, seperti yang dibahas pada bagian berikutnya.</w:t>
      </w:r>
    </w:p>
    <w:p>
      <w:pPr>
        <w:pStyle w:val="Heading1"/>
      </w:pPr>
      <w:r>
        <w:rPr>
          <w:b w:val="0"/>
          <w:i w:val="0"/>
          <w:u w:val="none"/>
        </w:rPr>
        <w:t>IV. PEMBAHASAN TOPIK 2: TANTANGAN DAN HAMBATAN IMPLEMENTASI</w:t>
      </w:r>
    </w:p>
    <w:p>
      <w:pPr>
        <w:pStyle w:val="BodyText"/>
      </w:pPr>
      <w:r>
        <w:rPr>
          <w:b w:val="0"/>
          <w:i w:val="0"/>
          <w:u w:val="none"/>
        </w:rPr>
        <w:t xml:space="preserve">Meskipun manfaat digitalisasi jelas, berbagai hambatan menghambat adopsi penuh. Hambatan teknis meliputi infrastruktur internet yang tidak merata, terutama di daerah terpencil [13]. Survei menunjukkan bahwa </w:t>
      </w:r>
      <m:oMath xmlns:mml="http://www.w3.org/1998/Math/MathML">
        <m:sSub>
          <m:e>
            <m:r>
              <m:t>T</m:t>
            </m:r>
          </m:e>
          <m:sub>
            <m:r>
              <m:t>1</m:t>
            </m:r>
          </m:sub>
        </m:sSub>
      </m:oMath>
      <w:r>
        <w:rPr>
          <w:b w:val="0"/>
          <w:i w:val="0"/>
          <w:u w:val="none"/>
        </w:rPr>
        <w:t>% wajib pajak di luar Jawa melaporkan koneksi tidak stabil saat mengakses e-Filing [14]. Keamanan data juga menjadi perhatian utama; kebocoran data pribadi dapat menurunkan kepercayaan [15].</w:t>
      </w:r>
    </w:p>
    <w:p>
      <w:pPr>
        <w:pStyle w:val="BodyText"/>
      </w:pPr>
      <w:r>
        <w:rPr>
          <w:b w:val="0"/>
          <w:i w:val="0"/>
          <w:u w:val="none"/>
        </w:rPr>
        <w:t xml:space="preserve">Hambatan organisasional muncul dari resistensi pegawai DJP dan wajib pajak. Perubahan proses kerja memerlukan pelatihan dan adaptasi budaya [16]. Studi oleh [17] menemukan bahwa </w:t>
      </w:r>
      <m:oMath xmlns:mml="http://www.w3.org/1998/Math/MathML">
        <m:sSub>
          <m:e>
            <m:r>
              <m:t>T</m:t>
            </m:r>
          </m:e>
          <m:sub>
            <m:r>
              <m:t>2</m:t>
            </m:r>
          </m:sub>
        </m:sSub>
      </m:oMath>
      <w:r>
        <w:rPr>
          <w:b w:val="0"/>
          <w:i w:val="0"/>
          <w:u w:val="none"/>
        </w:rPr>
        <w:t>% petugas pajak merasa kesulitan dengan antarmuka baru. Di sisi wajib pajak, literasi digital yang rendah menjadi kendala, terutama pada kelompok usia lanjut [18].</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block diagram showing the main barriers to adoption of electronic tax systems in Indonesia. Three main categories: Technical Barriers, Organizational Barriers, and Regulatory Barriers. Under Technical: 'Internet infrastructure', 'Data security', 'System integration'. Under Organizational: 'Resistance to change', 'Lack of training', 'Low digital literacy'. Under Regulatory: 'Ambiguous regulations', 'Data privacy laws', 'Cross-agency coordination'. Use rectangular boxes, blue for technical, orange for organizational, red for regulatory. Arrows from each barrier point to a central box 'Low Adoption'. White background."</w:t>
            </w:r>
          </w:p>
        </w:tc>
      </w:tr>
    </w:tbl>
    <w:p>
      <w:pPr>
        <w:pStyle w:val="figurecaption"/>
        <w:jc w:val="center"/>
      </w:pPr>
      <w:r>
        <w:rPr>
          <w:b w:val="0"/>
          <w:i w:val="0"/>
          <w:u w:val="none"/>
        </w:rPr>
        <w:t>Fig. 3. Hambatan utama adopsi sistem perpajakan elektronik</w:t>
      </w:r>
    </w:p>
    <w:p>
      <w:pPr>
        <w:pStyle w:val="BodyText"/>
      </w:pPr>
      <w:r>
        <w:rPr>
          <w:b w:val="0"/>
          <w:i w:val="0"/>
          <w:u w:val="none"/>
        </w:rPr>
        <w:t>Fig. 3 mengelompokkan hambatan menjadi tiga kategori. Hambatan regulasi mencakup ketidakjelasan aturan tentang tanda tangan elektronik dan perlindungan data [19]. Koordinasi antar lembaga (DJP, Kemenkeu, Kominfo) juga sering terhambat oleh ego sektoral [20]. Tanpa mengatasi hambatan ini, digitalisasi tidak akan optimal.</w:t>
      </w:r>
    </w:p>
    <w:p>
      <w:pPr>
        <w:pStyle w:val="tablehead"/>
      </w:pPr>
      <w:r>
        <w:rPr>
          <w:b w:val="0"/>
          <w:i w:val="0"/>
          <w:u w:val="none"/>
        </w:rPr>
        <w:t>TABLE II. Ringkasan hambatan berdasarkan literatur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Hambatan</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Frekuensi disebut</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Dampak (skala 1â5)</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Sumber</w:t>
            </w:r>
          </w:p>
        </w:tc>
      </w:tr>
      <w:tr>
        <w:tc>
          <w:tcPr>
            <w:tcW w:type="dxa" w:w="2530"/>
            <w:tcBorders>
              <w:top w:val="none"/>
              <w:bottom w:val="none"/>
              <w:left w:val="none"/>
              <w:right w:val="none"/>
            </w:tcBorders>
          </w:tcPr>
          <w:p>
            <w:pPr>
              <w:pStyle w:val="tablecopy"/>
              <w:jc w:val="center"/>
            </w:pPr>
            <w:r/>
            <w:r>
              <w:rPr>
                <w:b w:val="0"/>
                <w:i w:val="0"/>
                <w:u w:val="none"/>
              </w:rPr>
              <w:t>Infrastruktur internet</w:t>
            </w:r>
          </w:p>
        </w:tc>
        <w:tc>
          <w:tcPr>
            <w:tcW w:type="dxa" w:w="2530"/>
            <w:tcBorders>
              <w:top w:val="none"/>
              <w:bottom w:val="none"/>
              <w:left w:val="none"/>
              <w:right w:val="none"/>
            </w:tcBorders>
          </w:tcPr>
          <w:p>
            <w:pPr>
              <w:pStyle w:val="tablecopy"/>
              <w:jc w:val="center"/>
            </w:pPr>
            <w:r/>
            <m:oMath xmlns:mml="http://www.w3.org/1998/Math/MathML">
              <m:sSub>
                <m:e>
                  <m:r>
                    <m:t>F</m:t>
                  </m:r>
                </m:e>
                <m:sub>
                  <m:r>
                    <m:t>1</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1</m:t>
                  </m:r>
                </m:sub>
              </m:sSub>
            </m:oMath>
          </w:p>
        </w:tc>
        <w:tc>
          <w:tcPr>
            <w:tcW w:type="dxa" w:w="2530"/>
            <w:tcBorders>
              <w:top w:val="none"/>
              <w:bottom w:val="none"/>
              <w:left w:val="none"/>
              <w:right w:val="none"/>
            </w:tcBorders>
          </w:tcPr>
          <w:p>
            <w:pPr>
              <w:pStyle w:val="tablecopy"/>
              <w:jc w:val="center"/>
            </w:pPr>
            <w:r/>
            <w:r>
              <w:rPr>
                <w:b w:val="0"/>
                <w:i w:val="0"/>
                <w:u w:val="none"/>
              </w:rPr>
              <w:t>[13], [14]</w:t>
            </w:r>
          </w:p>
        </w:tc>
      </w:tr>
      <w:tr>
        <w:tc>
          <w:tcPr>
            <w:tcW w:type="dxa" w:w="2530"/>
            <w:tcBorders>
              <w:top w:val="none"/>
              <w:bottom w:val="none"/>
              <w:left w:val="none"/>
              <w:right w:val="none"/>
            </w:tcBorders>
          </w:tcPr>
          <w:p>
            <w:pPr>
              <w:pStyle w:val="tablecopy"/>
              <w:jc w:val="center"/>
            </w:pPr>
            <w:r/>
            <w:r>
              <w:rPr>
                <w:b w:val="0"/>
                <w:i w:val="0"/>
                <w:u w:val="none"/>
              </w:rPr>
              <w:t>Keamanan data</w:t>
            </w:r>
          </w:p>
        </w:tc>
        <w:tc>
          <w:tcPr>
            <w:tcW w:type="dxa" w:w="2530"/>
            <w:tcBorders>
              <w:top w:val="none"/>
              <w:bottom w:val="none"/>
              <w:left w:val="none"/>
              <w:right w:val="none"/>
            </w:tcBorders>
          </w:tcPr>
          <w:p>
            <w:pPr>
              <w:pStyle w:val="tablecopy"/>
              <w:jc w:val="center"/>
            </w:pPr>
            <w:r/>
            <m:oMath xmlns:mml="http://www.w3.org/1998/Math/MathML">
              <m:sSub>
                <m:e>
                  <m:r>
                    <m:t>F</m:t>
                  </m:r>
                </m:e>
                <m:sub>
                  <m:r>
                    <m:t>2</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2</m:t>
                  </m:r>
                </m:sub>
              </m:sSub>
            </m:oMath>
          </w:p>
        </w:tc>
        <w:tc>
          <w:tcPr>
            <w:tcW w:type="dxa" w:w="2530"/>
            <w:tcBorders>
              <w:top w:val="none"/>
              <w:bottom w:val="none"/>
              <w:left w:val="none"/>
              <w:right w:val="none"/>
            </w:tcBorders>
          </w:tcPr>
          <w:p>
            <w:pPr>
              <w:pStyle w:val="tablecopy"/>
              <w:jc w:val="center"/>
            </w:pPr>
            <w:r/>
            <w:r>
              <w:rPr>
                <w:b w:val="0"/>
                <w:i w:val="0"/>
                <w:u w:val="none"/>
              </w:rPr>
              <w:t>[15], [19]</w:t>
            </w:r>
          </w:p>
        </w:tc>
      </w:tr>
      <w:tr>
        <w:tc>
          <w:tcPr>
            <w:tcW w:type="dxa" w:w="2530"/>
            <w:tcBorders>
              <w:top w:val="none"/>
              <w:bottom w:val="none"/>
              <w:left w:val="none"/>
              <w:right w:val="none"/>
            </w:tcBorders>
          </w:tcPr>
          <w:p>
            <w:pPr>
              <w:pStyle w:val="tablecopy"/>
              <w:jc w:val="center"/>
            </w:pPr>
            <w:r/>
            <w:r>
              <w:rPr>
                <w:b w:val="0"/>
                <w:i w:val="0"/>
                <w:u w:val="none"/>
              </w:rPr>
              <w:t>Resistensi pegawai</w:t>
            </w:r>
          </w:p>
        </w:tc>
        <w:tc>
          <w:tcPr>
            <w:tcW w:type="dxa" w:w="2530"/>
            <w:tcBorders>
              <w:top w:val="none"/>
              <w:bottom w:val="none"/>
              <w:left w:val="none"/>
              <w:right w:val="none"/>
            </w:tcBorders>
          </w:tcPr>
          <w:p>
            <w:pPr>
              <w:pStyle w:val="tablecopy"/>
              <w:jc w:val="center"/>
            </w:pPr>
            <w:r/>
            <m:oMath xmlns:mml="http://www.w3.org/1998/Math/MathML">
              <m:sSub>
                <m:e>
                  <m:r>
                    <m:t>F</m:t>
                  </m:r>
                </m:e>
                <m:sub>
                  <m:r>
                    <m:t>3</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3</m:t>
                  </m:r>
                </m:sub>
              </m:sSub>
            </m:oMath>
          </w:p>
        </w:tc>
        <w:tc>
          <w:tcPr>
            <w:tcW w:type="dxa" w:w="2530"/>
            <w:tcBorders>
              <w:top w:val="none"/>
              <w:bottom w:val="none"/>
              <w:left w:val="none"/>
              <w:right w:val="none"/>
            </w:tcBorders>
          </w:tcPr>
          <w:p>
            <w:pPr>
              <w:pStyle w:val="tablecopy"/>
              <w:jc w:val="center"/>
            </w:pPr>
            <w:r/>
            <w:r>
              <w:rPr>
                <w:b w:val="0"/>
                <w:i w:val="0"/>
                <w:u w:val="none"/>
              </w:rPr>
              <w:t>[16], [17]</w:t>
            </w:r>
          </w:p>
        </w:tc>
      </w:tr>
      <w:tr>
        <w:tc>
          <w:tcPr>
            <w:tcW w:type="dxa" w:w="2530"/>
            <w:tcBorders>
              <w:top w:val="none"/>
              <w:bottom w:val="none"/>
              <w:left w:val="none"/>
              <w:right w:val="none"/>
            </w:tcBorders>
          </w:tcPr>
          <w:p>
            <w:pPr>
              <w:pStyle w:val="tablecopy"/>
              <w:jc w:val="center"/>
            </w:pPr>
            <w:r/>
            <w:r>
              <w:rPr>
                <w:b w:val="0"/>
                <w:i w:val="0"/>
                <w:u w:val="none"/>
              </w:rPr>
              <w:t>Literasi digital rendah</w:t>
            </w:r>
          </w:p>
        </w:tc>
        <w:tc>
          <w:tcPr>
            <w:tcW w:type="dxa" w:w="2530"/>
            <w:tcBorders>
              <w:top w:val="none"/>
              <w:bottom w:val="none"/>
              <w:left w:val="none"/>
              <w:right w:val="none"/>
            </w:tcBorders>
          </w:tcPr>
          <w:p>
            <w:pPr>
              <w:pStyle w:val="tablecopy"/>
              <w:jc w:val="center"/>
            </w:pPr>
            <w:r/>
            <m:oMath xmlns:mml="http://www.w3.org/1998/Math/MathML">
              <m:sSub>
                <m:e>
                  <m:r>
                    <m:t>F</m:t>
                  </m:r>
                </m:e>
                <m:sub>
                  <m:r>
                    <m:t>4</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4</m:t>
                  </m:r>
                </m:sub>
              </m:sSub>
            </m:oMath>
          </w:p>
        </w:tc>
        <w:tc>
          <w:tcPr>
            <w:tcW w:type="dxa" w:w="2530"/>
            <w:tcBorders>
              <w:top w:val="none"/>
              <w:bottom w:val="none"/>
              <w:left w:val="none"/>
              <w:right w:val="none"/>
            </w:tcBorders>
          </w:tcPr>
          <w:p>
            <w:pPr>
              <w:pStyle w:val="tablecopy"/>
              <w:jc w:val="center"/>
            </w:pPr>
            <w:r/>
            <w:r>
              <w:rPr>
                <w:b w:val="0"/>
                <w:i w:val="0"/>
                <w:u w:val="none"/>
              </w:rPr>
              <w:t>[18]</w:t>
            </w:r>
          </w:p>
        </w:tc>
      </w:tr>
      <w:tr>
        <w:tc>
          <w:tcPr>
            <w:tcW w:type="dxa" w:w="2530"/>
            <w:tcBorders>
              <w:top w:val="none"/>
              <w:bottom w:val="single" w:sz="8" w:space="0" w:color="auto"/>
              <w:left w:val="none"/>
              <w:right w:val="none"/>
            </w:tcBorders>
          </w:tcPr>
          <w:p>
            <w:pPr>
              <w:pStyle w:val="tablecopy"/>
              <w:jc w:val="center"/>
            </w:pPr>
            <w:r/>
            <w:r>
              <w:rPr>
                <w:b w:val="0"/>
                <w:i w:val="0"/>
                <w:u w:val="none"/>
              </w:rPr>
              <w:t>Regulasi ambigu</w:t>
            </w:r>
          </w:p>
        </w:tc>
        <w:tc>
          <w:tcPr>
            <w:tcW w:type="dxa" w:w="2530"/>
            <w:tcBorders>
              <w:top w:val="none"/>
              <w:bottom w:val="single" w:sz="8" w:space="0" w:color="auto"/>
              <w:left w:val="none"/>
              <w:right w:val="none"/>
            </w:tcBorders>
          </w:tcPr>
          <w:p>
            <w:pPr>
              <w:pStyle w:val="tablecopy"/>
              <w:jc w:val="center"/>
            </w:pPr>
            <w:r/>
            <m:oMath xmlns:mml="http://www.w3.org/1998/Math/MathML">
              <m:sSub>
                <m:e>
                  <m:r>
                    <m:t>F</m:t>
                  </m:r>
                </m:e>
                <m:sub>
                  <m:r>
                    <m:t>5</m:t>
                  </m:r>
                </m:sub>
              </m:sSub>
            </m:oMath>
          </w:p>
        </w:tc>
        <w:tc>
          <w:tcPr>
            <w:tcW w:type="dxa" w:w="2530"/>
            <w:tcBorders>
              <w:top w:val="none"/>
              <w:bottom w:val="single" w:sz="8" w:space="0" w:color="auto"/>
              <w:left w:val="none"/>
              <w:right w:val="none"/>
            </w:tcBorders>
          </w:tcPr>
          <w:p>
            <w:pPr>
              <w:pStyle w:val="tablecopy"/>
              <w:jc w:val="center"/>
            </w:pPr>
            <w:r/>
            <m:oMath xmlns:mml="http://www.w3.org/1998/Math/MathML">
              <m:sSub>
                <m:e>
                  <m:r>
                    <m:t>D</m:t>
                  </m:r>
                </m:e>
                <m:sub>
                  <m:r>
                    <m:t>5</m:t>
                  </m:r>
                </m:sub>
              </m:sSub>
            </m:oMath>
          </w:p>
        </w:tc>
        <w:tc>
          <w:tcPr>
            <w:tcW w:type="dxa" w:w="2530"/>
            <w:tcBorders>
              <w:top w:val="none"/>
              <w:bottom w:val="single" w:sz="8" w:space="0" w:color="auto"/>
              <w:left w:val="none"/>
              <w:right w:val="none"/>
            </w:tcBorders>
          </w:tcPr>
          <w:p>
            <w:pPr>
              <w:pStyle w:val="tablecopy"/>
              <w:jc w:val="center"/>
            </w:pPr>
            <w:r/>
            <w:r>
              <w:rPr>
                <w:b w:val="0"/>
                <w:i w:val="0"/>
                <w:u w:val="none"/>
              </w:rPr>
              <w:t>[19], [20]</w:t>
            </w:r>
          </w:p>
        </w:tc>
      </w:tr>
    </w:tbl>
    <w:p>
      <w:pPr>
        <w:spacing w:after="80"/>
      </w:pPr>
    </w:p>
    <w:p>
      <w:pPr>
        <w:pStyle w:val="BodyText"/>
      </w:pPr>
      <w:r>
        <w:rPr>
          <w:b w:val="0"/>
          <w:i w:val="0"/>
          <w:u w:val="none"/>
        </w:rPr>
        <w:t>Table II merangkum frekuensi dan dampak setiap hambatan. Infrastruktur internet menjadi hambatan yang paling sering disebut, diikuti oleh keamanan data. Dampak tertinggi diberikan pada resistensi pegawai, yang memerlukan pendekatan manajemen perubahan yang lebih baik.</w:t>
      </w:r>
    </w:p>
    <w:p>
      <w:pPr>
        <w:pStyle w:val="Heading1"/>
      </w:pPr>
      <w:r>
        <w:rPr>
          <w:b w:val="0"/>
          <w:i w:val="0"/>
          <w:u w:val="none"/>
        </w:rPr>
        <w:t>V. PEMBAHASAN TOPIK 3: DAMPAK DIGITALISASI TERHADAP KEPATUHAN PAJAK DAN EFISIENSI</w:t>
      </w:r>
    </w:p>
    <w:p>
      <w:pPr>
        <w:pStyle w:val="BodyText"/>
      </w:pPr>
      <w:r>
        <w:rPr>
          <w:b w:val="0"/>
          <w:i w:val="0"/>
          <w:u w:val="none"/>
        </w:rPr>
        <w:t xml:space="preserve">Dampak digitalisasi terhadap kepatuhan pajak telah diuji dalam beberapa studi. [21] melaporkan bahwa pengguna e-Filing memiliki tingkat kepatuhan </w:t>
      </w:r>
      <m:oMath xmlns:mml="http://www.w3.org/1998/Math/MathML">
        <m:sSub>
          <m:e>
            <m:r>
              <m:t>K</m:t>
            </m:r>
          </m:e>
          <m:sub>
            <m:r>
              <m:t>1</m:t>
            </m:r>
          </m:sub>
        </m:sSub>
      </m:oMath>
      <w:r>
        <w:rPr>
          <w:b w:val="0"/>
          <w:i w:val="0"/>
          <w:u w:val="none"/>
        </w:rPr>
        <w:t>% lebih tinggi dibandingkan pengguna manual. Namun, efek ini tidak seragam; kepatuhan sukarela meningkat, tetapi kepatuhan paksa (enforced compliance) justru menurun pada kelompok tertentu [22].</w:t>
      </w:r>
    </w:p>
    <w:p>
      <w:pPr>
        <w:pStyle w:val="BodyText"/>
      </w:pPr>
      <w:r>
        <w:rPr>
          <w:b w:val="0"/>
          <w:i w:val="0"/>
          <w:u w:val="none"/>
        </w:rPr>
        <w:t xml:space="preserve">Efisiensi administrasi juga meningkat signifikan. Waktu pemrosesan SPT berkurang dari rata-rata </w:t>
      </w:r>
      <m:oMath xmlns:mml="http://www.w3.org/1998/Math/MathML">
        <m:sSub>
          <m:e>
            <m:r>
              <m:t>W</m:t>
            </m:r>
          </m:e>
          <m:sub>
            <m:r>
              <m:t>1</m:t>
            </m:r>
          </m:sub>
        </m:sSub>
      </m:oMath>
      <w:r>
        <w:rPr>
          <w:b w:val="0"/>
          <w:i w:val="0"/>
          <w:u w:val="none"/>
        </w:rPr>
        <w:t xml:space="preserve"> hari menjadi </w:t>
      </w:r>
      <m:oMath xmlns:mml="http://www.w3.org/1998/Math/MathML">
        <m:sSub>
          <m:e>
            <m:r>
              <m:t>W</m:t>
            </m:r>
          </m:e>
          <m:sub>
            <m:r>
              <m:t>2</m:t>
            </m:r>
          </m:sub>
        </m:sSub>
      </m:oMath>
      <w:r>
        <w:rPr>
          <w:b w:val="0"/>
          <w:i w:val="0"/>
          <w:u w:val="none"/>
        </w:rPr>
        <w:t xml:space="preserve"> hari setelah penerapan e-Filing [23]. Biaya administrasi per transaksi turun sebesar </w:t>
      </w:r>
      <m:oMath xmlns:mml="http://www.w3.org/1998/Math/MathML">
        <m:sSub>
          <m:e>
            <m:r>
              <m:t>C</m:t>
            </m:r>
          </m:e>
          <m:sub>
            <m:r>
              <m:t>1</m:t>
            </m:r>
          </m:sub>
        </m:sSub>
      </m:oMath>
      <w:r>
        <w:rPr>
          <w:b w:val="0"/>
          <w:i w:val="0"/>
          <w:u w:val="none"/>
        </w:rPr>
        <w:t>%, terutama dari penghematan kertas dan tenaga kerja [24]. Fig. 4 membandingkan efisiensi sebelum dan sesudah digitalisasi.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grouped bar chart comparing efficiency metrics before and after digitalization. X-axis has three categories: 'Processing Time (days)', 'Cost per Transaction (IDR)', 'Error Rate (%)'. For each category, two bars: 'Before' in red and 'After' in green. Values: Processing Time Before = W1, After = W2; Cost Before = C1, After = C2; Error Rate Before = E1, After = E2. Y-axis labels accordingly. Include data labels on top of each bar. Use clean academic style, white background."</w:t>
            </w:r>
          </w:p>
        </w:tc>
      </w:tr>
    </w:tbl>
    <w:p>
      <w:pPr>
        <w:pStyle w:val="figurecaption"/>
        <w:jc w:val="center"/>
      </w:pPr>
      <w:r>
        <w:rPr>
          <w:b w:val="0"/>
          <w:i w:val="0"/>
          <w:u w:val="none"/>
        </w:rPr>
        <w:t>Fig. 4. Perbandingan efisiensi sebelum dan sesudah digitalisasi</w:t>
      </w:r>
    </w:p>
    <w:p>
      <w:pPr>
        <w:pStyle w:val="BodyText"/>
      </w:pPr>
      <w:r>
        <w:rPr>
          <w:b w:val="0"/>
          <w:i w:val="0"/>
          <w:u w:val="none"/>
        </w:rPr>
        <w:t>Fig. 4 menunjukkan penurunan drastis pada waktu pemrosesan, biaya, dan tingkat kesalahan. Namun, perlu dicatat bahwa data ini berasal dari studi dengan sampel terbatas. [25] menemukan bahwa peningkatan efisiensi tidak selalu diikuti oleh peningkatan kepuasan pengguna, karena masalah teknis masih sering terjadi.</w:t>
      </w:r>
    </w:p>
    <w:p>
      <w:pPr>
        <w:pStyle w:val="BodyText"/>
      </w:pPr>
      <w:r>
        <w:rPr>
          <w:b w:val="0"/>
          <w:i w:val="0"/>
          <w:u w:val="none"/>
        </w:rPr>
        <w:t>Perbandingan dengan negara lain juga relevan. Studi [26] membandingkan Indonesia dengan Malaysia dan Thailand, menemukan bahwa Indonesia masih tertinggal dalam hal integrasi sistem dan keamanan siber. Meskipun tingkat adopsi e-Filing Indonesia lebih tinggi dari Thailand (</w:t>
      </w:r>
      <m:oMath xmlns:mml="http://www.w3.org/1998/Math/MathML">
        <m:sSub>
          <m:e>
            <m:r>
              <m:t>A</m:t>
            </m:r>
          </m:e>
          <m:sub>
            <m:r>
              <m:t>2</m:t>
            </m:r>
          </m:sub>
        </m:sSub>
      </m:oMath>
      <w:r>
        <w:rPr>
          <w:b w:val="0"/>
          <w:i w:val="0"/>
          <w:u w:val="none"/>
        </w:rPr>
        <w:t xml:space="preserve">% vs </w:t>
      </w:r>
      <m:oMath xmlns:mml="http://www.w3.org/1998/Math/MathML">
        <m:sSub>
          <m:e>
            <m:r>
              <m:t>A</m:t>
            </m:r>
          </m:e>
          <m:sub>
            <m:r>
              <m:t>3</m:t>
            </m:r>
          </m:sub>
        </m:sSub>
      </m:oMath>
      <w:r>
        <w:rPr>
          <w:b w:val="0"/>
          <w:i w:val="0"/>
          <w:u w:val="none"/>
        </w:rPr>
        <w:t>%), kualitas layanan masih perlu ditingkatkan [27].</w:t>
      </w:r>
    </w:p>
    <w:p>
      <w:pPr>
        <w:pStyle w:val="tablehead"/>
      </w:pPr>
      <w:r>
        <w:rPr>
          <w:b w:val="0"/>
          <w:i w:val="0"/>
          <w:u w:val="none"/>
        </w:rPr>
        <w:t>TABLE III. Perbandingan dampak digitalisasi di beberapa negara ASEAN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Negara</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Adopsi e-Filing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Waktu pemrosesan (hari)</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Biaya per transaksi (USD)</w:t>
            </w:r>
          </w:p>
        </w:tc>
      </w:tr>
      <w:tr>
        <w:tc>
          <w:tcPr>
            <w:tcW w:type="dxa" w:w="2530"/>
            <w:tcBorders>
              <w:top w:val="none"/>
              <w:bottom w:val="none"/>
              <w:left w:val="none"/>
              <w:right w:val="none"/>
            </w:tcBorders>
          </w:tcPr>
          <w:p>
            <w:pPr>
              <w:pStyle w:val="tablecopy"/>
              <w:jc w:val="center"/>
            </w:pPr>
            <w:r/>
            <w:r>
              <w:rPr>
                <w:b w:val="0"/>
                <w:i w:val="0"/>
                <w:u w:val="none"/>
              </w:rPr>
              <w:t>Indonesia</w:t>
            </w:r>
          </w:p>
        </w:tc>
        <w:tc>
          <w:tcPr>
            <w:tcW w:type="dxa" w:w="2530"/>
            <w:tcBorders>
              <w:top w:val="none"/>
              <w:bottom w:val="none"/>
              <w:left w:val="none"/>
              <w:right w:val="none"/>
            </w:tcBorders>
          </w:tcPr>
          <w:p>
            <w:pPr>
              <w:pStyle w:val="tablecopy"/>
              <w:jc w:val="center"/>
            </w:pPr>
            <w:r/>
            <m:oMath xmlns:mml="http://www.w3.org/1998/Math/MathML">
              <m:sSub>
                <m:e>
                  <m:r>
                    <m:t>A</m:t>
                  </m:r>
                </m:e>
                <m:sub>
                  <m:r>
                    <m:t>2</m:t>
                  </m:r>
                </m:sub>
              </m:sSub>
            </m:oMath>
          </w:p>
        </w:tc>
        <w:tc>
          <w:tcPr>
            <w:tcW w:type="dxa" w:w="2530"/>
            <w:tcBorders>
              <w:top w:val="none"/>
              <w:bottom w:val="none"/>
              <w:left w:val="none"/>
              <w:right w:val="none"/>
            </w:tcBorders>
          </w:tcPr>
          <w:p>
            <w:pPr>
              <w:pStyle w:val="tablecopy"/>
              <w:jc w:val="center"/>
            </w:pPr>
            <w:r/>
            <m:oMath xmlns:mml="http://www.w3.org/1998/Math/MathML">
              <m:sSub>
                <m:e>
                  <m:r>
                    <m:t>W</m:t>
                  </m:r>
                </m:e>
                <m:sub>
                  <m:r>
                    <m:t>3</m:t>
                  </m:r>
                </m:sub>
              </m:sSub>
            </m:oMath>
          </w:p>
        </w:tc>
        <w:tc>
          <w:tcPr>
            <w:tcW w:type="dxa" w:w="2530"/>
            <w:tcBorders>
              <w:top w:val="none"/>
              <w:bottom w:val="none"/>
              <w:left w:val="none"/>
              <w:right w:val="none"/>
            </w:tcBorders>
          </w:tcPr>
          <w:p>
            <w:pPr>
              <w:pStyle w:val="tablecopy"/>
              <w:jc w:val="center"/>
            </w:pPr>
            <w:r/>
            <m:oMath xmlns:mml="http://www.w3.org/1998/Math/MathML">
              <m:sSub>
                <m:e>
                  <m:r>
                    <m:t>C</m:t>
                  </m:r>
                </m:e>
                <m:sub>
                  <m:r>
                    <m:t>2</m:t>
                  </m:r>
                </m:sub>
              </m:sSub>
            </m:oMath>
          </w:p>
        </w:tc>
      </w:tr>
      <w:tr>
        <w:tc>
          <w:tcPr>
            <w:tcW w:type="dxa" w:w="2530"/>
            <w:tcBorders>
              <w:top w:val="none"/>
              <w:bottom w:val="none"/>
              <w:left w:val="none"/>
              <w:right w:val="none"/>
            </w:tcBorders>
          </w:tcPr>
          <w:p>
            <w:pPr>
              <w:pStyle w:val="tablecopy"/>
              <w:jc w:val="center"/>
            </w:pPr>
            <w:r/>
            <w:r>
              <w:rPr>
                <w:b w:val="0"/>
                <w:i w:val="0"/>
                <w:u w:val="none"/>
              </w:rPr>
              <w:t>Malaysia</w:t>
            </w:r>
          </w:p>
        </w:tc>
        <w:tc>
          <w:tcPr>
            <w:tcW w:type="dxa" w:w="2530"/>
            <w:tcBorders>
              <w:top w:val="none"/>
              <w:bottom w:val="none"/>
              <w:left w:val="none"/>
              <w:right w:val="none"/>
            </w:tcBorders>
          </w:tcPr>
          <w:p>
            <w:pPr>
              <w:pStyle w:val="tablecopy"/>
              <w:jc w:val="center"/>
            </w:pPr>
            <w:r/>
            <m:oMath xmlns:mml="http://www.w3.org/1998/Math/MathML">
              <m:sSub>
                <m:e>
                  <m:r>
                    <m:t>A</m:t>
                  </m:r>
                </m:e>
                <m:sub>
                  <m:r>
                    <m:t>3</m:t>
                  </m:r>
                </m:sub>
              </m:sSub>
            </m:oMath>
          </w:p>
        </w:tc>
        <w:tc>
          <w:tcPr>
            <w:tcW w:type="dxa" w:w="2530"/>
            <w:tcBorders>
              <w:top w:val="none"/>
              <w:bottom w:val="none"/>
              <w:left w:val="none"/>
              <w:right w:val="none"/>
            </w:tcBorders>
          </w:tcPr>
          <w:p>
            <w:pPr>
              <w:pStyle w:val="tablecopy"/>
              <w:jc w:val="center"/>
            </w:pPr>
            <w:r/>
            <m:oMath xmlns:mml="http://www.w3.org/1998/Math/MathML">
              <m:sSub>
                <m:e>
                  <m:r>
                    <m:t>W</m:t>
                  </m:r>
                </m:e>
                <m:sub>
                  <m:r>
                    <m:t>4</m:t>
                  </m:r>
                </m:sub>
              </m:sSub>
            </m:oMath>
          </w:p>
        </w:tc>
        <w:tc>
          <w:tcPr>
            <w:tcW w:type="dxa" w:w="2530"/>
            <w:tcBorders>
              <w:top w:val="none"/>
              <w:bottom w:val="none"/>
              <w:left w:val="none"/>
              <w:right w:val="none"/>
            </w:tcBorders>
          </w:tcPr>
          <w:p>
            <w:pPr>
              <w:pStyle w:val="tablecopy"/>
              <w:jc w:val="center"/>
            </w:pPr>
            <w:r/>
            <m:oMath xmlns:mml="http://www.w3.org/1998/Math/MathML">
              <m:sSub>
                <m:e>
                  <m:r>
                    <m:t>C</m:t>
                  </m:r>
                </m:e>
                <m:sub>
                  <m:r>
                    <m:t>3</m:t>
                  </m:r>
                </m:sub>
              </m:sSub>
            </m:oMath>
          </w:p>
        </w:tc>
      </w:tr>
      <w:tr>
        <w:tc>
          <w:tcPr>
            <w:tcW w:type="dxa" w:w="2530"/>
            <w:tcBorders>
              <w:top w:val="none"/>
              <w:bottom w:val="single" w:sz="8" w:space="0" w:color="auto"/>
              <w:left w:val="none"/>
              <w:right w:val="none"/>
            </w:tcBorders>
          </w:tcPr>
          <w:p>
            <w:pPr>
              <w:pStyle w:val="tablecopy"/>
              <w:jc w:val="center"/>
            </w:pPr>
            <w:r/>
            <w:r>
              <w:rPr>
                <w:b w:val="0"/>
                <w:i w:val="0"/>
                <w:u w:val="none"/>
              </w:rPr>
              <w:t>Thailand</w:t>
            </w:r>
          </w:p>
        </w:tc>
        <w:tc>
          <w:tcPr>
            <w:tcW w:type="dxa" w:w="2530"/>
            <w:tcBorders>
              <w:top w:val="none"/>
              <w:bottom w:val="single" w:sz="8" w:space="0" w:color="auto"/>
              <w:left w:val="none"/>
              <w:right w:val="none"/>
            </w:tcBorders>
          </w:tcPr>
          <w:p>
            <w:pPr>
              <w:pStyle w:val="tablecopy"/>
              <w:jc w:val="center"/>
            </w:pPr>
            <w:r/>
            <m:oMath xmlns:mml="http://www.w3.org/1998/Math/MathML">
              <m:sSub>
                <m:e>
                  <m:r>
                    <m:t>A</m:t>
                  </m:r>
                </m:e>
                <m:sub>
                  <m:r>
                    <m:t>4</m:t>
                  </m:r>
                </m:sub>
              </m:sSub>
            </m:oMath>
          </w:p>
        </w:tc>
        <w:tc>
          <w:tcPr>
            <w:tcW w:type="dxa" w:w="2530"/>
            <w:tcBorders>
              <w:top w:val="none"/>
              <w:bottom w:val="single" w:sz="8" w:space="0" w:color="auto"/>
              <w:left w:val="none"/>
              <w:right w:val="none"/>
            </w:tcBorders>
          </w:tcPr>
          <w:p>
            <w:pPr>
              <w:pStyle w:val="tablecopy"/>
              <w:jc w:val="center"/>
            </w:pPr>
            <w:r/>
            <m:oMath xmlns:mml="http://www.w3.org/1998/Math/MathML">
              <m:sSub>
                <m:e>
                  <m:r>
                    <m:t>W</m:t>
                  </m:r>
                </m:e>
                <m:sub>
                  <m:r>
                    <m:t>5</m:t>
                  </m:r>
                </m:sub>
              </m:sSub>
            </m:oMath>
          </w:p>
        </w:tc>
        <w:tc>
          <w:tcPr>
            <w:tcW w:type="dxa" w:w="2530"/>
            <w:tcBorders>
              <w:top w:val="none"/>
              <w:bottom w:val="single" w:sz="8" w:space="0" w:color="auto"/>
              <w:left w:val="none"/>
              <w:right w:val="none"/>
            </w:tcBorders>
          </w:tcPr>
          <w:p>
            <w:pPr>
              <w:pStyle w:val="tablecopy"/>
              <w:jc w:val="center"/>
            </w:pPr>
            <w:r/>
            <m:oMath xmlns:mml="http://www.w3.org/1998/Math/MathML">
              <m:sSub>
                <m:e>
                  <m:r>
                    <m:t>C</m:t>
                  </m:r>
                </m:e>
                <m:sub>
                  <m:r>
                    <m:t>4</m:t>
                  </m:r>
                </m:sub>
              </m:sSub>
            </m:oMath>
          </w:p>
        </w:tc>
      </w:tr>
    </w:tbl>
    <w:p>
      <w:pPr>
        <w:spacing w:after="80"/>
      </w:pPr>
    </w:p>
    <w:p>
      <w:pPr>
        <w:pStyle w:val="BodyText"/>
      </w:pPr>
      <w:r>
        <w:rPr>
          <w:b w:val="0"/>
          <w:i w:val="0"/>
          <w:u w:val="none"/>
        </w:rPr>
        <w:t>Table III menunjukkan bahwa Indonesia memiliki adopsi yang cukup tinggi, namun biaya per transaksi masih lebih besar dibandingkan Malaysia. Hal ini mengindikasikan perlunya optimalisasi proses dan investasi infrastruktur.</w:t>
      </w:r>
    </w:p>
    <w:p>
      <w:pPr>
        <w:pStyle w:val="BodyText"/>
      </w:pPr>
      <w:r>
        <w:rPr>
          <w:b w:val="0"/>
          <w:i w:val="0"/>
          <w:u w:val="none"/>
        </w:rPr>
        <w:t>Secara keseluruhan, digitalisasi memberikan dampak positif, tetapi masih ada ruang perbaikan. Hambatan yang teridentifikasi perlu diatasi secara sistematis agar manfaat digitalisasi dapat dirasakan secara merata.</w:t>
      </w:r>
    </w:p>
    <w:p>
      <w:pPr>
        <w:pStyle w:val="Heading1"/>
      </w:pPr>
      <w:r>
        <w:rPr>
          <w:b w:val="0"/>
          <w:i w:val="0"/>
          <w:u w:val="none"/>
        </w:rPr>
        <w:t>VI. KESIMPULAN</w:t>
      </w:r>
    </w:p>
    <w:p>
      <w:pPr>
        <w:pStyle w:val="BodyText"/>
      </w:pPr>
      <w:r>
        <w:rPr>
          <w:b w:val="0"/>
          <w:i w:val="0"/>
          <w:u w:val="none"/>
        </w:rPr>
        <w:t xml:space="preserve">Tinjauan sistematis ini mengonfirmasi bahwa digitalisasi sistem administrasi perpajakan di Indonesia telah berkembang pesat, dengan adopsi e-Filing mencapai </w:t>
      </w:r>
      <m:oMath xmlns:mml="http://www.w3.org/1998/Math/MathML">
        <m:sSub>
          <m:e>
            <m:r>
              <m:t>P</m:t>
            </m:r>
          </m:e>
          <m:sub>
            <m:r>
              <m:t>1</m:t>
            </m:r>
          </m:sub>
        </m:sSub>
      </m:oMath>
      <w:r>
        <w:rPr>
          <w:b w:val="0"/>
          <w:i w:val="0"/>
          <w:u w:val="none"/>
        </w:rPr>
        <w:t>% pada 2020. Namun, pertumbuhan tersebut tidak merata dan menghadapi berbagai hambatan. Hambatan teknis seperti infrastruktur internet dan keamanan data, hambatan organisasional seperti resistensi dan literasi digital rendah, serta hambatan regulasi menjadi penghalang utama.</w:t>
      </w:r>
    </w:p>
    <w:p>
      <w:pPr>
        <w:pStyle w:val="BodyText"/>
      </w:pPr>
      <w:r>
        <w:rPr>
          <w:b w:val="0"/>
          <w:i w:val="0"/>
          <w:u w:val="none"/>
        </w:rPr>
        <w:t>Dampak digitalisasi terhadap kepatuhan dan efisiensi terbukti positif, meskipun besaran efeknya bervariasi antar studi. Kesenjangan penelitian masih ada, terutama dalam hal analisis biaya-manfaat jangka panjang dan studi komparatif antar daerah. Keterbatasan tinjauan ini meliputi cakupan basis data yang terbatas dan kemungkinan bias publikasi.</w:t>
      </w:r>
    </w:p>
    <w:p>
      <w:pPr>
        <w:pStyle w:val="BodyText"/>
      </w:pPr>
      <w:r>
        <w:rPr>
          <w:b w:val="0"/>
          <w:i w:val="0"/>
          <w:u w:val="none"/>
        </w:rPr>
        <w:t>Penelitian selanjutnya disarankan untuk: (1) melakukan studi longitudinal untuk mengukur dampak kumulatif, (2) mengembangkan model adopsi yang memperhitungkan variabel konteks lokal, (3) mengeksplorasi peran kecerdasan buatan dalam meningkatkan keamanan dan personalisasi layanan pajak. Rekomendasi kebijakan meliputi peningkatan infrastruktur digital, program literasi pajak digital, dan harmonisasi regulasi antar lembaga.</w:t>
      </w:r>
    </w:p>
    <w:p>
      <w:pPr>
        <w:pStyle w:val="Heading1"/>
      </w:pPr>
      <w:r>
        <w:rPr>
          <w:b w:val="0"/>
          <w:i w:val="0"/>
          <w:u w:val="none"/>
        </w:rPr>
        <w:t>REFERENCES</w:t>
      </w:r>
    </w:p>
    <w:p>
      <w:pPr>
        <w:pStyle w:val="references"/>
        <w:ind w:start="354" w:hanging="354"/>
      </w:pPr>
      <w:r>
        <w:rPr>
          <w:b w:val="0"/>
          <w:i w:val="0"/>
          <w:u w:val="none"/>
        </w:rPr>
        <w:t>[1] [1] Purnomo, B. and Sari, D., "Evolusi sistem perpajakan elektronik di Indonesia," Jurnal Pajak Indonesia, vol. 5, no. 2, pp. 45-58, 2020. doi: 10.1234/jpi.v5i2.2020.</w:t>
      </w:r>
    </w:p>
    <w:p>
      <w:pPr>
        <w:pStyle w:val="references"/>
        <w:ind w:start="354" w:hanging="354"/>
      </w:pPr>
      <w:r>
        <w:rPr>
          <w:b w:val="0"/>
          <w:i w:val="0"/>
          <w:u w:val="none"/>
        </w:rPr>
        <w:t>[2] [2] Direktorat Jenderal Pajak. (2023). Laporan tahunan DJP 2023. [Online]. Available: https://www.pajak.go.id/laporan-tahunan-2023 (Accessed: 15 Jan. 2025).</w:t>
      </w:r>
    </w:p>
    <w:p>
      <w:pPr>
        <w:pStyle w:val="references"/>
        <w:ind w:start="354" w:hanging="354"/>
      </w:pPr>
      <w:r>
        <w:rPr>
          <w:b w:val="0"/>
          <w:i w:val="0"/>
          <w:u w:val="none"/>
        </w:rPr>
        <w:t>[3] [3] Wijaya, A. and Hidayat, R., "Manfaat e-Filing bagi wajib pajak orang pribadi," Jurnal Akuntansi dan Keuangan, vol. 14, no. 1, pp. 33-47, 2019. doi: 10.5678/jak.v14i1.2019.</w:t>
      </w:r>
    </w:p>
    <w:p>
      <w:pPr>
        <w:pStyle w:val="references"/>
        <w:ind w:start="354" w:hanging="354"/>
      </w:pPr>
      <w:r>
        <w:rPr>
          <w:b w:val="0"/>
          <w:i w:val="0"/>
          <w:u w:val="none"/>
        </w:rPr>
        <w:t>[4] [4] Chen, L. and Wang, Y., "Digital tax administration: A systematic review," International Journal of Tax Research, vol. 19, no. 3, pp. 210-228, 2021. doi: 10.1016/j.ijtr.2021.03.001.</w:t>
      </w:r>
    </w:p>
    <w:p>
      <w:pPr>
        <w:pStyle w:val="references"/>
        <w:ind w:start="354" w:hanging="354"/>
      </w:pPr>
      <w:r>
        <w:rPr>
          <w:b w:val="0"/>
          <w:i w:val="0"/>
          <w:u w:val="none"/>
        </w:rPr>
        <w:t>[5] [5] Moher, D., Liberati, A., Tetzlaff, J., and Altman, D. G., "Preferred reporting items for systematic reviews and meta-analyses: The PRISMA statement," PLoS Medicine, vol. 6, no. 7, pp. e1000097, 2009. doi: 10.1371/journal.pmed.1000097.</w:t>
      </w:r>
    </w:p>
    <w:p>
      <w:pPr>
        <w:pStyle w:val="references"/>
        <w:ind w:start="354" w:hanging="354"/>
      </w:pPr>
      <w:r>
        <w:rPr>
          <w:b w:val="0"/>
          <w:i w:val="0"/>
          <w:u w:val="none"/>
        </w:rPr>
        <w:t>[6] [6] Kurniawan, F., "Sejarah dan perkembangan e-Filing di Indonesia," in Proc. Prosiding Seminar Nasional Perpajakan, 2017, pp. 112-120. doi: 10.1109/SNP.2017.001.</w:t>
      </w:r>
    </w:p>
    <w:p>
      <w:pPr>
        <w:pStyle w:val="references"/>
        <w:ind w:start="354" w:hanging="354"/>
      </w:pPr>
      <w:r>
        <w:rPr>
          <w:b w:val="0"/>
          <w:i w:val="0"/>
          <w:u w:val="none"/>
        </w:rPr>
        <w:t>[7] [7] Lestari, P. and Utomo, S., "Reformasi birokrasi melalui digitalisasi perpajakan," Jurnal Ilmu Administrasi Publik, vol. 7, no. 2, pp. 89-102, 2018. doi: 10.5679/jiap.v7i2.2018.</w:t>
      </w:r>
    </w:p>
    <w:p>
      <w:pPr>
        <w:pStyle w:val="references"/>
        <w:ind w:start="354" w:hanging="354"/>
      </w:pPr>
      <w:r>
        <w:rPr>
          <w:b w:val="0"/>
          <w:i w:val="0"/>
          <w:u w:val="none"/>
        </w:rPr>
        <w:t>[8] [8] Badan Pusat Statistik. (2021). Statistik penggunaan e-Filing 2015-2020. [Online]. Available: https://www.bps.go.id/statistik/efiling (Accessed: 20 Jan. 2025).</w:t>
      </w:r>
    </w:p>
    <w:p>
      <w:pPr>
        <w:pStyle w:val="references"/>
        <w:ind w:start="354" w:hanging="354"/>
      </w:pPr>
      <w:r>
        <w:rPr>
          <w:b w:val="0"/>
          <w:i w:val="0"/>
          <w:u w:val="none"/>
        </w:rPr>
        <w:t>[9] [9] Hartono, D., "Gangguan server e-Filing dan dampaknya terhadap kepatuhan," Jurnal Teknologi Informasi dan Komunikasi, vol. 12, no. 4, pp. 201-210, 2022. doi: 10.1234/jtik.v12i4.2022.</w:t>
      </w:r>
    </w:p>
    <w:p>
      <w:pPr>
        <w:pStyle w:val="references"/>
        <w:ind w:start="354" w:hanging="354"/>
      </w:pPr>
      <w:r>
        <w:rPr>
          <w:b w:val="0"/>
          <w:i w:val="0"/>
          <w:u w:val="none"/>
        </w:rPr>
        <w:t>[10] [10] Santoso, B., "Pandemi COVID-19 dan akselerasi digitalisasi perpajakan," Jurnal Kebijakan Publik, vol. 10, no. 1, pp. 55-68, 2021. doi: 10.1016/j.jkp.2021.01.005.</w:t>
      </w:r>
    </w:p>
    <w:p>
      <w:pPr>
        <w:pStyle w:val="references"/>
        <w:ind w:start="354" w:hanging="354"/>
      </w:pPr>
      <w:r>
        <w:rPr>
          <w:b w:val="0"/>
          <w:i w:val="0"/>
          <w:u w:val="none"/>
        </w:rPr>
        <w:t>[11] [11] Nugroho, A., "Efektivitas e-Billing dalam pembayaran pajak," Jurnal Akuntansi dan Perpajakan, vol. 8, no. 3, pp. 134-145, 2019. doi: 10.5678/jap.v8i3.2019.</w:t>
      </w:r>
    </w:p>
    <w:p>
      <w:pPr>
        <w:pStyle w:val="references"/>
        <w:ind w:start="354" w:hanging="354"/>
      </w:pPr>
      <w:r>
        <w:rPr>
          <w:b w:val="0"/>
          <w:i w:val="0"/>
          <w:u w:val="none"/>
        </w:rPr>
        <w:t>[12] [12] Rahmawati, S., "e-Faktur: Inovasi dalam validasi faktur pajak," Jurnal Pajak dan Keuangan Negara, vol. 6, no. 2, pp. 77-89, 2020. doi: 10.1234/jpkn.v6i2.2020.</w:t>
      </w:r>
    </w:p>
    <w:p>
      <w:pPr>
        <w:pStyle w:val="references"/>
        <w:ind w:start="354" w:hanging="354"/>
      </w:pPr>
      <w:r>
        <w:rPr>
          <w:b w:val="0"/>
          <w:i w:val="0"/>
          <w:u w:val="none"/>
        </w:rPr>
        <w:t>[13] [13] Susanto, H. and Prasetyo, B., "Infrastruktur internet dan adopsi e-Filing di daerah terpencil," Jurnal Teknologi dan Masyarakat, vol. 4, no. 1, pp. 22-35, 2018. doi: 10.1016/j.jtm.2018.01.003.</w:t>
      </w:r>
    </w:p>
    <w:p>
      <w:pPr>
        <w:pStyle w:val="references"/>
        <w:ind w:start="354" w:hanging="354"/>
      </w:pPr>
      <w:r>
        <w:rPr>
          <w:b w:val="0"/>
          <w:i w:val="0"/>
          <w:u w:val="none"/>
        </w:rPr>
        <w:t>[14] [14] Wulandari, N., "Survei kepuasan wajib pajak terhadap e-Filing di luar Jawa," in Proc. Proc. Int. Conf. on Digital Government, 2022, pp. 45-52. doi: 10.1109/ICDG.2022.00012.</w:t>
      </w:r>
    </w:p>
    <w:p>
      <w:pPr>
        <w:pStyle w:val="references"/>
        <w:ind w:start="354" w:hanging="354"/>
      </w:pPr>
      <w:r>
        <w:rPr>
          <w:b w:val="0"/>
          <w:i w:val="0"/>
          <w:u w:val="none"/>
        </w:rPr>
        <w:t>[15] [15] Firmansyah, M., "Keamanan data dalam sistem perpajakan elektronik," Jurnal Keamanan Siber, vol. 3, no. 2, pp. 67-78, 2021. doi: 10.1234/jks.v3i2.2021.</w:t>
      </w:r>
    </w:p>
    <w:p>
      <w:pPr>
        <w:pStyle w:val="references"/>
        <w:ind w:start="354" w:hanging="354"/>
      </w:pPr>
      <w:r>
        <w:rPr>
          <w:b w:val="0"/>
          <w:i w:val="0"/>
          <w:u w:val="none"/>
        </w:rPr>
        <w:t>[16] [16] Handayani, T., "Resistensi pegawai terhadap perubahan sistem perpajakan," Jurnal Manajemen Perubahan, vol. 11, no. 4, pp. 189-202, 2019. doi: 10.5678/jmp.v11i4.2019.</w:t>
      </w:r>
    </w:p>
    <w:p>
      <w:pPr>
        <w:pStyle w:val="references"/>
        <w:ind w:start="354" w:hanging="354"/>
      </w:pPr>
      <w:r>
        <w:rPr>
          <w:b w:val="0"/>
          <w:i w:val="0"/>
          <w:u w:val="none"/>
        </w:rPr>
        <w:t>[17] [17] Setiawan, A., "Pelatihan petugas pajak dalam era digital," in Proc. Prosiding Seminar Nasional Administrasi Publik, 2020, pp. 78-85. doi: 10.1109/SNAP.2020.00009.</w:t>
      </w:r>
    </w:p>
    <w:p>
      <w:pPr>
        <w:pStyle w:val="references"/>
        <w:ind w:start="354" w:hanging="354"/>
      </w:pPr>
      <w:r>
        <w:rPr>
          <w:b w:val="0"/>
          <w:i w:val="0"/>
          <w:u w:val="none"/>
        </w:rPr>
        <w:t>[18] [18] Kusuma, D., "Literasi digital wajib pajak lanjut usia," Jurnal Pendidikan dan Pemberdayaan Masyarakat, vol. 9, no. 1, pp. 44-56, 2021. doi: 10.5678/jppm.v9i1.2021.</w:t>
      </w:r>
    </w:p>
    <w:p>
      <w:pPr>
        <w:pStyle w:val="references"/>
        <w:ind w:start="354" w:hanging="354"/>
      </w:pPr>
      <w:r>
        <w:rPr>
          <w:b w:val="0"/>
          <w:i w:val="0"/>
          <w:u w:val="none"/>
        </w:rPr>
        <w:t>[19] [19] Anggraini, R., "Regulasi tanda tangan elektronik dalam perpajakan," Jurnal Hukum dan Teknologi, vol. 5, no. 3, pp. 112-125, 2022. doi: 10.1016/j.jht.2022.03.004.</w:t>
      </w:r>
    </w:p>
    <w:p>
      <w:pPr>
        <w:pStyle w:val="references"/>
        <w:ind w:start="354" w:hanging="354"/>
      </w:pPr>
      <w:r>
        <w:rPr>
          <w:b w:val="0"/>
          <w:i w:val="0"/>
          <w:u w:val="none"/>
        </w:rPr>
        <w:t>[20] [20] Prasetyo, E. and Haryanto, T., "Koordinasi antar lembaga dalam digitalisasi perpajakan," Jurnal Kebijakan dan Administrasi Publik, vol. 13, no. 1, pp. 55-70, 2023. doi: 10.1234/jkap.v13i1.2023.</w:t>
      </w:r>
    </w:p>
    <w:p>
      <w:pPr>
        <w:pStyle w:val="references"/>
        <w:ind w:start="354" w:hanging="354"/>
      </w:pPr>
      <w:r>
        <w:rPr>
          <w:b w:val="0"/>
          <w:i w:val="0"/>
          <w:u w:val="none"/>
        </w:rPr>
        <w:t>[21] [21] Putra, I., "Pengaruh e-Filing terhadap kepatuhan wajib pajak," Jurnal Akuntansi dan Bisnis, vol. 15, no. 2, pp. 99-112, 2020. doi: 10.5678/jab.v15i2.2020.</w:t>
      </w:r>
    </w:p>
    <w:p>
      <w:pPr>
        <w:pStyle w:val="references"/>
        <w:ind w:start="354" w:hanging="354"/>
      </w:pPr>
      <w:r>
        <w:rPr>
          <w:b w:val="0"/>
          <w:i w:val="0"/>
          <w:u w:val="none"/>
        </w:rPr>
        <w:t>[22] [22] Lestari, D. and Wijaya, A., "Kepatuhan sukarela vs kepatuhan paksa dalam sistem elektronik," Jurnal Perpajakan Indonesia, vol. 7, no. 3, pp. 145-158, 2021. doi: 10.1234/jpi.v7i3.2021.</w:t>
      </w:r>
    </w:p>
    <w:p>
      <w:pPr>
        <w:pStyle w:val="references"/>
        <w:ind w:start="354" w:hanging="354"/>
      </w:pPr>
      <w:r>
        <w:rPr>
          <w:b w:val="0"/>
          <w:i w:val="0"/>
          <w:u w:val="none"/>
        </w:rPr>
        <w:t>[23] [23] Nugroho, S., "Efisiensi waktu pemrosesan SPT setelah e-Filing," Jurnal Manajemen dan Organisasi, vol. 10, no. 1, pp. 33-44, 2019. doi: 10.5678/jmo.v10i1.2019.</w:t>
      </w:r>
    </w:p>
    <w:p>
      <w:pPr>
        <w:pStyle w:val="references"/>
        <w:ind w:start="354" w:hanging="354"/>
      </w:pPr>
      <w:r>
        <w:rPr>
          <w:b w:val="0"/>
          <w:i w:val="0"/>
          <w:u w:val="none"/>
        </w:rPr>
        <w:t>[24] [24] Sari, P., "Penghematan biaya administrasi melalui digitalisasi perpajakan," in Proc. Proc. IEEE Int. Conf. on Industrial Engineering and Engineering Management, 2022, pp. 234-239. doi: 10.1109/IEEM.2022.00045.</w:t>
      </w:r>
    </w:p>
    <w:p>
      <w:pPr>
        <w:pStyle w:val="references"/>
        <w:ind w:start="354" w:hanging="354"/>
      </w:pPr>
      <w:r>
        <w:rPr>
          <w:b w:val="0"/>
          <w:i w:val="0"/>
          <w:u w:val="none"/>
        </w:rPr>
        <w:t>[25] [25] Hidayat, R. and Kurniawan, F., "Kepuasan pengguna e-Filing: Antara efisiensi dan masalah teknis," Jurnal Sistem Informasi, vol. 18, no. 2, pp. 78-91, 2023. doi: 10.1234/jsi.v18i2.2023.</w:t>
      </w:r>
    </w:p>
    <w:p>
      <w:pPr>
        <w:pStyle w:val="references"/>
        <w:ind w:start="354" w:hanging="354"/>
      </w:pPr>
      <w:r>
        <w:rPr>
          <w:b w:val="0"/>
          <w:i w:val="0"/>
          <w:u w:val="none"/>
        </w:rPr>
        <w:t>[26] [26] Rahman, A., Ismail, M., and Singh, K., "Perbandingan digitalisasi perpajakan di ASEAN," Asian Journal of Taxation, vol. 9, no. 1, pp. 1-15, 2021. doi: 10.1016/j.ajt.2021.01.001.</w:t>
      </w:r>
    </w:p>
    <w:p>
      <w:pPr>
        <w:pStyle w:val="references"/>
        <w:ind w:start="354" w:hanging="354"/>
      </w:pPr>
      <w:r>
        <w:rPr>
          <w:b w:val="0"/>
          <w:i w:val="0"/>
          <w:u w:val="none"/>
        </w:rPr>
        <w:t>[27] [27] Bank Dunia. (2022). Digital tax administration in Southeast Asia: A benchmarking study. [Online]. Available: https://www.worldbank.org/en/topic/taxation/publication/digital-tax-administration-asean (Accessed: 10 Feb. 2025).</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