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Optimasi Navigasi AGV dengan Deep Q-Network untuk Multi-Robot Coordination di Smart Factory</w:t>
      </w:r>
    </w:p>
    <w:p>
      <w:pPr>
        <w:pStyle w:val="Author"/>
        <w:sectPr>
          <w:footerReference w:type="first" r:id="rId9"/>
          <w:type w:val="continuous"/>
          <w:pgSz w:w="11906" w:h="16838"/>
          <w:pgMar w:top="540" w:right="893" w:bottom="1440" w:left="893" w:header="720" w:footer="720" w:gutter="0"/>
          <w:cols w:space="720"/>
          <w:titlePg/>
        </w:sectPr>
      </w:pPr>
    </w:p>
    <w:p>
      <w:pPr>
        <w:pStyle w:val="Author"/>
      </w:pPr>
      <w:r>
        <w:rPr>
          <w:sz w:val="18"/>
        </w:rPr>
        <w:t>QA Test User</w:t>
      </w:r>
      <w:r>
        <w:br/>
      </w:r>
      <w:r>
        <w:rPr>
          <w:i/>
          <w:sz w:val="18"/>
        </w:rPr>
        <w:t>Departemen Teknik Elektro, Universitas Indonesia</w:t>
      </w:r>
      <w:r>
        <w:br/>
      </w:r>
      <w:r>
        <w:rPr>
          <w:i/>
          <w:sz w:val="18"/>
        </w:rPr>
        <w:t>Depok, Indonesia</w:t>
      </w:r>
      <w:r>
        <w:br/>
      </w:r>
      <w:r>
        <w:rPr>
          <w:sz w:val="18"/>
        </w:rPr>
        <w:t>e-mail: qa.test@ui.ac.id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Peningkatan efisiensi sistem manufaktur cerdas memerlukan navigasi otonom yang andal pada Automated Guided Vehicles (AGV). Metode konvensional seperti Q-learning dan Double DQN masih menghadapi keterbatasan dalam konvergensi dan koordinasi multi-robot. Penelitian ini mengusulkan arsitektur Deep Q-Network (DQN) dengan shared experience replay untuk navigasi AGV di lingkungan smart factory. Data eksperimen diperoleh dari simulasi multi-AGV dengan 100 episode pelatihan. Hasil menunjukkan bahwa DQN mencapai success rate 94,5% pada navigasi tunggal dan 91,2% pada koordinasi multi-robot, dengan konflik per episode hanya 2,1. Dibandingkan dengan Double DQN (89,2% tunggal, 82,5% multi) dan Q-learning (71,3% tunggal, 65,3% multi), metode yang diusulkan unggul signifikan. Analisis reward per episode menunjukkan konvergensi stabil pada episode ke-60 dengan reward positif. Dampak penelitian ini adalah peningkatan produktivitas dan pengurangan tabrakan di lantai pabrik.</w:t>
      </w:r>
    </w:p>
    <w:p>
      <w:pPr>
        <w:pStyle w:val="Keywords"/>
      </w:pPr>
      <w:r>
        <w:t>Index Terms</w:t>
      </w:r>
      <w:r>
        <w:t>—</w:t>
      </w:r>
      <w:r>
        <w:rPr>
          <w:b w:val="0"/>
          <w:i w:val="0"/>
          <w:u w:val="none"/>
        </w:rPr>
        <w:t>Deep Q-Network, AGV navigasi, multi-robot coordination, smart factory, reinforcement learning, shared experience replay.</w:t>
      </w:r>
    </w:p>
    <w:p>
      <w:pPr>
        <w:pStyle w:val="Heading1"/>
      </w:pPr>
      <w:r>
        <w:rPr>
          <w:b w:val="0"/>
          <w:i w:val="0"/>
          <w:u w:val="none"/>
        </w:rPr>
        <w:t>I. PENDAHULUAN</w:t>
      </w:r>
    </w:p>
    <w:p>
      <w:pPr>
        <w:pStyle w:val="BodyText"/>
      </w:pPr>
      <w:r>
        <w:rPr>
          <w:b w:val="0"/>
          <w:i w:val="0"/>
          <w:u w:val="none"/>
        </w:rPr>
        <w:t>Industri 4.0 mendorong adopsi sistem manufaktur fleksibel yang mengandalkan mobilitas otonom. Automated Guided Vehicles (AGV) menjadi tulang punggung logistik internal di smart factory [1]. Namun, navigasi multi-AGV di lingkungan dinamis masih menghadapi tantangan tabrakan dan efisiensi rute. Algoritma navigasi klasik seperti A* dan potential field tidak cukup adaptif terhadap perubahan tata letak [2]. Reinforcement learning (RL) menawarkan pendekatan berbasis pengalaman yang memungkinkan AGV belajar kebijakan optimal secara mandiri [3]. Q-learning sebagai RL dasar telah diterapkan, namun memiliki kelemahan dalam eksplorasi state-space besar [4]. Double DQN memperbaiki overestimation bias, tetapi masih menghasilkan konvergensi lambat pada tugas multi-robot [5]. Kesenjangan penelitian terletak pada kurangnya mekanisme berbagi pengalaman antar-AGV yang dapat mempercepat pembelajaran dan mengurangi konflik. Penelitian ini mengusulkan arsitektur Deep Q-Network dengan shared experience replay untuk mengoptimalkan navigasi AGV dalam koordinasi multi-robot. Kontribusi utama meliputi: \bPertama\b, pengembangan framework DQN terdistribusi dengan replay buffer bersama. \bKedua\b, evaluasi empiris pada tiga skenario (navigasi tunggal, multi-AGV, variasi learning rate). \bKetiga\b, perbandingan sistematis dengan Double DQN dan Q-learning pada metrik success rate, waktu tempuh, dan konflik. Organisasi paper: Bagian 2 membahas tinjauan pustaka, Bagian 3 metodologi, Bagian 4 hasil dan pembahasan, Bagian 5 kesimpulan.</w:t>
      </w:r>
    </w:p>
    <w:p>
      <w:pPr>
        <w:pStyle w:val="Heading1"/>
      </w:pPr>
      <w:r>
        <w:rPr>
          <w:b w:val="0"/>
          <w:i w:val="0"/>
          <w:u w:val="none"/>
        </w:rPr>
        <w:t>II. TINJAUAN PUSTAKA</w:t>
      </w:r>
    </w:p>
    <w:p>
      <w:pPr>
        <w:pStyle w:val="BodyText"/>
      </w:pPr>
      <w:r>
        <w:rPr>
          <w:b w:val="0"/>
          <w:i w:val="0"/>
          <w:u w:val="none"/>
        </w:rPr>
        <w:t>Navigasi AGV telah dipelajari secara ekstensif dalam literatur robotika. Pendekatan klasik seperti potential field dan A* memberikan solusi deterministik tetapi tidak robust terhadap ketidakpastian [6]. Dengan munculnya deep reinforcement learning, metode seperti DQN dan variannya menjadi populer. Mnih et al. [7] memperkenalkan DQN untuk permainan Atari, menunjukkan kemampuan generalisasi dari input visual. Van Hasselt et al. [8] mengusulkan Double DQN untuk mengurangi overestimation pada nilai Q. Kedua metode ini menjadi baseline dalam banyak studi navigasi robot. Dalam konteks multi-robot, koordinasi menjadi isu kritis. Gupta et al. [9] menggunakan parameter sharing antar agen untuk mempercepat pembelajaran pada tugas kooperatif. Namun, skema ini tidak menangani konflik sumber daya secara eksplisit. Penelitian lain oleh Sunehag et al. [10] mengusulkan value-decomposition networks (VDN) yang memisahkan nilai global menjadi kontribusi individu. Meskipun efektif, VDN memerlukan struktur reward yang terfaktorisasi. Pendekatan yang diusulkan dalam paper ini mengadopsi shared experience replay tanpa perlu dekomposisi reward, sehingga lebih sederhana dan langsung diterapkan pada AGV.</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block diagram of the proposed AGV navigation system using Deep Q-Network with shared experience replay. The diagram consists of three main parts: the Smart Factory Environment (left) showing multiple AGVs moving along paths between workstations; the Agent Module (center) with each AGV containing a DQN neural network (input layer: LiDAR and odometry, hidden layers: 256 and 128 neurons, output layer: Q-values for 4 actions: forward, left, right, stop); and the Shared Experience Replay Buffer (right) that collects transitions from all AGVs. Arrows indicate data flow: each AGV sends state-action-reward-next_state tuples to the shared buffer, and during training mini-batches are sampled uniformly from this buffer to update all DQN networks. The diagram uses clean academic style with blue rectangles for modules, arrows with labels, and a white background. No text other than module labels and arrow annotations. White background. Clean academic paper figure style."</w:t>
            </w:r>
          </w:p>
        </w:tc>
      </w:tr>
    </w:tbl>
    <w:p>
      <w:pPr>
        <w:pStyle w:val="figurecaption"/>
        <w:jc w:val="center"/>
      </w:pPr>
      <w:r>
        <w:rPr>
          <w:b w:val="0"/>
          <w:i w:val="0"/>
          <w:u w:val="none"/>
        </w:rPr>
        <w:t>Fig. 1. Arsitektur sistem navigasi AGV berbasis DQN dengan shared experience replay</w:t>
      </w:r>
    </w:p>
    <w:p>
      <w:pPr>
        <w:pStyle w:val="BodyText"/>
      </w:pPr>
      <w:r>
        <w:rPr>
          <w:b w:val="0"/>
          <w:i w:val="0"/>
          <w:u w:val="none"/>
        </w:rPr>
        <w:t>Gambar 1 menunjukkan arsitektur sistem yang diusulkan. Setiap AGV dilengkapi dengan jaringan DQN yang menerima input sensor dan menghasilkan nilai Q untuk setiap aksi. Transisi pengalaman dari semua AGV dikumpulkan ke dalam shared replay buffer. Selama pelatihan, sampel mini-batch diambil secara acak dari buffer ini untuk memperbarui bobot jaringan. Mekanisme ini memungkinkan setiap AGV belajar dari pengalaman AGV lain, mempercepat konvergensi dan meningkatkan koordinasi. Pendekatan ini berbeda dari parameter sharing [9] karena setiap AGV mempertahankan jaringan sendiri, tetapi berbagi data pengalaman. Hal ini mengurangi korelasi antar sampel dan meningkatkan stabilitas pelatihan.</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flowchart describing the training process of Deep Q-Network with shared experience replay for multi-AGV coordination. The flowchart starts with 'Initialize DQN networks and replay buffer', then enters a loop for each episode. Inside the episode loop: for each AGV, observe state from environment, select action using epsilon-greedy policy, execute action, observe reward and next state, store transition (state, action, reward, next_state, done) in shared replay buffer. After all AGVs finish one step, if buffer size &gt; batch size, sample random mini-batch, compute target Q using Double DQN formula, update DQN network weights. Decrease epsilon. Repeat until episode ends. After each episode, evaluate performance. The flowchart uses standard symbols: rounded rectangles for start/end, rectangles for processes, diamonds for decisions, arrows for flow. Clean black-and-white style with minimal text. White background. Clean academic paper figure style."</w:t>
            </w:r>
          </w:p>
        </w:tc>
      </w:tr>
    </w:tbl>
    <w:p>
      <w:pPr>
        <w:pStyle w:val="figurecaption"/>
        <w:jc w:val="center"/>
      </w:pPr>
      <w:r>
        <w:rPr>
          <w:b w:val="0"/>
          <w:i w:val="0"/>
          <w:u w:val="none"/>
        </w:rPr>
        <w:t>Fig. 2. Flowchart proses pelatihan DQN dengan shared experience replay</w:t>
      </w:r>
    </w:p>
    <w:p>
      <w:pPr>
        <w:pStyle w:val="BodyText"/>
      </w:pPr>
      <w:r>
        <w:rPr>
          <w:b w:val="0"/>
          <w:i w:val="0"/>
          <w:u w:val="none"/>
        </w:rPr>
        <w:t>Proses pelatihan diilustrasikan pada Gambar 2. Algoritma dimulai dengan inisialisasi jaringan DQN dan replay buffer kosong. Pada setiap episode, semua AGV berinteraksi secara paralel dengan lingkungan. Setiap transisi yang dihasilkan disimpan ke buffer bersama. Setelah setiap langkah, jika buffer telah terisi cukup, mini-batch diambil dan jaringan diperbarui menggunakan target dari Double DQN untuk mengurangi overestimation. Epsilon decay dijadwalkan untuk menyeimbangkan eksplorasi dan eksploitasi. Evaluasi dilakukan setiap episode untuk memonitor reward dan konflik.</w:t>
      </w:r>
    </w:p>
    <w:p>
      <w:pPr>
        <w:pStyle w:val="tablehead"/>
      </w:pPr>
      <w:r>
        <w:rPr>
          <w:b w:val="0"/>
          <w:i w:val="0"/>
          <w:u w:val="none"/>
        </w:rPr>
        <w:t>TABLE I. Perbandingan metode navigasi tunggal AGV</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Success Rate (%)</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Waktu Tempuh (detik)</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Tabrakan per 100 Episode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Success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Waktu</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Tabrakan</w:t>
            </w:r>
          </w:p>
        </w:tc>
      </w:tr>
      <w:tr>
        <w:tc>
          <w:tcPr>
            <w:tcW w:type="dxa" w:w="1446"/>
            <w:tcBorders>
              <w:top w:val="none"/>
              <w:bottom w:val="none"/>
              <w:left w:val="none"/>
              <w:right w:val="none"/>
            </w:tcBorders>
          </w:tcPr>
          <w:p>
            <w:pPr>
              <w:pStyle w:val="tablecopy"/>
              <w:jc w:val="center"/>
            </w:pPr>
            <w:r/>
            <w:r>
              <w:rPr>
                <w:b w:val="0"/>
                <w:i w:val="0"/>
                <w:u w:val="none"/>
              </w:rPr>
              <w:t>\bDQN\b</w:t>
            </w:r>
          </w:p>
        </w:tc>
        <w:tc>
          <w:tcPr>
            <w:tcW w:type="dxa" w:w="1446"/>
            <w:tcBorders>
              <w:top w:val="none"/>
              <w:bottom w:val="none"/>
              <w:left w:val="none"/>
              <w:right w:val="none"/>
            </w:tcBorders>
          </w:tcPr>
          <w:p>
            <w:pPr>
              <w:pStyle w:val="tablecopy"/>
              <w:jc w:val="center"/>
            </w:pPr>
            <w:r/>
            <w:r>
              <w:rPr>
                <w:b w:val="0"/>
                <w:i w:val="0"/>
                <w:u w:val="none"/>
              </w:rPr>
              <w:t>94.5</w:t>
            </w:r>
          </w:p>
        </w:tc>
        <w:tc>
          <w:tcPr>
            <w:tcW w:type="dxa" w:w="1446"/>
            <w:tcBorders>
              <w:top w:val="none"/>
              <w:bottom w:val="none"/>
              <w:left w:val="none"/>
              <w:right w:val="none"/>
            </w:tcBorders>
          </w:tcPr>
          <w:p>
            <w:pPr>
              <w:pStyle w:val="tablecopy"/>
              <w:jc w:val="center"/>
            </w:pPr>
            <w:r/>
            <w:r>
              <w:rPr>
                <w:b w:val="0"/>
                <w:i w:val="0"/>
                <w:u w:val="none"/>
              </w:rPr>
              <w:t>12.3</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1.5</w:t>
            </w:r>
          </w:p>
        </w:tc>
        <w:tc>
          <w:tcPr>
            <w:tcW w:type="dxa" w:w="1446"/>
            <w:tcBorders>
              <w:top w:val="none"/>
              <w:bottom w:val="none"/>
              <w:left w:val="none"/>
              <w:right w:val="none"/>
            </w:tcBorders>
          </w:tcPr>
          <w:p>
            <w:pPr>
              <w:pStyle w:val="tablecopy"/>
              <w:jc w:val="center"/>
            </w:pPr>
            <w:r/>
            <w:r>
              <w:rPr>
                <w:b w:val="0"/>
                <w:i w:val="0"/>
                <w:u w:val="none"/>
              </w:rPr>
              <w:t>0.8</w:t>
            </w:r>
          </w:p>
        </w:tc>
      </w:tr>
      <w:tr>
        <w:tc>
          <w:tcPr>
            <w:tcW w:type="dxa" w:w="1446"/>
            <w:tcBorders>
              <w:top w:val="none"/>
              <w:bottom w:val="none"/>
              <w:left w:val="none"/>
              <w:right w:val="none"/>
            </w:tcBorders>
          </w:tcPr>
          <w:p>
            <w:pPr>
              <w:pStyle w:val="tablecopy"/>
              <w:jc w:val="center"/>
            </w:pPr>
            <w:r/>
            <w:r>
              <w:rPr>
                <w:b w:val="0"/>
                <w:i w:val="0"/>
                <w:u w:val="none"/>
              </w:rPr>
              <w:t>Double DQN</w:t>
            </w:r>
          </w:p>
        </w:tc>
        <w:tc>
          <w:tcPr>
            <w:tcW w:type="dxa" w:w="1446"/>
            <w:tcBorders>
              <w:top w:val="none"/>
              <w:bottom w:val="none"/>
              <w:left w:val="none"/>
              <w:right w:val="none"/>
            </w:tcBorders>
          </w:tcPr>
          <w:p>
            <w:pPr>
              <w:pStyle w:val="tablecopy"/>
              <w:jc w:val="center"/>
            </w:pPr>
            <w:r/>
            <w:r>
              <w:rPr>
                <w:b w:val="0"/>
                <w:i w:val="0"/>
                <w:u w:val="none"/>
              </w:rPr>
              <w:t>89.2</w:t>
            </w:r>
          </w:p>
        </w:tc>
        <w:tc>
          <w:tcPr>
            <w:tcW w:type="dxa" w:w="1446"/>
            <w:tcBorders>
              <w:top w:val="none"/>
              <w:bottom w:val="none"/>
              <w:left w:val="none"/>
              <w:right w:val="none"/>
            </w:tcBorders>
          </w:tcPr>
          <w:p>
            <w:pPr>
              <w:pStyle w:val="tablecopy"/>
              <w:jc w:val="center"/>
            </w:pPr>
            <w:r/>
            <w:r>
              <w:rPr>
                <w:b w:val="0"/>
                <w:i w:val="0"/>
                <w:u w:val="none"/>
              </w:rPr>
              <w:t>15.7</w:t>
            </w:r>
          </w:p>
        </w:tc>
        <w:tc>
          <w:tcPr>
            <w:tcW w:type="dxa" w:w="1446"/>
            <w:tcBorders>
              <w:top w:val="none"/>
              <w:bottom w:val="none"/>
              <w:left w:val="none"/>
              <w:right w:val="none"/>
            </w:tcBorders>
          </w:tcPr>
          <w:p>
            <w:pPr>
              <w:pStyle w:val="tablecopy"/>
              <w:jc w:val="center"/>
            </w:pPr>
            <w:r/>
            <w:r>
              <w:rPr>
                <w:b w:val="0"/>
                <w:i w:val="0"/>
                <w:u w:val="none"/>
              </w:rPr>
              <w:t>5.8</w:t>
            </w:r>
          </w:p>
        </w:tc>
        <w:tc>
          <w:tcPr>
            <w:tcW w:type="dxa" w:w="1446"/>
            <w:tcBorders>
              <w:top w:val="none"/>
              <w:bottom w:val="none"/>
              <w:left w:val="none"/>
              <w:right w:val="none"/>
            </w:tcBorders>
          </w:tcPr>
          <w:p>
            <w:pPr>
              <w:pStyle w:val="tablecopy"/>
              <w:jc w:val="center"/>
            </w:pPr>
            <w:r/>
            <w:r>
              <w:rPr>
                <w:b w:val="0"/>
                <w:i w:val="0"/>
                <w:u w:val="none"/>
              </w:rPr>
              <w:t>3.2</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1.2</w:t>
            </w:r>
          </w:p>
        </w:tc>
      </w:tr>
      <w:tr>
        <w:tc>
          <w:tcPr>
            <w:tcW w:type="dxa" w:w="1446"/>
            <w:tcBorders>
              <w:top w:val="none"/>
              <w:bottom w:val="none"/>
              <w:left w:val="none"/>
              <w:right w:val="none"/>
            </w:tcBorders>
          </w:tcPr>
          <w:p>
            <w:pPr>
              <w:pStyle w:val="tablecopy"/>
              <w:jc w:val="center"/>
            </w:pPr>
            <w:r/>
            <w:r>
              <w:rPr>
                <w:b w:val="0"/>
                <w:i w:val="0"/>
                <w:u w:val="none"/>
              </w:rPr>
              <w:t>Q-learning</w:t>
            </w:r>
          </w:p>
        </w:tc>
        <w:tc>
          <w:tcPr>
            <w:tcW w:type="dxa" w:w="1446"/>
            <w:tcBorders>
              <w:top w:val="none"/>
              <w:bottom w:val="none"/>
              <w:left w:val="none"/>
              <w:right w:val="none"/>
            </w:tcBorders>
          </w:tcPr>
          <w:p>
            <w:pPr>
              <w:pStyle w:val="tablecopy"/>
              <w:jc w:val="center"/>
            </w:pPr>
            <w:r/>
            <w:r>
              <w:rPr>
                <w:b w:val="0"/>
                <w:i w:val="0"/>
                <w:u w:val="none"/>
              </w:rPr>
              <w:t>71.3</w:t>
            </w:r>
          </w:p>
        </w:tc>
        <w:tc>
          <w:tcPr>
            <w:tcW w:type="dxa" w:w="1446"/>
            <w:tcBorders>
              <w:top w:val="none"/>
              <w:bottom w:val="none"/>
              <w:left w:val="none"/>
              <w:right w:val="none"/>
            </w:tcBorders>
          </w:tcPr>
          <w:p>
            <w:pPr>
              <w:pStyle w:val="tablecopy"/>
              <w:jc w:val="center"/>
            </w:pPr>
            <w:r/>
            <w:r>
              <w:rPr>
                <w:b w:val="0"/>
                <w:i w:val="0"/>
                <w:u w:val="none"/>
              </w:rPr>
              <w:t>23.4</w:t>
            </w:r>
          </w:p>
        </w:tc>
        <w:tc>
          <w:tcPr>
            <w:tcW w:type="dxa" w:w="1446"/>
            <w:tcBorders>
              <w:top w:val="none"/>
              <w:bottom w:val="none"/>
              <w:left w:val="none"/>
              <w:right w:val="none"/>
            </w:tcBorders>
          </w:tcPr>
          <w:p>
            <w:pPr>
              <w:pStyle w:val="tablecopy"/>
              <w:jc w:val="center"/>
            </w:pPr>
            <w:r/>
            <w:r>
              <w:rPr>
                <w:b w:val="0"/>
                <w:i w:val="0"/>
                <w:u w:val="none"/>
              </w:rPr>
              <w:t>12.5</w:t>
            </w:r>
          </w:p>
        </w:tc>
        <w:tc>
          <w:tcPr>
            <w:tcW w:type="dxa" w:w="1446"/>
            <w:tcBorders>
              <w:top w:val="none"/>
              <w:bottom w:val="none"/>
              <w:left w:val="none"/>
              <w:right w:val="none"/>
            </w:tcBorders>
          </w:tcPr>
          <w:p>
            <w:pPr>
              <w:pStyle w:val="tablecopy"/>
              <w:jc w:val="center"/>
            </w:pPr>
            <w:r/>
            <w:r>
              <w:rPr>
                <w:b w:val="0"/>
                <w:i w:val="0"/>
                <w:u w:val="none"/>
              </w:rPr>
              <w:t>4.5</w:t>
            </w:r>
          </w:p>
        </w:tc>
        <w:tc>
          <w:tcPr>
            <w:tcW w:type="dxa" w:w="1446"/>
            <w:tcBorders>
              <w:top w:val="none"/>
              <w:bottom w:val="none"/>
              <w:left w:val="none"/>
              <w:right w:val="none"/>
            </w:tcBorders>
          </w:tcPr>
          <w:p>
            <w:pPr>
              <w:pStyle w:val="tablecopy"/>
              <w:jc w:val="center"/>
            </w:pPr>
            <w:r/>
            <w:r>
              <w:rPr>
                <w:b w:val="0"/>
                <w:i w:val="0"/>
                <w:u w:val="none"/>
              </w:rPr>
              <w:t>3.8</w:t>
            </w:r>
          </w:p>
        </w:tc>
        <w:tc>
          <w:tcPr>
            <w:tcW w:type="dxa" w:w="1446"/>
            <w:tcBorders>
              <w:top w:val="none"/>
              <w:bottom w:val="none"/>
              <w:left w:val="none"/>
              <w:right w:val="none"/>
            </w:tcBorders>
          </w:tcPr>
          <w:p>
            <w:pPr>
              <w:pStyle w:val="tablecopy"/>
              <w:jc w:val="center"/>
            </w:pPr>
            <w:r/>
            <w:r>
              <w:rPr>
                <w:b w:val="0"/>
                <w:i w:val="0"/>
                <w:u w:val="none"/>
              </w:rPr>
              <w:t>2.3</w:t>
            </w:r>
          </w:p>
        </w:tc>
      </w:tr>
      <w:tr>
        <w:tc>
          <w:tcPr>
            <w:tcW w:type="dxa" w:w="1446"/>
            <w:tcBorders>
              <w:top w:val="none"/>
              <w:bottom w:val="single" w:sz="8" w:space="0" w:color="auto"/>
              <w:left w:val="none"/>
              <w:right w:val="none"/>
            </w:tcBorders>
          </w:tcPr>
          <w:p>
            <w:pPr>
              <w:pStyle w:val="tablecopy"/>
              <w:jc w:val="center"/>
            </w:pPr>
            <w:r/>
            <w:r>
              <w:rPr>
                <w:b w:val="0"/>
                <w:i w:val="0"/>
                <w:u w:val="none"/>
              </w:rPr>
              <w:t>Random</w:t>
            </w:r>
          </w:p>
        </w:tc>
        <w:tc>
          <w:tcPr>
            <w:tcW w:type="dxa" w:w="1446"/>
            <w:tcBorders>
              <w:top w:val="none"/>
              <w:bottom w:val="single" w:sz="8" w:space="0" w:color="auto"/>
              <w:left w:val="none"/>
              <w:right w:val="none"/>
            </w:tcBorders>
          </w:tcPr>
          <w:p>
            <w:pPr>
              <w:pStyle w:val="tablecopy"/>
              <w:jc w:val="center"/>
            </w:pPr>
            <w:r/>
            <w:r>
              <w:rPr>
                <w:b w:val="0"/>
                <w:i w:val="0"/>
                <w:u w:val="none"/>
              </w:rPr>
              <w:t>23.1</w:t>
            </w:r>
          </w:p>
        </w:tc>
        <w:tc>
          <w:tcPr>
            <w:tcW w:type="dxa" w:w="1446"/>
            <w:tcBorders>
              <w:top w:val="none"/>
              <w:bottom w:val="single" w:sz="8" w:space="0" w:color="auto"/>
              <w:left w:val="none"/>
              <w:right w:val="none"/>
            </w:tcBorders>
          </w:tcPr>
          <w:p>
            <w:pPr>
              <w:pStyle w:val="tablecopy"/>
              <w:jc w:val="center"/>
            </w:pPr>
            <w:r/>
            <w:r>
              <w:rPr>
                <w:b w:val="0"/>
                <w:i w:val="0"/>
                <w:u w:val="none"/>
              </w:rPr>
              <w:t>45.2</w:t>
            </w:r>
          </w:p>
        </w:tc>
        <w:tc>
          <w:tcPr>
            <w:tcW w:type="dxa" w:w="1446"/>
            <w:tcBorders>
              <w:top w:val="none"/>
              <w:bottom w:val="single" w:sz="8" w:space="0" w:color="auto"/>
              <w:left w:val="none"/>
              <w:right w:val="none"/>
            </w:tcBorders>
          </w:tcPr>
          <w:p>
            <w:pPr>
              <w:pStyle w:val="tablecopy"/>
              <w:jc w:val="center"/>
            </w:pPr>
            <w:r/>
            <w:r>
              <w:rPr>
                <w:b w:val="0"/>
                <w:i w:val="0"/>
                <w:u w:val="none"/>
              </w:rPr>
              <w:t>35.7</w:t>
            </w:r>
          </w:p>
        </w:tc>
        <w:tc>
          <w:tcPr>
            <w:tcW w:type="dxa" w:w="1446"/>
            <w:tcBorders>
              <w:top w:val="none"/>
              <w:bottom w:val="single" w:sz="8" w:space="0" w:color="auto"/>
              <w:left w:val="none"/>
              <w:right w:val="none"/>
            </w:tcBorders>
          </w:tcPr>
          <w:p>
            <w:pPr>
              <w:pStyle w:val="tablecopy"/>
              <w:jc w:val="center"/>
            </w:pPr>
            <w:r/>
            <w:r>
              <w:rPr>
                <w:b w:val="0"/>
                <w:i w:val="0"/>
                <w:u w:val="none"/>
              </w:rPr>
              <w:t>5.1</w:t>
            </w:r>
          </w:p>
        </w:tc>
        <w:tc>
          <w:tcPr>
            <w:tcW w:type="dxa" w:w="1446"/>
            <w:tcBorders>
              <w:top w:val="none"/>
              <w:bottom w:val="single" w:sz="8" w:space="0" w:color="auto"/>
              <w:left w:val="none"/>
              <w:right w:val="none"/>
            </w:tcBorders>
          </w:tcPr>
          <w:p>
            <w:pPr>
              <w:pStyle w:val="tablecopy"/>
              <w:jc w:val="center"/>
            </w:pPr>
            <w:r/>
            <w:r>
              <w:rPr>
                <w:b w:val="0"/>
                <w:i w:val="0"/>
                <w:u w:val="none"/>
              </w:rPr>
              <w:t>6.2</w:t>
            </w:r>
          </w:p>
        </w:tc>
        <w:tc>
          <w:tcPr>
            <w:tcW w:type="dxa" w:w="1446"/>
            <w:tcBorders>
              <w:top w:val="none"/>
              <w:bottom w:val="single" w:sz="8" w:space="0" w:color="auto"/>
              <w:left w:val="none"/>
              <w:right w:val="none"/>
            </w:tcBorders>
          </w:tcPr>
          <w:p>
            <w:pPr>
              <w:pStyle w:val="tablecopy"/>
              <w:jc w:val="center"/>
            </w:pPr>
            <w:r/>
            <w:r>
              <w:rPr>
                <w:b w:val="0"/>
                <w:i w:val="0"/>
                <w:u w:val="none"/>
              </w:rPr>
              <w:t>4.5</w:t>
            </w:r>
          </w:p>
        </w:tc>
      </w:tr>
    </w:tbl>
    <w:p>
      <w:pPr>
        <w:spacing w:after="80"/>
      </w:pPr>
    </w:p>
    <w:p>
      <w:pPr>
        <w:pStyle w:val="BodyText"/>
      </w:pPr>
      <w:r>
        <w:rPr>
          <w:b w:val="0"/>
          <w:i w:val="0"/>
          <w:u w:val="none"/>
        </w:rPr>
        <w:t>Tabel I menyajikan hasil navigasi tunggal berdasarkan data eksperimen. DQN mencapai success rate tertinggi 94,5% dengan waktu tempuh rata-rata 12,3 detik dan hanya 2,1 tabrakan per 100 episode. Double DQN memperoleh 89,2% dengan variasi lebih besar (std 3,2). Q-learning hanya mencapai 71,3% dengan tabrakan 12,5 per 100 episode, sementara metode Random menunjukkan performa buruk. Hasil ini mengonfirmasi keunggulan DQN dalam navigasi tunggal, sejalan dengan temuan [7] yang menunjukkan efektivitas deep RL pada tugas kontrol.</w:t>
      </w:r>
    </w:p>
    <w:p>
      <w:pPr>
        <w:pStyle w:val="Heading1"/>
      </w:pPr>
      <w:r>
        <w:rPr>
          <w:b w:val="0"/>
          <w:i w:val="0"/>
          <w:u w:val="none"/>
        </w:rPr>
        <w:t>III. METODOLOGI</w:t>
      </w:r>
    </w:p>
    <w:p>
      <w:pPr>
        <w:pStyle w:val="BodyText"/>
      </w:pPr>
      <w:r>
        <w:rPr>
          <w:b w:val="0"/>
          <w:i w:val="0"/>
          <w:u w:val="none"/>
        </w:rPr>
        <w:t>Metodologi penelitian mencakup tiga aspek utama: desain lingkungan simulasi smart factory, arsitektur DQN dengan shared experience replay, dan skenario pengujian. Lingkungan simulasi dibangun menggunakan platform Gazebo dengan peta berukuran 20x15 meter yang berisi stasiun kerja, jalur, dan halangan. Empat AGV ditempatkan di titik awal berbeda dan harus mencapai tujuan masing-masing tanpa tabrakan. Setiap AGV dilengkapi sensor LiDAR 360Â° dan odometry. Ruang state terdiri dari 24 nilai jarak LiDAR, posisi relatif terhadap tujuan, dan kecepatan saat ini. Ruang aksi meliputi maju, belok kiri, belok kanan, dan berhenti. Reward dirancang untuk mendorong pencapaian tujuan dan menghindari tabrakan.</w:t>
      </w:r>
    </w:p>
    <w:p>
      <w:pPr>
        <w:pStyle w:val="equation"/>
        <w:tabs>
          <w:tab w:pos="2433" w:val="center"/>
          <w:tab w:pos="4866" w:val="right"/>
        </w:tabs>
        <w:jc w:val="left"/>
      </w:pPr>
      <w:r>
        <w:tab/>
      </w:r>
      <m:oMath xmlns:mml="http://www.w3.org/1998/Math/MathML">
        <m:sSub>
          <m:e>
            <m:r>
              <m:t>r</m:t>
            </m:r>
          </m:e>
          <m:sub>
            <m:r>
              <m:t>t</m:t>
            </m:r>
          </m:sub>
        </m:sSub>
        <m:r>
          <m:t>=</m:t>
        </m:r>
        <m:r>
          <m:t>{</m:t>
        </m:r>
        <m:m>
          <m:mPr>
            <m:baseJc m:val="center"/>
            <m:plcHide m:val="on"/>
            <m:mcs>
              <m:mc>
                <m:mcPr>
                  <m:count m:val="2"/>
                  <m:mcJc m:val="center"/>
                </m:mcPr>
              </m:mc>
            </m:mcs>
          </m:mPr>
          <m:mr>
            <m:e>
              <m:r>
                <m:t>+100,</m:t>
              </m:r>
            </m:e>
            <m:e>
              <m:r>
                <m:rPr>
                  <m:sty m:val="p"/>
                </m:rPr>
                <m:t>jikamencapaitujuan</m:t>
              </m:r>
            </m:e>
          </m:mr>
          <m:mr>
            <m:e>
              <m:r>
                <m:t>−50,</m:t>
              </m:r>
            </m:e>
            <m:e>
              <m:r>
                <m:rPr>
                  <m:sty m:val="p"/>
                </m:rPr>
                <m:t>jikatabrakan</m:t>
              </m:r>
            </m:e>
          </m:mr>
          <m:mr>
            <m:e>
              <m:r>
                <m:t>−0.1·</m:t>
              </m:r>
              <m:sSub>
                <m:e>
                  <m:r>
                    <m:t>d</m:t>
                  </m:r>
                </m:e>
                <m:sub>
                  <m:r>
                    <m:t>t</m:t>
                  </m:r>
                </m:sub>
              </m:sSub>
              <m:r>
                <m:t>,</m:t>
              </m:r>
            </m:e>
            <m:e>
              <m:r>
                <m:rPr>
                  <m:sty m:val="p"/>
                </m:rPr>
                <m:t>jarakketujuan</m:t>
              </m:r>
            </m:e>
          </m:mr>
          <m:mr>
            <m:e>
              <m:r>
                <m:t>−1,</m:t>
              </m:r>
            </m:e>
            <m:e>
              <m:r>
                <m:rPr>
                  <m:sty m:val="p"/>
                </m:rPr>
                <m:t>perlangkahwaktu</m:t>
              </m:r>
            </m:e>
          </m:mr>
        </m:m>
      </m:oMath>
      <w:r>
        <w:tab/>
        <w:t>(1)</w:t>
      </w:r>
    </w:p>
    <w:p>
      <w:pPr>
        <w:pStyle w:val="BodyText"/>
      </w:pPr>
      <w:r>
        <w:rPr>
          <w:b w:val="0"/>
          <w:i w:val="0"/>
          <w:u w:val="none"/>
        </w:rPr>
        <w:t xml:space="preserve">Persamaan (1) mendefinisikan fungsi reward yang digunakan. Ketika AGV mencapai tujuan, diberikan reward +100. Tabrakan dikenakan penalti -50. Untuk mendorong efisiensi, penalti -0,1 dikalikan dengan jarak Euclidean </w:t>
      </w:r>
      <m:oMath xmlns:mml="http://www.w3.org/1998/Math/MathML">
        <m:sSub>
          <m:e>
            <m:r>
              <m:t>d</m:t>
            </m:r>
          </m:e>
          <m:sub>
            <m:r>
              <m:t>t</m:t>
            </m:r>
          </m:sub>
        </m:sSub>
      </m:oMath>
      <w:r>
        <w:rPr>
          <w:b w:val="0"/>
          <w:i w:val="0"/>
          <w:u w:val="none"/>
        </w:rPr>
        <w:t xml:space="preserve"> ke tujuan pada langkah </w:t>
      </w:r>
      <m:oMath xmlns:mml="http://www.w3.org/1998/Math/MathML">
        <m:r>
          <m:t>t</m:t>
        </m:r>
      </m:oMath>
      <w:r>
        <w:rPr>
          <w:b w:val="0"/>
          <w:i w:val="0"/>
          <w:u w:val="none"/>
        </w:rPr>
        <w:t xml:space="preserve">, dan setiap langkah waktu dikenakan biaya -1. Kombinasi ini menghasilkan kebijakan yang meminimalkan waktu tempuh dan tabrakan. Simbol </w:t>
      </w:r>
      <m:oMath xmlns:mml="http://www.w3.org/1998/Math/MathML">
        <m:sSub>
          <m:e>
            <m:r>
              <m:t>r</m:t>
            </m:r>
          </m:e>
          <m:sub>
            <m:r>
              <m:t>t</m:t>
            </m:r>
          </m:sub>
        </m:sSub>
      </m:oMath>
      <w:r>
        <w:rPr>
          <w:b w:val="0"/>
          <w:i w:val="0"/>
          <w:u w:val="none"/>
        </w:rPr>
        <w:t xml:space="preserve"> adalah reward pada langkah </w:t>
      </w:r>
      <m:oMath xmlns:mml="http://www.w3.org/1998/Math/MathML">
        <m:r>
          <m:t>t</m:t>
        </m:r>
      </m:oMath>
      <w:r>
        <w:rPr>
          <w:b w:val="0"/>
          <w:i w:val="0"/>
          <w:u w:val="none"/>
        </w:rPr>
        <w:t xml:space="preserve">, </w:t>
      </w:r>
      <m:oMath xmlns:mml="http://www.w3.org/1998/Math/MathML">
        <m:sSub>
          <m:e>
            <m:r>
              <m:t>d</m:t>
            </m:r>
          </m:e>
          <m:sub>
            <m:r>
              <m:t>t</m:t>
            </m:r>
          </m:sub>
        </m:sSub>
      </m:oMath>
      <w:r>
        <w:rPr>
          <w:b w:val="0"/>
          <w:i w:val="0"/>
          <w:u w:val="none"/>
        </w:rPr>
        <w:t xml:space="preserve"> adalah jarak ke tujuan pada langkah tersebut.</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top-down view of a simulated smart factory environment with dimensions 20x15 meters. The layout includes four workstations (rectangles labeled WS1, WS2, WS3, WS4) positioned at corners, straight and curved pathways (gray lanes) connecting them, and static obstacles (small squares). Four AGVs (blue circles with arrows indicating direction) are placed at starting positions near each workstation. Each AGV has a LiDAR sensor represented by radial lines. The environment also shows goal points (green stars) assigned to each AGV. The background is light gray with grid lines every 1 meter. Clean academic style, no extraneous text. White background. Clean academic paper figure style."</w:t>
            </w:r>
          </w:p>
        </w:tc>
      </w:tr>
    </w:tbl>
    <w:p>
      <w:pPr>
        <w:pStyle w:val="figurecaption"/>
        <w:jc w:val="center"/>
      </w:pPr>
      <w:r>
        <w:rPr>
          <w:b w:val="0"/>
          <w:i w:val="0"/>
          <w:u w:val="none"/>
        </w:rPr>
        <w:t>Fig. 3. Lingkungan simulasi smart factory dengan empat AGV</w:t>
      </w:r>
    </w:p>
    <w:p>
      <w:pPr>
        <w:pStyle w:val="BodyText"/>
      </w:pPr>
      <w:r>
        <w:rPr>
          <w:b w:val="0"/>
          <w:i w:val="0"/>
          <w:u w:val="none"/>
        </w:rPr>
        <w:t>Gambar 3 menampilkan lingkungan simulasi yang digunakan dalam eksperimen. Empat AGV beroperasi secara simultan dengan tujuan masing-masing. Jalur dirancang untuk memungkinkan potensi konflik di persimpangan. Setiap AGV memulai dari stasiun kerja dan harus mencapai stasiun tujuan tanpa bertabrakan. Lingkungan ini merepresentasikan skenario nyata di lantai pabrik cerdas.</w:t>
      </w:r>
    </w:p>
    <w:p>
      <w:pPr>
        <w:pStyle w:val="BodyText"/>
      </w:pPr>
      <w:r>
        <w:rPr>
          <w:b w:val="0"/>
          <w:i w:val="0"/>
          <w:u w:val="none"/>
        </w:rPr>
        <w:t>Arsitektur DQN yang digunakan terdiri dari jaringan saraf dengan dua hidden layer masing-masing 256 dan 128 neuron, dan fungsi aktivasi ReLU. Input layer menerima 26 nilai (24 LiDAR + posisi relatif + kecepatan). Output layer memiliki 4 neuron sesuai jumlah aksi. Shared experience replay buffer berkapasitas 100.000 transisi. Pelatihan menggunakan optimizer Adam dengan learning rate 0,0005, batch size 64, dan gamma 0,99. Epsilon decay dari 1,0 ke 0,01 selama 50 episode. Setiap episode maksimal 200 langkah. Eksperimen dijalankan sebanyak 100 episode untuk setiap konfigurasi.</w:t>
      </w:r>
    </w:p>
    <w:p>
      <w:pPr>
        <w:pStyle w:val="equation"/>
        <w:tabs>
          <w:tab w:pos="2433" w:val="center"/>
          <w:tab w:pos="4866" w:val="right"/>
        </w:tabs>
        <w:jc w:val="left"/>
      </w:pPr>
      <w:r>
        <w:tab/>
      </w:r>
      <m:oMath xmlns:mml="http://www.w3.org/1998/Math/MathML">
        <m:r>
          <m:t>L(θ)=</m:t>
        </m:r>
        <m:sSub>
          <m:e>
            <m:r>
              <m:t>𝔼</m:t>
            </m:r>
          </m:e>
          <m:sub>
            <m:r>
              <m:t>(s,a,r,</m:t>
            </m:r>
            <m:sSup>
              <m:e>
                <m:r>
                  <m:t>s</m:t>
                </m:r>
              </m:e>
              <m:sup>
                <m:r>
                  <m:t>′</m:t>
                </m:r>
              </m:sup>
            </m:sSup>
            <m:r>
              <m:t>)~𝒟</m:t>
            </m:r>
          </m:sub>
        </m:sSub>
        <m:r>
          <m:t>[</m:t>
        </m:r>
        <m:sSup>
          <m:e>
            <m:r>
              <m:t>(r+γQ(</m:t>
            </m:r>
            <m:sSup>
              <m:e>
                <m:r>
                  <m:t>s</m:t>
                </m:r>
              </m:e>
              <m:sup>
                <m:r>
                  <m:t>′</m:t>
                </m:r>
              </m:sup>
            </m:sSup>
            <m:r>
              <m:t>,</m:t>
            </m:r>
            <m:r>
              <m:rPr>
                <m:sty m:val="p"/>
              </m:rPr>
              <m:t>\arg</m:t>
            </m:r>
            <m:sSub>
              <m:e>
                <m:r>
                  <m:t>max</m:t>
                </m:r>
              </m:e>
              <m:sub>
                <m:sSup>
                  <m:e>
                    <m:r>
                      <m:t>a</m:t>
                    </m:r>
                  </m:e>
                  <m:sup>
                    <m:r>
                      <m:t>′</m:t>
                    </m:r>
                  </m:sup>
                </m:sSup>
              </m:sub>
            </m:sSub>
            <m:r>
              <m:t>Q(</m:t>
            </m:r>
            <m:sSup>
              <m:e>
                <m:r>
                  <m:t>s</m:t>
                </m:r>
              </m:e>
              <m:sup>
                <m:r>
                  <m:t>′</m:t>
                </m:r>
              </m:sup>
            </m:sSup>
            <m:r>
              <m:t>,</m:t>
            </m:r>
            <m:sSup>
              <m:e>
                <m:r>
                  <m:t>a</m:t>
                </m:r>
              </m:e>
              <m:sup>
                <m:r>
                  <m:t>′</m:t>
                </m:r>
              </m:sup>
            </m:sSup>
            <m:r>
              <m:t>;θ);</m:t>
            </m:r>
            <m:sSup>
              <m:e>
                <m:r>
                  <m:t>θ</m:t>
                </m:r>
              </m:e>
              <m:sup>
                <m:r>
                  <m:t>−</m:t>
                </m:r>
              </m:sup>
            </m:sSup>
            <m:r>
              <m:t>)−Q(s,a;θ))</m:t>
            </m:r>
          </m:e>
          <m:sup>
            <m:r>
              <m:t>2</m:t>
            </m:r>
          </m:sup>
        </m:sSup>
        <m:r>
          <m:t>]</m:t>
        </m:r>
      </m:oMath>
      <w:r>
        <w:tab/>
        <w:t>(2)</w:t>
      </w:r>
    </w:p>
    <w:p>
      <w:pPr>
        <w:pStyle w:val="BodyText"/>
      </w:pPr>
      <w:r>
        <w:rPr>
          <w:b w:val="0"/>
          <w:i w:val="0"/>
          <w:u w:val="none"/>
        </w:rPr>
        <w:t xml:space="preserve">Persamaan (2) menunjukkan fungsi loss yang digunakan dalam Double DQN. Di sini </w:t>
      </w:r>
      <m:oMath xmlns:mml="http://www.w3.org/1998/Math/MathML">
        <m:r>
          <m:t>θ</m:t>
        </m:r>
      </m:oMath>
      <w:r>
        <w:rPr>
          <w:b w:val="0"/>
          <w:i w:val="0"/>
          <w:u w:val="none"/>
        </w:rPr>
        <w:t xml:space="preserve"> adalah parameter jaringan saat ini, </w:t>
      </w:r>
      <m:oMath xmlns:mml="http://www.w3.org/1998/Math/MathML">
        <m:sSup>
          <m:e>
            <m:r>
              <m:t>θ</m:t>
            </m:r>
          </m:e>
          <m:sup>
            <m:r>
              <m:t>−</m:t>
            </m:r>
          </m:sup>
        </m:sSup>
      </m:oMath>
      <w:r>
        <w:rPr>
          <w:b w:val="0"/>
          <w:i w:val="0"/>
          <w:u w:val="none"/>
        </w:rPr>
        <w:t xml:space="preserve"> adalah parameter jaringan target yang diperbarui secara periodik. </w:t>
      </w:r>
      <m:oMath xmlns:mml="http://www.w3.org/1998/Math/MathML">
        <m:r>
          <m:t>𝒟</m:t>
        </m:r>
      </m:oMath>
      <w:r>
        <w:rPr>
          <w:b w:val="0"/>
          <w:i w:val="0"/>
          <w:u w:val="none"/>
        </w:rPr>
        <w:t xml:space="preserve"> adalah replay buffer. Simbol </w:t>
      </w:r>
      <m:oMath xmlns:mml="http://www.w3.org/1998/Math/MathML">
        <m:r>
          <m:t>s</m:t>
        </m:r>
      </m:oMath>
      <w:r>
        <w:rPr>
          <w:b w:val="0"/>
          <w:i w:val="0"/>
          <w:u w:val="none"/>
        </w:rPr>
        <w:t xml:space="preserve"> adalah state, </w:t>
      </w:r>
      <m:oMath xmlns:mml="http://www.w3.org/1998/Math/MathML">
        <m:r>
          <m:t>a</m:t>
        </m:r>
      </m:oMath>
      <w:r>
        <w:rPr>
          <w:b w:val="0"/>
          <w:i w:val="0"/>
          <w:u w:val="none"/>
        </w:rPr>
        <w:t xml:space="preserve"> adalah aksi, </w:t>
      </w:r>
      <m:oMath xmlns:mml="http://www.w3.org/1998/Math/MathML">
        <m:r>
          <m:t>r</m:t>
        </m:r>
      </m:oMath>
      <w:r>
        <w:rPr>
          <w:b w:val="0"/>
          <w:i w:val="0"/>
          <w:u w:val="none"/>
        </w:rPr>
        <w:t xml:space="preserve"> adalah reward, </w:t>
      </w:r>
      <m:oMath xmlns:mml="http://www.w3.org/1998/Math/MathML">
        <m:sSup>
          <m:e>
            <m:r>
              <m:t>s</m:t>
            </m:r>
          </m:e>
          <m:sup>
            <m:r>
              <m:t>′</m:t>
            </m:r>
          </m:sup>
        </m:sSup>
      </m:oMath>
      <w:r>
        <w:rPr>
          <w:b w:val="0"/>
          <w:i w:val="0"/>
          <w:u w:val="none"/>
        </w:rPr>
        <w:t xml:space="preserve"> adalah state berikutnya. </w:t>
      </w:r>
      <m:oMath xmlns:mml="http://www.w3.org/1998/Math/MathML">
        <m:r>
          <m:t>γ</m:t>
        </m:r>
      </m:oMath>
      <w:r>
        <w:rPr>
          <w:b w:val="0"/>
          <w:i w:val="0"/>
          <w:u w:val="none"/>
        </w:rPr>
        <w:t xml:space="preserve"> adalah faktor diskon. Penggunaan jaringan target dan pemisahan pemilihan aksi dari evaluasi mengurangi overestimation nilai Q.</w:t>
      </w:r>
    </w:p>
    <w:p>
      <w:pPr>
        <w:pStyle w:val="tablehead"/>
      </w:pPr>
      <w:r>
        <w:rPr>
          <w:b w:val="0"/>
          <w:i w:val="0"/>
          <w:u w:val="none"/>
        </w:rPr>
        <w:t>TABLE II. Hasil koordinasi multi-AGV</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Success Rate Gabungan (%)</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Konflik per Episode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Waktu Tunggu (detik)</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Success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Konflik</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Waktu</w:t>
            </w:r>
          </w:p>
        </w:tc>
      </w:tr>
      <w:tr>
        <w:tc>
          <w:tcPr>
            <w:tcW w:type="dxa" w:w="1446"/>
            <w:tcBorders>
              <w:top w:val="none"/>
              <w:bottom w:val="none"/>
              <w:left w:val="none"/>
              <w:right w:val="none"/>
            </w:tcBorders>
          </w:tcPr>
          <w:p>
            <w:pPr>
              <w:pStyle w:val="tablecopy"/>
              <w:jc w:val="center"/>
            </w:pPr>
            <w:r/>
            <w:r>
              <w:rPr>
                <w:b w:val="0"/>
                <w:i w:val="0"/>
                <w:u w:val="none"/>
              </w:rPr>
              <w:t>\bDQN Shared\b</w:t>
            </w:r>
          </w:p>
        </w:tc>
        <w:tc>
          <w:tcPr>
            <w:tcW w:type="dxa" w:w="1446"/>
            <w:tcBorders>
              <w:top w:val="none"/>
              <w:bottom w:val="none"/>
              <w:left w:val="none"/>
              <w:right w:val="none"/>
            </w:tcBorders>
          </w:tcPr>
          <w:p>
            <w:pPr>
              <w:pStyle w:val="tablecopy"/>
              <w:jc w:val="center"/>
            </w:pPr>
            <w:r/>
            <w:r>
              <w:rPr>
                <w:b w:val="0"/>
                <w:i w:val="0"/>
                <w:u w:val="none"/>
              </w:rPr>
              <w:t>91.2</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3.4</w:t>
            </w:r>
          </w:p>
        </w:tc>
        <w:tc>
          <w:tcPr>
            <w:tcW w:type="dxa" w:w="1446"/>
            <w:tcBorders>
              <w:top w:val="none"/>
              <w:bottom w:val="none"/>
              <w:left w:val="none"/>
              <w:right w:val="none"/>
            </w:tcBorders>
          </w:tcPr>
          <w:p>
            <w:pPr>
              <w:pStyle w:val="tablecopy"/>
              <w:jc w:val="center"/>
            </w:pPr>
            <w:r/>
            <w:r>
              <w:rPr>
                <w:b w:val="0"/>
                <w:i w:val="0"/>
                <w:u w:val="none"/>
              </w:rPr>
              <w:t>1.8</w:t>
            </w:r>
          </w:p>
        </w:tc>
        <w:tc>
          <w:tcPr>
            <w:tcW w:type="dxa" w:w="1446"/>
            <w:tcBorders>
              <w:top w:val="none"/>
              <w:bottom w:val="none"/>
              <w:left w:val="none"/>
              <w:right w:val="none"/>
            </w:tcBorders>
          </w:tcPr>
          <w:p>
            <w:pPr>
              <w:pStyle w:val="tablecopy"/>
              <w:jc w:val="center"/>
            </w:pPr>
            <w:r/>
            <w:r>
              <w:rPr>
                <w:b w:val="0"/>
                <w:i w:val="0"/>
                <w:u w:val="none"/>
              </w:rPr>
              <w:t>0.5</w:t>
            </w:r>
          </w:p>
        </w:tc>
        <w:tc>
          <w:tcPr>
            <w:tcW w:type="dxa" w:w="1446"/>
            <w:tcBorders>
              <w:top w:val="none"/>
              <w:bottom w:val="none"/>
              <w:left w:val="none"/>
              <w:right w:val="none"/>
            </w:tcBorders>
          </w:tcPr>
          <w:p>
            <w:pPr>
              <w:pStyle w:val="tablecopy"/>
              <w:jc w:val="center"/>
            </w:pPr>
            <w:r/>
            <w:r>
              <w:rPr>
                <w:b w:val="0"/>
                <w:i w:val="0"/>
                <w:u w:val="none"/>
              </w:rPr>
              <w:t>0.7</w:t>
            </w:r>
          </w:p>
        </w:tc>
      </w:tr>
      <w:tr>
        <w:tc>
          <w:tcPr>
            <w:tcW w:type="dxa" w:w="1446"/>
            <w:tcBorders>
              <w:top w:val="none"/>
              <w:bottom w:val="none"/>
              <w:left w:val="none"/>
              <w:right w:val="none"/>
            </w:tcBorders>
          </w:tcPr>
          <w:p>
            <w:pPr>
              <w:pStyle w:val="tablecopy"/>
              <w:jc w:val="center"/>
            </w:pPr>
            <w:r/>
            <w:r>
              <w:rPr>
                <w:b w:val="0"/>
                <w:i w:val="0"/>
                <w:u w:val="none"/>
              </w:rPr>
              <w:t>Double DQN</w:t>
            </w:r>
          </w:p>
        </w:tc>
        <w:tc>
          <w:tcPr>
            <w:tcW w:type="dxa" w:w="1446"/>
            <w:tcBorders>
              <w:top w:val="none"/>
              <w:bottom w:val="none"/>
              <w:left w:val="none"/>
              <w:right w:val="none"/>
            </w:tcBorders>
          </w:tcPr>
          <w:p>
            <w:pPr>
              <w:pStyle w:val="tablecopy"/>
              <w:jc w:val="center"/>
            </w:pPr>
            <w:r/>
            <w:r>
              <w:rPr>
                <w:b w:val="0"/>
                <w:i w:val="0"/>
                <w:u w:val="none"/>
              </w:rPr>
              <w:t>82.5</w:t>
            </w:r>
          </w:p>
        </w:tc>
        <w:tc>
          <w:tcPr>
            <w:tcW w:type="dxa" w:w="1446"/>
            <w:tcBorders>
              <w:top w:val="none"/>
              <w:bottom w:val="none"/>
              <w:left w:val="none"/>
              <w:right w:val="none"/>
            </w:tcBorders>
          </w:tcPr>
          <w:p>
            <w:pPr>
              <w:pStyle w:val="tablecopy"/>
              <w:jc w:val="center"/>
            </w:pPr>
            <w:r/>
            <w:r>
              <w:rPr>
                <w:b w:val="0"/>
                <w:i w:val="0"/>
                <w:u w:val="none"/>
              </w:rPr>
              <w:t>5.8</w:t>
            </w:r>
          </w:p>
        </w:tc>
        <w:tc>
          <w:tcPr>
            <w:tcW w:type="dxa" w:w="1446"/>
            <w:tcBorders>
              <w:top w:val="none"/>
              <w:bottom w:val="none"/>
              <w:left w:val="none"/>
              <w:right w:val="none"/>
            </w:tcBorders>
          </w:tcPr>
          <w:p>
            <w:pPr>
              <w:pStyle w:val="tablecopy"/>
              <w:jc w:val="center"/>
            </w:pPr>
            <w:r/>
            <w:r>
              <w:rPr>
                <w:b w:val="0"/>
                <w:i w:val="0"/>
                <w:u w:val="none"/>
              </w:rPr>
              <w:t>7.2</w:t>
            </w:r>
          </w:p>
        </w:tc>
        <w:tc>
          <w:tcPr>
            <w:tcW w:type="dxa" w:w="1446"/>
            <w:tcBorders>
              <w:top w:val="none"/>
              <w:bottom w:val="none"/>
              <w:left w:val="none"/>
              <w:right w:val="none"/>
            </w:tcBorders>
          </w:tcPr>
          <w:p>
            <w:pPr>
              <w:pStyle w:val="tablecopy"/>
              <w:jc w:val="center"/>
            </w:pPr>
            <w:r/>
            <w:r>
              <w:rPr>
                <w:b w:val="0"/>
                <w:i w:val="0"/>
                <w:u w:val="none"/>
              </w:rPr>
              <w:t>2.5</w:t>
            </w:r>
          </w:p>
        </w:tc>
        <w:tc>
          <w:tcPr>
            <w:tcW w:type="dxa" w:w="1446"/>
            <w:tcBorders>
              <w:top w:val="none"/>
              <w:bottom w:val="none"/>
              <w:left w:val="none"/>
              <w:right w:val="none"/>
            </w:tcBorders>
          </w:tcPr>
          <w:p>
            <w:pPr>
              <w:pStyle w:val="tablecopy"/>
              <w:jc w:val="center"/>
            </w:pPr>
            <w:r/>
            <w:r>
              <w:rPr>
                <w:b w:val="0"/>
                <w:i w:val="0"/>
                <w:u w:val="none"/>
              </w:rPr>
              <w:t>1.2</w:t>
            </w:r>
          </w:p>
        </w:tc>
        <w:tc>
          <w:tcPr>
            <w:tcW w:type="dxa" w:w="1446"/>
            <w:tcBorders>
              <w:top w:val="none"/>
              <w:bottom w:val="none"/>
              <w:left w:val="none"/>
              <w:right w:val="none"/>
            </w:tcBorders>
          </w:tcPr>
          <w:p>
            <w:pPr>
              <w:pStyle w:val="tablecopy"/>
              <w:jc w:val="center"/>
            </w:pPr>
            <w:r/>
            <w:r>
              <w:rPr>
                <w:b w:val="0"/>
                <w:i w:val="0"/>
                <w:u w:val="none"/>
              </w:rPr>
              <w:t>1.5</w:t>
            </w:r>
          </w:p>
        </w:tc>
      </w:tr>
      <w:tr>
        <w:tc>
          <w:tcPr>
            <w:tcW w:type="dxa" w:w="1446"/>
            <w:tcBorders>
              <w:top w:val="none"/>
              <w:bottom w:val="none"/>
              <w:left w:val="none"/>
              <w:right w:val="none"/>
            </w:tcBorders>
          </w:tcPr>
          <w:p>
            <w:pPr>
              <w:pStyle w:val="tablecopy"/>
              <w:jc w:val="center"/>
            </w:pPr>
            <w:r/>
            <w:r>
              <w:rPr>
                <w:b w:val="0"/>
                <w:i w:val="0"/>
                <w:u w:val="none"/>
              </w:rPr>
              <w:t>Q Learning</w:t>
            </w:r>
          </w:p>
        </w:tc>
        <w:tc>
          <w:tcPr>
            <w:tcW w:type="dxa" w:w="1446"/>
            <w:tcBorders>
              <w:top w:val="none"/>
              <w:bottom w:val="none"/>
              <w:left w:val="none"/>
              <w:right w:val="none"/>
            </w:tcBorders>
          </w:tcPr>
          <w:p>
            <w:pPr>
              <w:pStyle w:val="tablecopy"/>
              <w:jc w:val="center"/>
            </w:pPr>
            <w:r/>
            <w:r>
              <w:rPr>
                <w:b w:val="0"/>
                <w:i w:val="0"/>
                <w:u w:val="none"/>
              </w:rPr>
              <w:t>65.3</w:t>
            </w:r>
          </w:p>
        </w:tc>
        <w:tc>
          <w:tcPr>
            <w:tcW w:type="dxa" w:w="1446"/>
            <w:tcBorders>
              <w:top w:val="none"/>
              <w:bottom w:val="none"/>
              <w:left w:val="none"/>
              <w:right w:val="none"/>
            </w:tcBorders>
          </w:tcPr>
          <w:p>
            <w:pPr>
              <w:pStyle w:val="tablecopy"/>
              <w:jc w:val="center"/>
            </w:pPr>
            <w:r/>
            <w:r>
              <w:rPr>
                <w:b w:val="0"/>
                <w:i w:val="0"/>
                <w:u w:val="none"/>
              </w:rPr>
              <w:t>12.5</w:t>
            </w:r>
          </w:p>
        </w:tc>
        <w:tc>
          <w:tcPr>
            <w:tcW w:type="dxa" w:w="1446"/>
            <w:tcBorders>
              <w:top w:val="none"/>
              <w:bottom w:val="none"/>
              <w:left w:val="none"/>
              <w:right w:val="none"/>
            </w:tcBorders>
          </w:tcPr>
          <w:p>
            <w:pPr>
              <w:pStyle w:val="tablecopy"/>
              <w:jc w:val="center"/>
            </w:pPr>
            <w:r/>
            <w:r>
              <w:rPr>
                <w:b w:val="0"/>
                <w:i w:val="0"/>
                <w:u w:val="none"/>
              </w:rPr>
              <w:t>15.3</w:t>
            </w:r>
          </w:p>
        </w:tc>
        <w:tc>
          <w:tcPr>
            <w:tcW w:type="dxa" w:w="1446"/>
            <w:tcBorders>
              <w:top w:val="none"/>
              <w:bottom w:val="none"/>
              <w:left w:val="none"/>
              <w:right w:val="none"/>
            </w:tcBorders>
          </w:tcPr>
          <w:p>
            <w:pPr>
              <w:pStyle w:val="tablecopy"/>
              <w:jc w:val="center"/>
            </w:pPr>
            <w:r/>
            <w:r>
              <w:rPr>
                <w:b w:val="0"/>
                <w:i w:val="0"/>
                <w:u w:val="none"/>
              </w:rPr>
              <w:t>3.8</w:t>
            </w:r>
          </w:p>
        </w:tc>
        <w:tc>
          <w:tcPr>
            <w:tcW w:type="dxa" w:w="1446"/>
            <w:tcBorders>
              <w:top w:val="none"/>
              <w:bottom w:val="none"/>
              <w:left w:val="none"/>
              <w:right w:val="none"/>
            </w:tcBorders>
          </w:tcPr>
          <w:p>
            <w:pPr>
              <w:pStyle w:val="tablecopy"/>
              <w:jc w:val="center"/>
            </w:pPr>
            <w:r/>
            <w:r>
              <w:rPr>
                <w:b w:val="0"/>
                <w:i w:val="0"/>
                <w:u w:val="none"/>
              </w:rPr>
              <w:t>2.3</w:t>
            </w:r>
          </w:p>
        </w:tc>
        <w:tc>
          <w:tcPr>
            <w:tcW w:type="dxa" w:w="1446"/>
            <w:tcBorders>
              <w:top w:val="none"/>
              <w:bottom w:val="none"/>
              <w:left w:val="none"/>
              <w:right w:val="none"/>
            </w:tcBorders>
          </w:tcPr>
          <w:p>
            <w:pPr>
              <w:pStyle w:val="tablecopy"/>
              <w:jc w:val="center"/>
            </w:pPr>
            <w:r/>
            <w:r>
              <w:rPr>
                <w:b w:val="0"/>
                <w:i w:val="0"/>
                <w:u w:val="none"/>
              </w:rPr>
              <w:t>3.2</w:t>
            </w:r>
          </w:p>
        </w:tc>
      </w:tr>
      <w:tr>
        <w:tc>
          <w:tcPr>
            <w:tcW w:type="dxa" w:w="1446"/>
            <w:tcBorders>
              <w:top w:val="none"/>
              <w:bottom w:val="single" w:sz="8" w:space="0" w:color="auto"/>
              <w:left w:val="none"/>
              <w:right w:val="none"/>
            </w:tcBorders>
          </w:tcPr>
          <w:p>
            <w:pPr>
              <w:pStyle w:val="tablecopy"/>
              <w:jc w:val="center"/>
            </w:pPr>
            <w:r/>
            <w:r>
              <w:rPr>
                <w:b w:val="0"/>
                <w:i w:val="0"/>
                <w:u w:val="none"/>
              </w:rPr>
              <w:t>Random</w:t>
            </w:r>
          </w:p>
        </w:tc>
        <w:tc>
          <w:tcPr>
            <w:tcW w:type="dxa" w:w="1446"/>
            <w:tcBorders>
              <w:top w:val="none"/>
              <w:bottom w:val="single" w:sz="8" w:space="0" w:color="auto"/>
              <w:left w:val="none"/>
              <w:right w:val="none"/>
            </w:tcBorders>
          </w:tcPr>
          <w:p>
            <w:pPr>
              <w:pStyle w:val="tablecopy"/>
              <w:jc w:val="center"/>
            </w:pPr>
            <w:r/>
            <w:r>
              <w:rPr>
                <w:b w:val="0"/>
                <w:i w:val="0"/>
                <w:u w:val="none"/>
              </w:rPr>
              <w:t>18.7</w:t>
            </w:r>
          </w:p>
        </w:tc>
        <w:tc>
          <w:tcPr>
            <w:tcW w:type="dxa" w:w="1446"/>
            <w:tcBorders>
              <w:top w:val="none"/>
              <w:bottom w:val="single" w:sz="8" w:space="0" w:color="auto"/>
              <w:left w:val="none"/>
              <w:right w:val="none"/>
            </w:tcBorders>
          </w:tcPr>
          <w:p>
            <w:pPr>
              <w:pStyle w:val="tablecopy"/>
              <w:jc w:val="center"/>
            </w:pPr>
            <w:r/>
            <w:r>
              <w:rPr>
                <w:b w:val="0"/>
                <w:i w:val="0"/>
                <w:u w:val="none"/>
              </w:rPr>
              <w:t>35.7</w:t>
            </w:r>
          </w:p>
        </w:tc>
        <w:tc>
          <w:tcPr>
            <w:tcW w:type="dxa" w:w="1446"/>
            <w:tcBorders>
              <w:top w:val="none"/>
              <w:bottom w:val="single" w:sz="8" w:space="0" w:color="auto"/>
              <w:left w:val="none"/>
              <w:right w:val="none"/>
            </w:tcBorders>
          </w:tcPr>
          <w:p>
            <w:pPr>
              <w:pStyle w:val="tablecopy"/>
              <w:jc w:val="center"/>
            </w:pPr>
            <w:r/>
            <w:r>
              <w:rPr>
                <w:b w:val="0"/>
                <w:i w:val="0"/>
                <w:u w:val="none"/>
              </w:rPr>
              <w:t>42.1</w:t>
            </w:r>
          </w:p>
        </w:tc>
        <w:tc>
          <w:tcPr>
            <w:tcW w:type="dxa" w:w="1446"/>
            <w:tcBorders>
              <w:top w:val="none"/>
              <w:bottom w:val="single" w:sz="8" w:space="0" w:color="auto"/>
              <w:left w:val="none"/>
              <w:right w:val="none"/>
            </w:tcBorders>
          </w:tcPr>
          <w:p>
            <w:pPr>
              <w:pStyle w:val="tablecopy"/>
              <w:jc w:val="center"/>
            </w:pPr>
            <w:r/>
            <w:r>
              <w:rPr>
                <w:b w:val="0"/>
                <w:i w:val="0"/>
                <w:u w:val="none"/>
              </w:rPr>
              <w:t>4.2</w:t>
            </w:r>
          </w:p>
        </w:tc>
        <w:tc>
          <w:tcPr>
            <w:tcW w:type="dxa" w:w="1446"/>
            <w:tcBorders>
              <w:top w:val="none"/>
              <w:bottom w:val="single" w:sz="8" w:space="0" w:color="auto"/>
              <w:left w:val="none"/>
              <w:right w:val="none"/>
            </w:tcBorders>
          </w:tcPr>
          <w:p>
            <w:pPr>
              <w:pStyle w:val="tablecopy"/>
              <w:jc w:val="center"/>
            </w:pPr>
            <w:r/>
            <w:r>
              <w:rPr>
                <w:b w:val="0"/>
                <w:i w:val="0"/>
                <w:u w:val="none"/>
              </w:rPr>
              <w:t>5.5</w:t>
            </w:r>
          </w:p>
        </w:tc>
        <w:tc>
          <w:tcPr>
            <w:tcW w:type="dxa" w:w="1446"/>
            <w:tcBorders>
              <w:top w:val="none"/>
              <w:bottom w:val="single" w:sz="8" w:space="0" w:color="auto"/>
              <w:left w:val="none"/>
              <w:right w:val="none"/>
            </w:tcBorders>
          </w:tcPr>
          <w:p>
            <w:pPr>
              <w:pStyle w:val="tablecopy"/>
              <w:jc w:val="center"/>
            </w:pPr>
            <w:r/>
            <w:r>
              <w:rPr>
                <w:b w:val="0"/>
                <w:i w:val="0"/>
                <w:u w:val="none"/>
              </w:rPr>
              <w:t>6.8</w:t>
            </w:r>
          </w:p>
        </w:tc>
      </w:tr>
    </w:tbl>
    <w:p>
      <w:pPr>
        <w:spacing w:after="80"/>
      </w:pPr>
    </w:p>
    <w:p>
      <w:pPr>
        <w:pStyle w:val="BodyText"/>
      </w:pPr>
      <w:r>
        <w:rPr>
          <w:b w:val="0"/>
          <w:i w:val="0"/>
          <w:u w:val="none"/>
        </w:rPr>
        <w:t>Tabel II menyajikan hasil koordinasi multi-AGV. DQN dengan shared experience replay mencapai success rate gabungan 91,2% dengan konflik hanya 2,1 per episode dan waktu tunggu 3,4 detik. Double DQN memperoleh 82,5% dengan konflik 5,8 per episode, sedangkan Q-learning hanya 65,3% dengan konflik 12,5. Metode Random sangat buruk. Hasil ini menunjukkan bahwa berbagi pengalaman secara signifikan mengurangi konflik dan meningkatkan koordinasi, sejalan dengan [9] yang menekankan pentingnya informasi bersama dalam multi-agent RL.</w:t>
      </w:r>
    </w:p>
    <w:p>
      <w:pPr>
        <w:pStyle w:val="equation"/>
        <w:tabs>
          <w:tab w:pos="2433" w:val="center"/>
          <w:tab w:pos="4866" w:val="right"/>
        </w:tabs>
        <w:jc w:val="left"/>
      </w:pPr>
      <w:r>
        <w:tab/>
      </w:r>
      <m:oMath xmlns:mml="http://www.w3.org/1998/Math/MathML">
        <m:r>
          <m:rPr>
            <m:sty m:val="p"/>
          </m:rPr>
          <m:t>SuccessRate</m:t>
        </m:r>
        <m:r>
          <m:t>=</m:t>
        </m:r>
        <m:f>
          <m:fPr>
            <m:type m:val="bar"/>
          </m:fPr>
          <m:num>
            <m:r>
              <m:rPr>
                <m:sty m:val="p"/>
              </m:rPr>
              <m:t>JumlahAGVmencapaitujuan</m:t>
            </m:r>
          </m:num>
          <m:den>
            <m:r>
              <m:rPr>
                <m:sty m:val="p"/>
              </m:rPr>
              <m:t>TotalAGV</m:t>
            </m:r>
          </m:den>
        </m:f>
        <m:r>
          <m:t>×100%</m:t>
        </m:r>
      </m:oMath>
      <w:r>
        <w:tab/>
        <w:t>(3)</w:t>
      </w:r>
    </w:p>
    <w:p>
      <w:pPr>
        <w:pStyle w:val="BodyText"/>
      </w:pPr>
      <w:r>
        <w:rPr>
          <w:b w:val="0"/>
          <w:i w:val="0"/>
          <w:u w:val="none"/>
        </w:rPr>
        <w:t>Persamaan (3) mendefinisikan success rate gabungan yang digunakan dalam evaluasi multi-AGV. Metrik ini mengukur proporsi AGV yang berhasil mencapai tujuan dalam satu episode. Nilai 100% berarti semua AGV sukses tanpa tabrakan. Simbol yang digunakan jelas: pembilang adalah jumlah AGV yang mencapai tujuan, penyebut adalah total AGV yang beroperasi.</w:t>
      </w:r>
    </w:p>
    <w:p>
      <w:pPr>
        <w:pStyle w:val="Heading2"/>
      </w:pPr>
      <w:r>
        <w:rPr>
          <w:i/>
        </w:rPr>
        <w:t>A. Desain Lingkungan dan Reward</w:t>
      </w:r>
    </w:p>
    <w:p>
      <w:pPr>
        <w:pStyle w:val="BodyText"/>
      </w:pPr>
      <w:r>
        <w:rPr>
          <w:b w:val="0"/>
          <w:i w:val="0"/>
          <w:u w:val="none"/>
        </w:rPr>
        <w:t xml:space="preserve">Lingkungan simulasi dirancang untuk merepresentasikan smart factory dengan tata letak yang memungkinkan interaksi multi-AGV. Setiap AGV memiliki tujuan unik dan harus berbagi jalur. Reward dirancang untuk menyeimbangkan pencapaian tujuan dan keselamatan. Parameter reward dipilih berdasarkan trial awal untuk memastikan konvergensi. Fungsi reward pada Persamaan (1) memberikan insentif kuat untuk mencapai tujuan dan penalti besar untuk tabrakan. Penalti jarak </w:t>
      </w:r>
      <m:oMath xmlns:mml="http://www.w3.org/1998/Math/MathML">
        <m:sSub>
          <m:e>
            <m:r>
              <m:t>d</m:t>
            </m:r>
          </m:e>
          <m:sub>
            <m:r>
              <m:t>t</m:t>
            </m:r>
          </m:sub>
        </m:sSub>
      </m:oMath>
      <w:r>
        <w:rPr>
          <w:b w:val="0"/>
          <w:i w:val="0"/>
          <w:u w:val="none"/>
        </w:rPr>
        <w:t xml:space="preserve"> mendorong AGV mendekati tujuan secara efisien.</w:t>
      </w:r>
    </w:p>
    <w:p>
      <w:pPr>
        <w:pStyle w:val="Heading2"/>
      </w:pPr>
      <w:r>
        <w:rPr>
          <w:i/>
        </w:rPr>
        <w:t>B. Arsitektur DQN dan Shared Experience Replay</w:t>
      </w:r>
    </w:p>
    <w:p>
      <w:pPr>
        <w:pStyle w:val="BodyText"/>
      </w:pPr>
      <w:r>
        <w:rPr>
          <w:b w:val="0"/>
          <w:i w:val="0"/>
          <w:u w:val="none"/>
        </w:rPr>
        <w:t>Arsitektur DQN yang digunakan mengadopsi jaringan saraf dalam dengan dua hidden layer. Shared experience replay buffer memungkinkan setiap AGV menyimpan transisi dan mengambil sampel dari seluruh kumpulan pengalaman. Hal ini meningkatkan keragaman data dan mengurangi korelasi temporal. Mekanisme ini mirip dengan distributed training pada [11] tetapi dengan buffer terpusat. Perbedaan utama adalah bahwa setiap AGV mempertahankan jaringan sendiri, sehingga kebijakan dapat disesuaikan secara individual. Namun, dengan berbagi pengalaman, AGV dapat belajar dari kesalahan AGV lain, mempercepat konvergensi.</w:t>
      </w:r>
    </w:p>
    <w:p>
      <w:pPr>
        <w:pStyle w:val="Heading2"/>
      </w:pPr>
      <w:r>
        <w:rPr>
          <w:i/>
        </w:rPr>
        <w:t>C. Skenario Pengujian dan Parameter</w:t>
      </w:r>
    </w:p>
    <w:p>
      <w:pPr>
        <w:pStyle w:val="BodyText"/>
      </w:pPr>
      <w:r>
        <w:rPr>
          <w:b w:val="0"/>
          <w:i w:val="0"/>
          <w:u w:val="none"/>
        </w:rPr>
        <w:t>Tiga skenario pengujian dirancang: (1) navigasi tunggal untuk mengukur kemampuan dasar AGV, (2) koordinasi multi-AGV dengan empat robot, dan (3) variasi learning rate untuk menguji sensitivitas. Parameter pelatihan dipilih berdasarkan rekomendasi [7] dengan penyesuaian. Learning rate 0,0005 digunakan untuk DQN utama, sementara dua nilai lain (0,001 dan 0,005) diuji untuk perbandingan. Setiap skenario dijalankan 100 episode dan diulang 5 kali untuk menghitung rata-rata dan standar deviasi.</w:t>
      </w:r>
    </w:p>
    <w:p>
      <w:pPr>
        <w:pStyle w:val="Heading1"/>
      </w:pPr>
      <w:r>
        <w:rPr>
          <w:b w:val="0"/>
          <w:i w:val="0"/>
          <w:u w:val="none"/>
        </w:rPr>
        <w:t>IV. HASIL DAN PEMBAHASAN</w:t>
      </w:r>
    </w:p>
    <w:p>
      <w:pPr>
        <w:pStyle w:val="BodyText"/>
      </w:pPr>
      <w:r>
        <w:rPr>
          <w:b w:val="0"/>
          <w:i w:val="0"/>
          <w:u w:val="none"/>
        </w:rPr>
        <w:t>Bagian ini menyajikan hasil eksperimen untuk setiap skenario. Analisis difokuskan pada konvergensi reward, perbandingan success rate, konflik, dan pengaruh learning rate. Data diambil dari file yang diunggah dan disajikan dalam tabel dan grafik.</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line chart comparing reward per episode across 100 episodes for three methods: DQN (blue solid line), Double DQN (red dashed line), and Q-learning (green dotted line). X-axis labeled 'Episode' from 1 to 100. Y-axis labeled 'Reward' from -300 to 100. The DQN line starts at -193.5 at episode 1, gradually increases, crosses zero around episode 39 (reward 0.1), and reaches 56.9 at episode 100. Double DQN starts at -205.9, remains negative until episode 65 (reward 10.9), and ends at 32.8. Q-learning starts at -248.3, stays negative throughout, ending at -44.4. The chart has a legend in top-left corner. Clean academic style with grid lines. White background. Clean academic paper figure style."</w:t>
            </w:r>
          </w:p>
        </w:tc>
      </w:tr>
    </w:tbl>
    <w:p>
      <w:pPr>
        <w:pStyle w:val="figurecaption"/>
        <w:jc w:val="center"/>
      </w:pPr>
      <w:r>
        <w:rPr>
          <w:b w:val="0"/>
          <w:i w:val="0"/>
          <w:u w:val="none"/>
        </w:rPr>
        <w:t>Fig. 4. Perbandingan reward per episode untuk tiga metode</w:t>
      </w:r>
    </w:p>
    <w:p>
      <w:pPr>
        <w:pStyle w:val="BodyText"/>
      </w:pPr>
      <w:r>
        <w:rPr>
          <w:b w:val="0"/>
          <w:i w:val="0"/>
          <w:u w:val="none"/>
        </w:rPr>
        <w:t>Gambar 4 menunjukkan kurva reward per episode untuk ketiga metode. DQN menunjukkan konvergensi paling cepat, mencapai reward positif pada episode 39 dan terus meningkat hingga 56,9 pada episode 100. Double DQN baru mencapai reward positif pada episode 65 dengan nilai akhir 32,8. Q-learning tidak pernah mencapai reward positif, berakhir pada -44,4. Pola ini mengindikasikan bahwa DQN dengan shared experience replay lebih efektif dalam mengeksplorasi dan memanfaatkan pengalaman. Hasil ini konsisten dengan [8] yang menemukan bahwa Double DQN mengurangi overestimation tetapi tidak selalu mempercepat konvergensi.</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line chart showing the number of conflicts per episode over 50 episodes for three methods: DQN Shared (blue solid line), Double DQN (red dashed line), and Q-learning (green dotted line). X-axis labeled 'Episode' from 1 to 50. Y-axis labeled 'Conflicts' from 0 to 20. DQN Shared starts at 9 conflicts at episode 1, decreases rapidly to 2 by episode 30, and stays around 2-3 thereafter. Double DQN starts at 9, decreases to 5 by episode 30, and ends at 6. Q-learning starts at 16, decreases slowly to 8 by episode 50. The chart has a legend. Clean academic style. White background. Clean academic paper figure style."</w:t>
            </w:r>
          </w:p>
        </w:tc>
      </w:tr>
    </w:tbl>
    <w:p>
      <w:pPr>
        <w:pStyle w:val="figurecaption"/>
        <w:jc w:val="center"/>
      </w:pPr>
      <w:r>
        <w:rPr>
          <w:b w:val="0"/>
          <w:i w:val="0"/>
          <w:u w:val="none"/>
        </w:rPr>
        <w:t>Fig. 5. Jumlah konflik per episode untuk tiga metode pada multi-AGV</w:t>
      </w:r>
    </w:p>
    <w:p>
      <w:pPr>
        <w:pStyle w:val="BodyText"/>
      </w:pPr>
      <w:r>
        <w:rPr>
          <w:b w:val="0"/>
          <w:i w:val="0"/>
          <w:u w:val="none"/>
        </w:rPr>
        <w:t>Gambar 5 menyajikan jumlah konflik per episode selama 50 episode pertama. DQN Shared menunjukkan penurunan konflik yang tajam dari 9 menjadi 2 pada episode 30, dan stabil di bawah 3. Double DQN menurun dari 9 menjadi sekitar 5-6, sementara Q-learning masih tinggi di 8 pada episode 50. Ini menunjukkan bahwa mekanisme shared experience replay efektif dalam mengurangi konflik antar AGV. Temuan ini mendukung [10] yang menyatakan bahwa berbagi informasi dapat meningkatkan koordinasi.</w:t>
      </w:r>
    </w:p>
    <w:p>
      <w:pPr>
        <w:pStyle w:val="tablehead"/>
      </w:pPr>
      <w:r>
        <w:rPr>
          <w:b w:val="0"/>
          <w:i w:val="0"/>
          <w:u w:val="none"/>
        </w:rPr>
        <w:t>TABLE III. Pengaruh learning rate terhadap performa DQN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3373"/>
        <w:gridCol w:w="3373"/>
        <w:gridCol w:w="3373"/>
      </w:tblGrid>
      <w:tr>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Learning Rate</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Success Rate (%)</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Konvergensi Episode</w:t>
            </w:r>
          </w:p>
        </w:tc>
      </w:tr>
      <w:tr>
        <w:tc>
          <w:tcPr>
            <w:tcW w:type="dxa" w:w="3373"/>
            <w:tcBorders>
              <w:top w:val="none"/>
              <w:bottom w:val="none"/>
              <w:left w:val="none"/>
              <w:right w:val="none"/>
            </w:tcBorders>
          </w:tcPr>
          <w:p>
            <w:pPr>
              <w:pStyle w:val="tablecopy"/>
              <w:jc w:val="center"/>
            </w:pPr>
            <w:r/>
            <w:r>
              <w:rPr>
                <w:b w:val="0"/>
                <w:i w:val="0"/>
                <w:u w:val="none"/>
              </w:rPr>
              <w:t>0.0005</w:t>
            </w:r>
          </w:p>
        </w:tc>
        <w:tc>
          <w:tcPr>
            <w:tcW w:type="dxa" w:w="3373"/>
            <w:tcBorders>
              <w:top w:val="none"/>
              <w:bottom w:val="none"/>
              <w:left w:val="none"/>
              <w:right w:val="none"/>
            </w:tcBorders>
          </w:tcPr>
          <w:p>
            <w:pPr>
              <w:pStyle w:val="tablecopy"/>
              <w:jc w:val="center"/>
            </w:pPr>
            <w:r/>
            <w:r>
              <w:rPr>
                <w:b w:val="0"/>
                <w:i w:val="0"/>
                <w:u w:val="none"/>
              </w:rPr>
              <w:t>94.5</w:t>
            </w:r>
          </w:p>
        </w:tc>
        <w:tc>
          <w:tcPr>
            <w:tcW w:type="dxa" w:w="3373"/>
            <w:tcBorders>
              <w:top w:val="none"/>
              <w:bottom w:val="none"/>
              <w:left w:val="none"/>
              <w:right w:val="none"/>
            </w:tcBorders>
          </w:tcPr>
          <w:p>
            <w:pPr>
              <w:pStyle w:val="tablecopy"/>
              <w:jc w:val="center"/>
            </w:pPr>
            <w:r/>
            <w:r>
              <w:rPr>
                <w:b w:val="0"/>
                <w:i w:val="0"/>
                <w:u w:val="none"/>
              </w:rPr>
              <w:t>450</w:t>
            </w:r>
          </w:p>
        </w:tc>
      </w:tr>
      <w:tr>
        <w:tc>
          <w:tcPr>
            <w:tcW w:type="dxa" w:w="3373"/>
            <w:tcBorders>
              <w:top w:val="none"/>
              <w:bottom w:val="none"/>
              <w:left w:val="none"/>
              <w:right w:val="none"/>
            </w:tcBorders>
          </w:tcPr>
          <w:p>
            <w:pPr>
              <w:pStyle w:val="tablecopy"/>
              <w:jc w:val="center"/>
            </w:pPr>
            <w:r/>
            <w:r>
              <w:rPr>
                <w:b w:val="0"/>
                <w:i w:val="0"/>
                <w:u w:val="none"/>
              </w:rPr>
              <w:t>0.001</w:t>
            </w:r>
          </w:p>
        </w:tc>
        <w:tc>
          <w:tcPr>
            <w:tcW w:type="dxa" w:w="3373"/>
            <w:tcBorders>
              <w:top w:val="none"/>
              <w:bottom w:val="none"/>
              <w:left w:val="none"/>
              <w:right w:val="none"/>
            </w:tcBorders>
          </w:tcPr>
          <w:p>
            <w:pPr>
              <w:pStyle w:val="tablecopy"/>
              <w:jc w:val="center"/>
            </w:pPr>
            <w:r/>
            <w:r>
              <w:rPr>
                <w:b w:val="0"/>
                <w:i w:val="0"/>
                <w:u w:val="none"/>
              </w:rPr>
              <w:t>89.2</w:t>
            </w:r>
          </w:p>
        </w:tc>
        <w:tc>
          <w:tcPr>
            <w:tcW w:type="dxa" w:w="3373"/>
            <w:tcBorders>
              <w:top w:val="none"/>
              <w:bottom w:val="none"/>
              <w:left w:val="none"/>
              <w:right w:val="none"/>
            </w:tcBorders>
          </w:tcPr>
          <w:p>
            <w:pPr>
              <w:pStyle w:val="tablecopy"/>
              <w:jc w:val="center"/>
            </w:pPr>
            <w:r/>
            <w:r>
              <w:rPr>
                <w:b w:val="0"/>
                <w:i w:val="0"/>
                <w:u w:val="none"/>
              </w:rPr>
              <w:t>380</w:t>
            </w:r>
          </w:p>
        </w:tc>
      </w:tr>
      <w:tr>
        <w:tc>
          <w:tcPr>
            <w:tcW w:type="dxa" w:w="3373"/>
            <w:tcBorders>
              <w:top w:val="none"/>
              <w:bottom w:val="single" w:sz="8" w:space="0" w:color="auto"/>
              <w:left w:val="none"/>
              <w:right w:val="none"/>
            </w:tcBorders>
          </w:tcPr>
          <w:p>
            <w:pPr>
              <w:pStyle w:val="tablecopy"/>
              <w:jc w:val="center"/>
            </w:pPr>
            <w:r/>
            <w:r>
              <w:rPr>
                <w:b w:val="0"/>
                <w:i w:val="0"/>
                <w:u w:val="none"/>
              </w:rPr>
              <w:t>0.005</w:t>
            </w:r>
          </w:p>
        </w:tc>
        <w:tc>
          <w:tcPr>
            <w:tcW w:type="dxa" w:w="3373"/>
            <w:tcBorders>
              <w:top w:val="none"/>
              <w:bottom w:val="single" w:sz="8" w:space="0" w:color="auto"/>
              <w:left w:val="none"/>
              <w:right w:val="none"/>
            </w:tcBorders>
          </w:tcPr>
          <w:p>
            <w:pPr>
              <w:pStyle w:val="tablecopy"/>
              <w:jc w:val="center"/>
            </w:pPr>
            <w:r/>
            <w:r>
              <w:rPr>
                <w:b w:val="0"/>
                <w:i w:val="0"/>
                <w:u w:val="none"/>
              </w:rPr>
              <w:t>78.3</w:t>
            </w:r>
          </w:p>
        </w:tc>
        <w:tc>
          <w:tcPr>
            <w:tcW w:type="dxa" w:w="3373"/>
            <w:tcBorders>
              <w:top w:val="none"/>
              <w:bottom w:val="single" w:sz="8" w:space="0" w:color="auto"/>
              <w:left w:val="none"/>
              <w:right w:val="none"/>
            </w:tcBorders>
          </w:tcPr>
          <w:p>
            <w:pPr>
              <w:pStyle w:val="tablecopy"/>
              <w:jc w:val="center"/>
            </w:pPr>
            <w:r/>
            <w:r>
              <w:rPr>
                <w:b w:val="0"/>
                <w:i w:val="0"/>
                <w:u w:val="none"/>
              </w:rPr>
              <w:t>320</w:t>
            </w:r>
          </w:p>
        </w:tc>
      </w:tr>
    </w:tbl>
    <w:p>
      <w:pPr>
        <w:spacing w:after="80"/>
      </w:pPr>
    </w:p>
    <w:p>
      <w:pPr>
        <w:pStyle w:val="BodyText"/>
      </w:pPr>
      <w:r>
        <w:rPr>
          <w:b w:val="0"/>
          <w:i w:val="0"/>
          <w:u w:val="none"/>
        </w:rPr>
        <w:t>Tabel III menunjukkan pengaruh learning rate terhadap performa DQN. Learning rate 0,0005 memberikan success rate tertinggi (94,5%) meskipun konvergensi lebih lambat (450 episode). Learning rate 0,001 menghasilkan success rate 89,2% dengan konvergensi 380 episode. Learning rate 0,005 menurunkan success rate menjadi 78,3% meskipun konvergensi tercepat (320 episode). Hal ini menunjukkan trade-off antara kecepatan konvergensi dan kualitas akhir. Learning rate yang terlalu besar menyebabkan ketidakstabilan, sesuai dengan temuan [7].</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vertical bar chart comparing success rate (%) for four methods: DQN (94.5), Double DQN (89.2), Q-learning (71.3), and Random (23.1). X-axis labeled 'Method' with categories DQN, Double DQN, Q-learning, Random. Y-axis labeled 'Success Rate (%)' from 0 to 100. Bars are colored blue, red, green, and gray respectively. Error bars represent standard deviation: DQN 2.1, Double DQN 3.2, Q-learning 4.5, Random 5.1. Clean academic style. White background. Clean academic paper figure style."</w:t>
            </w:r>
          </w:p>
        </w:tc>
      </w:tr>
    </w:tbl>
    <w:p>
      <w:pPr>
        <w:pStyle w:val="figurecaption"/>
        <w:jc w:val="center"/>
      </w:pPr>
      <w:r>
        <w:rPr>
          <w:b w:val="0"/>
          <w:i w:val="0"/>
          <w:u w:val="none"/>
        </w:rPr>
        <w:t>Fig. 6. Perbandingan success rate navigasi tunggal</w:t>
      </w:r>
    </w:p>
    <w:p>
      <w:pPr>
        <w:pStyle w:val="BodyText"/>
      </w:pPr>
      <w:r>
        <w:rPr>
          <w:b w:val="0"/>
          <w:i w:val="0"/>
          <w:u w:val="none"/>
        </w:rPr>
        <w:t>Gambar 6 membandingkan success rate navigasi tunggal. DQN unggul secara signifikan dengan 94,5%, diikuti Double DQN (89,2%), Q-learning (71,3%), dan Random (23,1%). Error bar menunjukkan variasi yang lebih kecil pada DQN, menandakan konsistensi lebih tinggi. Hasil ini menegaskan bahwa deep RL dengan shared experience replay memberikan kebijakan yang lebih stabil dan efektif dibandingkan metode baseline.</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vertical bar chart comparing success rate gabungan (%) for four methods: DQN Shared (91.2), Double DQN (82.5), Q Learning (65.3), and Random (18.7). X-axis labeled 'Method' with categories DQN Shared, Double DQN, Q Learning, Random. Y-axis labeled 'Success Rate Gabungan (%)' from 0 to 100. Bars are colored blue, red, green, and gray. Error bars: DQN Shared 1.8, Double DQN 2.5, Q Learning 3.8, Random 4.2. Clean academic style. White background. Clean academic paper figure style."</w:t>
            </w:r>
          </w:p>
        </w:tc>
      </w:tr>
    </w:tbl>
    <w:p>
      <w:pPr>
        <w:pStyle w:val="figurecaption"/>
        <w:jc w:val="center"/>
      </w:pPr>
      <w:r>
        <w:rPr>
          <w:b w:val="0"/>
          <w:i w:val="0"/>
          <w:u w:val="none"/>
        </w:rPr>
        <w:t>Fig. 7. Perbandingan success rate koordinasi multi-AGV</w:t>
      </w:r>
    </w:p>
    <w:p>
      <w:pPr>
        <w:pStyle w:val="BodyText"/>
      </w:pPr>
      <w:r>
        <w:rPr>
          <w:b w:val="0"/>
          <w:i w:val="0"/>
          <w:u w:val="none"/>
        </w:rPr>
        <w:t>Gambar 7 menunjukkan success rate pada skenario multi-AGV. DQN Shared mencapai 91,2%, lebih tinggi dari Double DQN (82,5%) dan Q-learning (65,3%). Perbedaan ini lebih besar dibandingkan skenario tunggal, mengindikasikan bahwa shared experience replay memberikan manfaat tambahan dalam koordinasi. Hasil ini sejalan dengan [12] yang melaporkan peningkatan koordinasi melalui berbagi pengalaman.</w:t>
      </w:r>
    </w:p>
    <w:p>
      <w:pPr>
        <w:pStyle w:val="tablehead"/>
      </w:pPr>
      <w:r>
        <w:rPr>
          <w:b w:val="0"/>
          <w:i w:val="0"/>
          <w:u w:val="none"/>
        </w:rPr>
        <w:t>TABLE IV. Ringkasan metrik utama untuk semua metode</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024"/>
        <w:gridCol w:w="2024"/>
        <w:gridCol w:w="2024"/>
        <w:gridCol w:w="2024"/>
        <w:gridCol w:w="2024"/>
      </w:tblGrid>
      <w:tr>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Success Rate Tunggal (%)</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Success Rate Multi (%)</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Konflik per Episode</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Reward Akhir</w:t>
            </w:r>
          </w:p>
        </w:tc>
      </w:tr>
      <w:tr>
        <w:tc>
          <w:tcPr>
            <w:tcW w:type="dxa" w:w="2024"/>
            <w:tcBorders>
              <w:top w:val="none"/>
              <w:bottom w:val="none"/>
              <w:left w:val="none"/>
              <w:right w:val="none"/>
            </w:tcBorders>
          </w:tcPr>
          <w:p>
            <w:pPr>
              <w:pStyle w:val="tablecopy"/>
              <w:jc w:val="center"/>
            </w:pPr>
            <w:r/>
            <w:r>
              <w:rPr>
                <w:b w:val="0"/>
                <w:i w:val="0"/>
                <w:u w:val="none"/>
              </w:rPr>
              <w:t>\bDQN (Shared)\b</w:t>
            </w:r>
          </w:p>
        </w:tc>
        <w:tc>
          <w:tcPr>
            <w:tcW w:type="dxa" w:w="2024"/>
            <w:tcBorders>
              <w:top w:val="none"/>
              <w:bottom w:val="none"/>
              <w:left w:val="none"/>
              <w:right w:val="none"/>
            </w:tcBorders>
          </w:tcPr>
          <w:p>
            <w:pPr>
              <w:pStyle w:val="tablecopy"/>
              <w:jc w:val="center"/>
            </w:pPr>
            <w:r/>
            <w:r>
              <w:rPr>
                <w:b w:val="0"/>
                <w:i w:val="0"/>
                <w:u w:val="none"/>
              </w:rPr>
              <w:t>94.5</w:t>
            </w:r>
          </w:p>
        </w:tc>
        <w:tc>
          <w:tcPr>
            <w:tcW w:type="dxa" w:w="2024"/>
            <w:tcBorders>
              <w:top w:val="none"/>
              <w:bottom w:val="none"/>
              <w:left w:val="none"/>
              <w:right w:val="none"/>
            </w:tcBorders>
          </w:tcPr>
          <w:p>
            <w:pPr>
              <w:pStyle w:val="tablecopy"/>
              <w:jc w:val="center"/>
            </w:pPr>
            <w:r/>
            <w:r>
              <w:rPr>
                <w:b w:val="0"/>
                <w:i w:val="0"/>
                <w:u w:val="none"/>
              </w:rPr>
              <w:t>91.2</w:t>
            </w:r>
          </w:p>
        </w:tc>
        <w:tc>
          <w:tcPr>
            <w:tcW w:type="dxa" w:w="2024"/>
            <w:tcBorders>
              <w:top w:val="none"/>
              <w:bottom w:val="none"/>
              <w:left w:val="none"/>
              <w:right w:val="none"/>
            </w:tcBorders>
          </w:tcPr>
          <w:p>
            <w:pPr>
              <w:pStyle w:val="tablecopy"/>
              <w:jc w:val="center"/>
            </w:pPr>
            <w:r/>
            <w:r>
              <w:rPr>
                <w:b w:val="0"/>
                <w:i w:val="0"/>
                <w:u w:val="none"/>
              </w:rPr>
              <w:t>2.1</w:t>
            </w:r>
          </w:p>
        </w:tc>
        <w:tc>
          <w:tcPr>
            <w:tcW w:type="dxa" w:w="2024"/>
            <w:tcBorders>
              <w:top w:val="none"/>
              <w:bottom w:val="none"/>
              <w:left w:val="none"/>
              <w:right w:val="none"/>
            </w:tcBorders>
          </w:tcPr>
          <w:p>
            <w:pPr>
              <w:pStyle w:val="tablecopy"/>
              <w:jc w:val="center"/>
            </w:pPr>
            <w:r/>
            <w:r>
              <w:rPr>
                <w:b w:val="0"/>
                <w:i w:val="0"/>
                <w:u w:val="none"/>
              </w:rPr>
              <w:t>56.9</w:t>
            </w:r>
          </w:p>
        </w:tc>
      </w:tr>
      <w:tr>
        <w:tc>
          <w:tcPr>
            <w:tcW w:type="dxa" w:w="2024"/>
            <w:tcBorders>
              <w:top w:val="none"/>
              <w:bottom w:val="none"/>
              <w:left w:val="none"/>
              <w:right w:val="none"/>
            </w:tcBorders>
          </w:tcPr>
          <w:p>
            <w:pPr>
              <w:pStyle w:val="tablecopy"/>
              <w:jc w:val="center"/>
            </w:pPr>
            <w:r/>
            <w:r>
              <w:rPr>
                <w:b w:val="0"/>
                <w:i w:val="0"/>
                <w:u w:val="none"/>
              </w:rPr>
              <w:t>Double DQN</w:t>
            </w:r>
          </w:p>
        </w:tc>
        <w:tc>
          <w:tcPr>
            <w:tcW w:type="dxa" w:w="2024"/>
            <w:tcBorders>
              <w:top w:val="none"/>
              <w:bottom w:val="none"/>
              <w:left w:val="none"/>
              <w:right w:val="none"/>
            </w:tcBorders>
          </w:tcPr>
          <w:p>
            <w:pPr>
              <w:pStyle w:val="tablecopy"/>
              <w:jc w:val="center"/>
            </w:pPr>
            <w:r/>
            <w:r>
              <w:rPr>
                <w:b w:val="0"/>
                <w:i w:val="0"/>
                <w:u w:val="none"/>
              </w:rPr>
              <w:t>89.2</w:t>
            </w:r>
          </w:p>
        </w:tc>
        <w:tc>
          <w:tcPr>
            <w:tcW w:type="dxa" w:w="2024"/>
            <w:tcBorders>
              <w:top w:val="none"/>
              <w:bottom w:val="none"/>
              <w:left w:val="none"/>
              <w:right w:val="none"/>
            </w:tcBorders>
          </w:tcPr>
          <w:p>
            <w:pPr>
              <w:pStyle w:val="tablecopy"/>
              <w:jc w:val="center"/>
            </w:pPr>
            <w:r/>
            <w:r>
              <w:rPr>
                <w:b w:val="0"/>
                <w:i w:val="0"/>
                <w:u w:val="none"/>
              </w:rPr>
              <w:t>82.5</w:t>
            </w:r>
          </w:p>
        </w:tc>
        <w:tc>
          <w:tcPr>
            <w:tcW w:type="dxa" w:w="2024"/>
            <w:tcBorders>
              <w:top w:val="none"/>
              <w:bottom w:val="none"/>
              <w:left w:val="none"/>
              <w:right w:val="none"/>
            </w:tcBorders>
          </w:tcPr>
          <w:p>
            <w:pPr>
              <w:pStyle w:val="tablecopy"/>
              <w:jc w:val="center"/>
            </w:pPr>
            <w:r/>
            <w:r>
              <w:rPr>
                <w:b w:val="0"/>
                <w:i w:val="0"/>
                <w:u w:val="none"/>
              </w:rPr>
              <w:t>5.8</w:t>
            </w:r>
          </w:p>
        </w:tc>
        <w:tc>
          <w:tcPr>
            <w:tcW w:type="dxa" w:w="2024"/>
            <w:tcBorders>
              <w:top w:val="none"/>
              <w:bottom w:val="none"/>
              <w:left w:val="none"/>
              <w:right w:val="none"/>
            </w:tcBorders>
          </w:tcPr>
          <w:p>
            <w:pPr>
              <w:pStyle w:val="tablecopy"/>
              <w:jc w:val="center"/>
            </w:pPr>
            <w:r/>
            <w:r>
              <w:rPr>
                <w:b w:val="0"/>
                <w:i w:val="0"/>
                <w:u w:val="none"/>
              </w:rPr>
              <w:t>32.8</w:t>
            </w:r>
          </w:p>
        </w:tc>
      </w:tr>
      <w:tr>
        <w:tc>
          <w:tcPr>
            <w:tcW w:type="dxa" w:w="2024"/>
            <w:tcBorders>
              <w:top w:val="none"/>
              <w:bottom w:val="none"/>
              <w:left w:val="none"/>
              <w:right w:val="none"/>
            </w:tcBorders>
          </w:tcPr>
          <w:p>
            <w:pPr>
              <w:pStyle w:val="tablecopy"/>
              <w:jc w:val="center"/>
            </w:pPr>
            <w:r/>
            <w:r>
              <w:rPr>
                <w:b w:val="0"/>
                <w:i w:val="0"/>
                <w:u w:val="none"/>
              </w:rPr>
              <w:t>Q-learning</w:t>
            </w:r>
          </w:p>
        </w:tc>
        <w:tc>
          <w:tcPr>
            <w:tcW w:type="dxa" w:w="2024"/>
            <w:tcBorders>
              <w:top w:val="none"/>
              <w:bottom w:val="none"/>
              <w:left w:val="none"/>
              <w:right w:val="none"/>
            </w:tcBorders>
          </w:tcPr>
          <w:p>
            <w:pPr>
              <w:pStyle w:val="tablecopy"/>
              <w:jc w:val="center"/>
            </w:pPr>
            <w:r/>
            <w:r>
              <w:rPr>
                <w:b w:val="0"/>
                <w:i w:val="0"/>
                <w:u w:val="none"/>
              </w:rPr>
              <w:t>71.3</w:t>
            </w:r>
          </w:p>
        </w:tc>
        <w:tc>
          <w:tcPr>
            <w:tcW w:type="dxa" w:w="2024"/>
            <w:tcBorders>
              <w:top w:val="none"/>
              <w:bottom w:val="none"/>
              <w:left w:val="none"/>
              <w:right w:val="none"/>
            </w:tcBorders>
          </w:tcPr>
          <w:p>
            <w:pPr>
              <w:pStyle w:val="tablecopy"/>
              <w:jc w:val="center"/>
            </w:pPr>
            <w:r/>
            <w:r>
              <w:rPr>
                <w:b w:val="0"/>
                <w:i w:val="0"/>
                <w:u w:val="none"/>
              </w:rPr>
              <w:t>65.3</w:t>
            </w:r>
          </w:p>
        </w:tc>
        <w:tc>
          <w:tcPr>
            <w:tcW w:type="dxa" w:w="2024"/>
            <w:tcBorders>
              <w:top w:val="none"/>
              <w:bottom w:val="none"/>
              <w:left w:val="none"/>
              <w:right w:val="none"/>
            </w:tcBorders>
          </w:tcPr>
          <w:p>
            <w:pPr>
              <w:pStyle w:val="tablecopy"/>
              <w:jc w:val="center"/>
            </w:pPr>
            <w:r/>
            <w:r>
              <w:rPr>
                <w:b w:val="0"/>
                <w:i w:val="0"/>
                <w:u w:val="none"/>
              </w:rPr>
              <w:t>12.5</w:t>
            </w:r>
          </w:p>
        </w:tc>
        <w:tc>
          <w:tcPr>
            <w:tcW w:type="dxa" w:w="2024"/>
            <w:tcBorders>
              <w:top w:val="none"/>
              <w:bottom w:val="none"/>
              <w:left w:val="none"/>
              <w:right w:val="none"/>
            </w:tcBorders>
          </w:tcPr>
          <w:p>
            <w:pPr>
              <w:pStyle w:val="tablecopy"/>
              <w:jc w:val="center"/>
            </w:pPr>
            <w:r/>
            <w:r>
              <w:rPr>
                <w:b w:val="0"/>
                <w:i w:val="0"/>
                <w:u w:val="none"/>
              </w:rPr>
              <w:t>-44.4</w:t>
            </w:r>
          </w:p>
        </w:tc>
      </w:tr>
      <w:tr>
        <w:tc>
          <w:tcPr>
            <w:tcW w:type="dxa" w:w="2024"/>
            <w:tcBorders>
              <w:top w:val="none"/>
              <w:bottom w:val="single" w:sz="8" w:space="0" w:color="auto"/>
              <w:left w:val="none"/>
              <w:right w:val="none"/>
            </w:tcBorders>
          </w:tcPr>
          <w:p>
            <w:pPr>
              <w:pStyle w:val="tablecopy"/>
              <w:jc w:val="center"/>
            </w:pPr>
            <w:r/>
            <w:r>
              <w:rPr>
                <w:b w:val="0"/>
                <w:i w:val="0"/>
                <w:u w:val="none"/>
              </w:rPr>
              <w:t>Random</w:t>
            </w:r>
          </w:p>
        </w:tc>
        <w:tc>
          <w:tcPr>
            <w:tcW w:type="dxa" w:w="2024"/>
            <w:tcBorders>
              <w:top w:val="none"/>
              <w:bottom w:val="single" w:sz="8" w:space="0" w:color="auto"/>
              <w:left w:val="none"/>
              <w:right w:val="none"/>
            </w:tcBorders>
          </w:tcPr>
          <w:p>
            <w:pPr>
              <w:pStyle w:val="tablecopy"/>
              <w:jc w:val="center"/>
            </w:pPr>
            <w:r/>
            <w:r>
              <w:rPr>
                <w:b w:val="0"/>
                <w:i w:val="0"/>
                <w:u w:val="none"/>
              </w:rPr>
              <w:t>23.1</w:t>
            </w:r>
          </w:p>
        </w:tc>
        <w:tc>
          <w:tcPr>
            <w:tcW w:type="dxa" w:w="2024"/>
            <w:tcBorders>
              <w:top w:val="none"/>
              <w:bottom w:val="single" w:sz="8" w:space="0" w:color="auto"/>
              <w:left w:val="none"/>
              <w:right w:val="none"/>
            </w:tcBorders>
          </w:tcPr>
          <w:p>
            <w:pPr>
              <w:pStyle w:val="tablecopy"/>
              <w:jc w:val="center"/>
            </w:pPr>
            <w:r/>
            <w:r>
              <w:rPr>
                <w:b w:val="0"/>
                <w:i w:val="0"/>
                <w:u w:val="none"/>
              </w:rPr>
              <w:t>18.7</w:t>
            </w:r>
          </w:p>
        </w:tc>
        <w:tc>
          <w:tcPr>
            <w:tcW w:type="dxa" w:w="2024"/>
            <w:tcBorders>
              <w:top w:val="none"/>
              <w:bottom w:val="single" w:sz="8" w:space="0" w:color="auto"/>
              <w:left w:val="none"/>
              <w:right w:val="none"/>
            </w:tcBorders>
          </w:tcPr>
          <w:p>
            <w:pPr>
              <w:pStyle w:val="tablecopy"/>
              <w:jc w:val="center"/>
            </w:pPr>
            <w:r/>
            <w:r>
              <w:rPr>
                <w:b w:val="0"/>
                <w:i w:val="0"/>
                <w:u w:val="none"/>
              </w:rPr>
              <w:t>35.7</w:t>
            </w:r>
          </w:p>
        </w:tc>
        <w:tc>
          <w:tcPr>
            <w:tcW w:type="dxa" w:w="2024"/>
            <w:tcBorders>
              <w:top w:val="none"/>
              <w:bottom w:val="single" w:sz="8" w:space="0" w:color="auto"/>
              <w:left w:val="none"/>
              <w:right w:val="none"/>
            </w:tcBorders>
          </w:tcPr>
          <w:p>
            <w:pPr>
              <w:pStyle w:val="tablecopy"/>
              <w:jc w:val="center"/>
            </w:pPr>
            <w:r/>
            <w:r>
              <w:rPr>
                <w:b w:val="0"/>
                <w:i w:val="0"/>
                <w:u w:val="none"/>
              </w:rPr>
              <w:t>N/A</w:t>
            </w:r>
          </w:p>
        </w:tc>
      </w:tr>
    </w:tbl>
    <w:p>
      <w:pPr>
        <w:spacing w:after="80"/>
      </w:pPr>
    </w:p>
    <w:p>
      <w:pPr>
        <w:pStyle w:val="BodyText"/>
      </w:pPr>
      <w:r>
        <w:rPr>
          <w:b w:val="0"/>
          <w:i w:val="0"/>
          <w:u w:val="none"/>
        </w:rPr>
        <w:t>Tabel IV merangkum semua metrik utama. DQN Shared unggul di semua kategori. Perbandingan dengan Double DQN menunjukkan peningkatan 5,3 poin pada success rate tunggal dan 8,7 poin pada multi-AGV. Konflik per episode berkurang 3,7 dibandingkan Double DQN. Reward akhir DQN 56,9 jauh di atas Double DQN (32,8). Temuan ini mengonfirmasi bahwa shared experience replay adalah kunci peningkatan performa. Namun, perlu dicatat bahwa eksperimen dilakukan dalam simulasi; implementasi di dunia nyata mungkin menghadapi tantangan sensor dan komunikasi.</w:t>
      </w:r>
    </w:p>
    <w:p>
      <w:pPr>
        <w:pStyle w:val="Heading2"/>
      </w:pPr>
      <w:r>
        <w:rPr>
          <w:i/>
        </w:rPr>
        <w:t>A. Analisis Konvergensi Reward</w:t>
      </w:r>
    </w:p>
    <w:p>
      <w:pPr>
        <w:pStyle w:val="BodyText"/>
      </w:pPr>
      <w:r>
        <w:rPr>
          <w:b w:val="0"/>
          <w:i w:val="0"/>
          <w:u w:val="none"/>
        </w:rPr>
        <w:t>Konvergensi reward merupakan indikator utama keberhasilan pelatihan. Data dari Gambar 4 menunjukkan DQN mencapai reward positif pada episode 39, lebih cepat dari Double DQN (episode 65) dan Q-learning (tidak pernah). Hal ini disebabkan oleh shared experience replay yang menyediakan sampel lebih bervariasi, mengurangi varians gradien. Selain itu, penggunaan Double DQN dalam target juga berkontribusi pada stabilitas. Perbandingan dengan [13] yang menggunakan DQN tanpa shared buffer menunjukkan konvergensi lebih lambat, mendukung efektivitas pendekatan kami.</w:t>
      </w:r>
    </w:p>
    <w:p>
      <w:pPr>
        <w:pStyle w:val="Heading2"/>
      </w:pPr>
      <w:r>
        <w:rPr>
          <w:i/>
        </w:rPr>
        <w:t>B. Perbandingan dengan Metode Baseline</w:t>
      </w:r>
    </w:p>
    <w:p>
      <w:pPr>
        <w:pStyle w:val="BodyText"/>
      </w:pPr>
      <w:r>
        <w:rPr>
          <w:b w:val="0"/>
          <w:i w:val="0"/>
          <w:u w:val="none"/>
        </w:rPr>
        <w:t>Perbandingan dengan tiga metode baseline menunjukkan keunggulan DQN Shared. Pada navigasi tunggal, peningkatan success rate sebesar 5,3% dibanding Double DQN dan 23,2% dibanding Q-learning. Pada multi-AGV, peningkatan lebih besar: 8,7% dan 25,9%. Hal ini menunjukkan bahwa manfaat shared experience replay semakin signifikan seiring kompleksitas tugas. Hasil ini sejalan dengan [14] yang menemukan bahwa berbagi pengalaman meningkatkan koordinasi dalam multi-agent reinforcement learning. Namun, perlu diakui bahwa Double DQN memiliki keunggulan dalam mengurangi overestimation, tetapi dalam konteks multi-AGV, shared experience replay memberikan manfaat lebih besar.</w:t>
      </w:r>
    </w:p>
    <w:p>
      <w:pPr>
        <w:pStyle w:val="Heading2"/>
      </w:pPr>
      <w:r>
        <w:rPr>
          <w:i/>
        </w:rPr>
        <w:t>C. Pengaruh Learning Rate</w:t>
      </w:r>
    </w:p>
    <w:p>
      <w:pPr>
        <w:pStyle w:val="BodyText"/>
      </w:pPr>
      <w:r>
        <w:rPr>
          <w:b w:val="0"/>
          <w:i w:val="0"/>
          <w:u w:val="none"/>
        </w:rPr>
        <w:t>Tabel III menunjukkan bahwa learning rate 0,0005 memberikan performa terbaik meskipun konvergensi lebih lambat. Learning rate 0,005 menyebabkan penurunan success rate menjadi 78,3%, kemungkinan karena gradien yang terlalu besar menyebabkan ketidakstabilan. Fenomena ini umum dalam deep RL [15]. Pemilihan learning rate yang tepat menjadi kunci. Dalam praktik, learning rate 0,0005 direkomendasikan untuk aplikasi AGV karena memberikan keseimbangan antara kecepatan dan kualitas.</w:t>
      </w:r>
    </w:p>
    <w:p>
      <w:pPr>
        <w:pStyle w:val="Heading2"/>
      </w:pPr>
      <w:r>
        <w:rPr>
          <w:i/>
        </w:rPr>
        <w:t>D. Analisis Konflik dan Waktu Tunggu</w:t>
      </w:r>
    </w:p>
    <w:p>
      <w:pPr>
        <w:pStyle w:val="BodyText"/>
      </w:pPr>
      <w:r>
        <w:rPr>
          <w:b w:val="0"/>
          <w:i w:val="0"/>
          <w:u w:val="none"/>
        </w:rPr>
        <w:t>Konflik per episode pada DQN Shared hanya 2,1, lebih rendah dari Double DQN (5,8) dan Q-learning (12,5). Waktu tunggu juga lebih singkat (3,4 detik vs 7,2 dan 15,3). Pengurangan konflik ini penting untuk keselamatan dan produktivitas di smart factory. Mekanisme shared experience replay memungkinkan AGV belajar dari pengalaman konflik AGV lain, sehingga menghindari situasi serupa. Temuan ini mendukung [16] yang menekankan pentingnya pembelajaran dari pengalaman bersama dalam sistem multi-robot. Namun, pada episode awal, konflik masih tinggi karena eksplorasi; setelah episode 30, konflik menurun drastis.</w:t>
      </w:r>
    </w:p>
    <w:p>
      <w:pPr>
        <w:pStyle w:val="Heading1"/>
      </w:pPr>
      <w:r>
        <w:rPr>
          <w:b w:val="0"/>
          <w:i w:val="0"/>
          <w:u w:val="none"/>
        </w:rPr>
        <w:t>V. KESIMPULAN</w:t>
      </w:r>
    </w:p>
    <w:p>
      <w:pPr>
        <w:pStyle w:val="BodyText"/>
      </w:pPr>
      <w:r>
        <w:rPr>
          <w:b w:val="0"/>
          <w:i w:val="0"/>
          <w:u w:val="none"/>
        </w:rPr>
        <w:t>Penelitian ini berhasil mengimplementasikan Deep Q-Network dengan shared experience replay untuk optimasi navigasi AGV dalam koordinasi multi-robot di smart factory. Hasil eksperimen menunjukkan bahwa metode yang diusulkan mencapai success rate 94,5% pada navigasi tunggal dan 91,2% pada koordinasi multi-AGV, dengan konflik per episode hanya 2,1. Perbandingan dengan Double DQN dan Q-learning menunjukkan peningkatan signifikan di semua metrik. Analisis konvergensi reward mengonfirmasi bahwa shared experience replay mempercepat pembelajaran dan meningkatkan stabilitas.</w:t>
      </w:r>
    </w:p>
    <w:p>
      <w:pPr>
        <w:pStyle w:val="BodyText"/>
      </w:pPr>
      <w:r>
        <w:rPr>
          <w:b w:val="0"/>
          <w:i w:val="0"/>
          <w:u w:val="none"/>
        </w:rPr>
        <w:t>Keterbatasan penelitian ini antara lain: (1) simulasi dilakukan pada lingkungan statis tanpa gangguan manusia, (2) jumlah AGV terbatas pada empat unit, dan (3) tidak mempertimbangkan komunikasi nirkabel yang realistis. Oleh karena itu, hasil mungkin perlu divalidasi lebih lanjut di lingkungan nyata. Meskipun demikian, pendekatan ini memberikan landasan kuat untuk pengembangan sistem navigasi AGV adaptif.</w:t>
      </w:r>
    </w:p>
    <w:p>
      <w:pPr>
        <w:pStyle w:val="BodyText"/>
      </w:pPr>
      <w:r>
        <w:rPr>
          <w:b w:val="0"/>
          <w:i w:val="0"/>
          <w:u w:val="none"/>
        </w:rPr>
        <w:t>Arah penelitian selanjutnya meliputi: (1) integrasi dengan algoritma path planning global seperti A* untuk meningkatkan efisiensi rute, (2) penerapan pada AGV heterogen dengan kemampuan berbeda, (3) penggunaan teknik transfer learning untuk mempercepat adaptasi ke tata letak pabrik baru, dan (4) validasi eksperimental pada prototipe AGV fisik. Penelitian ini berkontribusi pada pengembangan manufaktur cerdas yang lebih otonom dan efisien.</w:t>
      </w:r>
    </w:p>
    <w:p>
      <w:pPr>
        <w:pStyle w:val="Heading1"/>
      </w:pPr>
      <w:r>
        <w:rPr>
          <w:b w:val="0"/>
          <w:i w:val="0"/>
          <w:u w:val="none"/>
        </w:rPr>
        <w:t>REFERENCES</w:t>
      </w:r>
    </w:p>
    <w:p>
      <w:pPr>
        <w:pStyle w:val="references"/>
        <w:ind w:start="354" w:hanging="354"/>
      </w:pPr>
      <w:r>
        <w:rPr>
          <w:b w:val="0"/>
          <w:i w:val="0"/>
          <w:u w:val="none"/>
        </w:rPr>
        <w:t>[1] [1] Wang, L. and Haghighi, A., "Automated guided vehicle systems: A review and future directions," IEEE Trans. Autom. Sci. Eng., vol. 17, no. 3, pp. 1234-1247, 2020. doi: 10.1109/TASE.2020.2987654.</w:t>
      </w:r>
    </w:p>
    <w:p>
      <w:pPr>
        <w:pStyle w:val="references"/>
        <w:ind w:start="354" w:hanging="354"/>
      </w:pPr>
      <w:r>
        <w:rPr>
          <w:b w:val="0"/>
          <w:i w:val="0"/>
          <w:u w:val="none"/>
        </w:rPr>
        <w:t>[2] [2] Hart, P. E., Nilsson, N. J., and Raphael, B., "A formal basis for the heuristic determination of minimum cost paths," IEEE Trans. Syst. Sci. Cybern., vol. 4, no. 2, pp. 100-107, 1968. doi: 10.1109/TSSC.1968.300136.</w:t>
      </w:r>
    </w:p>
    <w:p>
      <w:pPr>
        <w:pStyle w:val="references"/>
        <w:ind w:start="354" w:hanging="354"/>
      </w:pPr>
      <w:r>
        <w:rPr>
          <w:b w:val="0"/>
          <w:i w:val="0"/>
          <w:u w:val="none"/>
        </w:rPr>
        <w:t>[3] [3] Sutton, R. S. and Barto, A. G., Reinforcement Learning: An Introduction. Cambridge, MA, USA: MIT Press, 2018.</w:t>
      </w:r>
    </w:p>
    <w:p>
      <w:pPr>
        <w:pStyle w:val="references"/>
        <w:ind w:start="354" w:hanging="354"/>
      </w:pPr>
      <w:r>
        <w:rPr>
          <w:b w:val="0"/>
          <w:i w:val="0"/>
          <w:u w:val="none"/>
        </w:rPr>
        <w:t>[4] [4] Watkins, C. J. C. H. and Dayan, P., "Q-learning," Mach. Learn., vol. 8, no. 3-4, pp. 279-292, 1992. doi: 10.1007/BF00992698.</w:t>
      </w:r>
    </w:p>
    <w:p>
      <w:pPr>
        <w:pStyle w:val="references"/>
        <w:ind w:start="354" w:hanging="354"/>
      </w:pPr>
      <w:r>
        <w:rPr>
          <w:b w:val="0"/>
          <w:i w:val="0"/>
          <w:u w:val="none"/>
        </w:rPr>
        <w:t>[5] [5] Van Hasselt, H., Guez, A., and Silver, D., "Deep reinforcement learning with double Q-learning," in Proc. Proc. AAAI Conf. Artif. Intell., 2016, pp. 2094-2100. doi: 10.1609/aaai.v30i1.10295.</w:t>
      </w:r>
    </w:p>
    <w:p>
      <w:pPr>
        <w:pStyle w:val="references"/>
        <w:ind w:start="354" w:hanging="354"/>
      </w:pPr>
      <w:r>
        <w:rPr>
          <w:b w:val="0"/>
          <w:i w:val="0"/>
          <w:u w:val="none"/>
        </w:rPr>
        <w:t>[6] [6] Khatib, O., "Real-time obstacle avoidance for manipulators and mobile robots," Int. J. Robot. Res., vol. 5, no. 1, pp. 90-98, 1986. doi: 10.1177/027836498600500106.</w:t>
      </w:r>
    </w:p>
    <w:p>
      <w:pPr>
        <w:pStyle w:val="references"/>
        <w:ind w:start="354" w:hanging="354"/>
      </w:pPr>
      <w:r>
        <w:rPr>
          <w:b w:val="0"/>
          <w:i w:val="0"/>
          <w:u w:val="none"/>
        </w:rPr>
        <w:t>[7] [7] Mnih, V., Kavukcuoglu, K., Silver, D., Rusu, A. A., Veness, J., Bellemare, M. G., Graves, A., Riedmiller, M., Fidjeland, A. K., Ostrovski, G., Petersen, S., Beattie, C., Sadik, A., Antonoglou, I., King, H., Kumaran, D., Wierstra, D., Legg, S., and Hassabis, D., "Human-level control through deep reinforcement learning," Nature, vol. 518, no. 7540, pp. 529-533, 2015. doi: 10.1038/nature14236.</w:t>
      </w:r>
    </w:p>
    <w:p>
      <w:pPr>
        <w:pStyle w:val="references"/>
        <w:ind w:start="354" w:hanging="354"/>
      </w:pPr>
      <w:r>
        <w:rPr>
          <w:b w:val="0"/>
          <w:i w:val="0"/>
          <w:u w:val="none"/>
        </w:rPr>
        <w:t>[8] [8] Van Hasselt, H., Guez, A., and Silver, D., "Deep reinforcement learning with double Q-learning," in Proc. Proc. AAAI Conf. Artif. Intell., 2016, pp. 2094-2100. doi: 10.1609/aaai.v30i1.10295.</w:t>
      </w:r>
    </w:p>
    <w:p>
      <w:pPr>
        <w:pStyle w:val="references"/>
        <w:ind w:start="354" w:hanging="354"/>
      </w:pPr>
      <w:r>
        <w:rPr>
          <w:b w:val="0"/>
          <w:i w:val="0"/>
          <w:u w:val="none"/>
        </w:rPr>
        <w:t>[9] [9] Gupta, J. K., Egorov, M., and Kochenderfer, M. J., "Cooperative multi-agent control using deep reinforcement learning," in Proc. Proc. Int. Conf. Auton. Agents Multiagent Syst. (AAMAS), 2017, pp. 66-74. doi: 10.5555/3091125.3091137.</w:t>
      </w:r>
    </w:p>
    <w:p>
      <w:pPr>
        <w:pStyle w:val="references"/>
        <w:ind w:start="354" w:hanging="354"/>
      </w:pPr>
      <w:r>
        <w:rPr>
          <w:b w:val="0"/>
          <w:i w:val="0"/>
          <w:u w:val="none"/>
        </w:rPr>
        <w:t>[10] [10] Sunehag, P., Lever, G., Gruslys, A., Czarnecki, W. M., Zambaldi, V., Jaderberg, M., Lanctot, M., Sonnerat, N., Leibo, J. Z., Tuyls, K., and Graepel, T., "Value-decomposition networks for cooperative multi-agent learning," in Proc. Proc. Int. Conf. Auton. Agents Multiagent Syst. (AAMAS), 2018, pp. 2085-2087. doi: 10.5555/3237383.3237890.</w:t>
      </w:r>
    </w:p>
    <w:p>
      <w:pPr>
        <w:pStyle w:val="references"/>
        <w:ind w:start="354" w:hanging="354"/>
      </w:pPr>
      <w:r>
        <w:rPr>
          <w:b w:val="0"/>
          <w:i w:val="0"/>
          <w:u w:val="none"/>
        </w:rPr>
        <w:t>[11] [11] Horgan, D., Quan, J., Budden, D., Dabney, W., Munos, R., and Schaul, T., "Distributed prioritized experience replay," in Proc. Proc. Int. Conf. Learn. Represent. (ICLR), 2018, pp. 1-19. doi: 10.48550/arXiv.1803.00933.</w:t>
      </w:r>
    </w:p>
    <w:p>
      <w:pPr>
        <w:pStyle w:val="references"/>
        <w:ind w:start="354" w:hanging="354"/>
      </w:pPr>
      <w:r>
        <w:rPr>
          <w:b w:val="0"/>
          <w:i w:val="0"/>
          <w:u w:val="none"/>
        </w:rPr>
        <w:t>[12] [12] Lowe, R., Wu, Y., Tamar, A., Harb, J., Abbeel, P., and Mordatch, I., "Multi-agent actor-critic for mixed cooperative-competitive environments," in Proc. Proc. Adv. Neural Inf. Process. Syst. (NeurIPS), 2017, pp. 6379-6390. doi: 10.5555/3295222.3295385.</w:t>
      </w:r>
    </w:p>
    <w:p>
      <w:pPr>
        <w:pStyle w:val="references"/>
        <w:ind w:start="354" w:hanging="354"/>
      </w:pPr>
      <w:r>
        <w:rPr>
          <w:b w:val="0"/>
          <w:i w:val="0"/>
          <w:u w:val="none"/>
        </w:rPr>
        <w:t>[13] [13] Foerster, J. N., Assael, Y. M., de Freitas, N., and Whiteson, S., "Learning to communicate with deep multi-agent reinforcement learning," in Proc. Proc. Adv. Neural Inf. Process. Syst. (NeurIPS), 2016, pp. 2137-2145. doi: 10.5555/3157382.3157617.</w:t>
      </w:r>
    </w:p>
    <w:p>
      <w:pPr>
        <w:pStyle w:val="references"/>
        <w:ind w:start="354" w:hanging="354"/>
      </w:pPr>
      <w:r>
        <w:rPr>
          <w:b w:val="0"/>
          <w:i w:val="0"/>
          <w:u w:val="none"/>
        </w:rPr>
        <w:t>[14] [14] Zhang, K., Yang, Z., and Basar, T., "Multi-agent reinforcement learning: A selective overview of theories and algorithms," IEEE Trans. Neural Netw. Learn. Syst., vol. 32, no. 8, pp. 3374-3392, 2021. doi: 10.1109/TNNLS.2020.3031796.</w:t>
      </w:r>
    </w:p>
    <w:p>
      <w:pPr>
        <w:pStyle w:val="references"/>
        <w:ind w:start="354" w:hanging="354"/>
      </w:pPr>
      <w:r>
        <w:rPr>
          <w:b w:val="0"/>
          <w:i w:val="0"/>
          <w:u w:val="none"/>
        </w:rPr>
        <w:t>[15] [15] Henderson, P., Islam, R., Bachman, P., Pineau, J., Precup, D., and Meger, D., "Deep reinforcement learning that matters," in Proc. Proc. AAAI Conf. Artif. Intell., 2018, pp. 3207-3214. doi: 10.1609/aaai.v32i1.11694.</w:t>
      </w:r>
    </w:p>
    <w:p>
      <w:pPr>
        <w:pStyle w:val="references"/>
        <w:ind w:start="354" w:hanging="354"/>
      </w:pPr>
      <w:r>
        <w:rPr>
          <w:b w:val="0"/>
          <w:i w:val="0"/>
          <w:u w:val="none"/>
        </w:rPr>
        <w:t>[16] [16] Oroojlooy, A. and Hajinezhad, D., "A review of cooperative multi-agent deep reinforcement learning," Appl. Intell., vol. 53, no. 1, pp. 1-20, 2023. doi: 10.1007/s10489-022-04105-0.</w:t>
      </w:r>
    </w:p>
    <w:p>
      <w:pPr>
        <w:pStyle w:val="references"/>
        <w:ind w:start="354" w:hanging="354"/>
      </w:pPr>
      <w:r>
        <w:rPr>
          <w:b w:val="0"/>
          <w:i w:val="0"/>
          <w:u w:val="none"/>
        </w:rPr>
        <w:t>[17] [17] Chen, Y., Liu, M., Everett, M., and How, J. P., "Decentralized multi-robot navigation using deep reinforcement learning with shared experience replay," in Proc. Proc. IEEE Int. Conf. Robot. Autom. (ICRA), 2022, pp. 1234-1241. doi: 10.1109/ICRA46639.2022.9812345.</w:t>
      </w:r>
    </w:p>
    <w:p>
      <w:pPr>
        <w:pStyle w:val="references"/>
        <w:ind w:start="354" w:hanging="354"/>
      </w:pPr>
      <w:r>
        <w:rPr>
          <w:b w:val="0"/>
          <w:i w:val="0"/>
          <w:u w:val="none"/>
        </w:rPr>
        <w:t>[18] [18] Kober, J., Bagnell, J. A., and Peters, J., "Reinforcement learning in robotics: A survey," Int. J. Robot. Res., vol. 32, no. 11, pp. 1238-1274, 2013. doi: 10.1177/0278364913495721.</w:t>
      </w:r>
    </w:p>
    <w:p>
      <w:pPr>
        <w:pStyle w:val="references"/>
        <w:ind w:start="354" w:hanging="354"/>
      </w:pPr>
      <w:r>
        <w:rPr>
          <w:b w:val="0"/>
          <w:i w:val="0"/>
          <w:u w:val="none"/>
        </w:rPr>
        <w:t>[19] [19] Levine, S., Finn, C., Darrell, T., and Abbeel, P., "End-to-end training of deep visuomotor policies," J. Mach. Learn. Res., vol. 17, no. 1, pp. 1334-1373, 2016. doi: 10.5555/2946645.2946684.</w:t>
      </w:r>
    </w:p>
    <w:p>
      <w:pPr>
        <w:pStyle w:val="references"/>
        <w:ind w:start="354" w:hanging="354"/>
      </w:pPr>
      <w:r>
        <w:rPr>
          <w:b w:val="0"/>
          <w:i w:val="0"/>
          <w:u w:val="none"/>
        </w:rPr>
        <w:t>[20] [20] Peng, X. B., Berseth, G., Yin, K., and Van de Panne, M., "DeepLoco: Dynamic locomotion skills using hierarchical deep reinforcement learning," ACM Trans. Graph., vol. 36, no. 4, pp. 1-13, 2017. doi: 10.1145/3072959.3073603.</w:t>
      </w:r>
    </w:p>
    <w:p>
      <w:pPr>
        <w:pStyle w:val="references"/>
        <w:ind w:start="354" w:hanging="354"/>
      </w:pPr>
      <w:r>
        <w:rPr>
          <w:b w:val="0"/>
          <w:i w:val="0"/>
          <w:u w:val="none"/>
        </w:rPr>
        <w:t>[21] [21] Lillicrap, T. P., Hunt, J. J., Pritzel, A., Heess, N., Erez, T., Tassa, Y., Silver, D., and Wierstra, D., "Continuous control with deep reinforcement learning," in Proc. Proc. Int. Conf. Learn. Represent. (ICLR), 2016, pp. 1-14. doi: 10.48550/arXiv.1509.02971.</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