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Optimasi Navigasi AGV dengan Deep Q-Network untuk Multi-Robot Coordination di Smart Factory</w:t>
      </w:r>
    </w:p>
    <w:p>
      <w:pPr>
        <w:pStyle w:val="Author"/>
        <w:sectPr>
          <w:footerReference w:type="first" r:id="rId12"/>
          <w:type w:val="continuous"/>
          <w:pgSz w:w="11906" w:h="16838"/>
          <w:pgMar w:top="540" w:right="893" w:bottom="1440" w:left="893" w:header="720" w:footer="720" w:gutter="0"/>
          <w:cols w:space="720"/>
          <w:titlePg/>
        </w:sectPr>
      </w:pPr>
    </w:p>
    <w:p>
      <w:pPr>
        <w:pStyle w:val="Author"/>
      </w:pPr>
      <w:r>
        <w:rPr>
          <w:sz w:val="18"/>
        </w:rPr>
        <w:t>QA Test User</w:t>
      </w:r>
      <w:r>
        <w:br/>
      </w:r>
      <w:r>
        <w:rPr>
          <w:i/>
          <w:sz w:val="18"/>
        </w:rPr>
        <w:t>Universitas Indonesia</w:t>
      </w:r>
      <w:r>
        <w:br/>
      </w:r>
      <w:r>
        <w:rPr>
          <w:i/>
          <w:sz w:val="18"/>
        </w:rPr>
        <w:t>Depok, Indonesia</w:t>
      </w:r>
      <w:r>
        <w:br/>
      </w:r>
      <w:r>
        <w:rPr>
          <w:sz w:val="18"/>
        </w:rPr>
        <w:t>e-mail: qa.test@ui.ac.id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Navigasi Autonomous Guided Vehicle (AGV) di lingkungan smart factory memerlukan koordinasi multi-robot yang efisien untuk menghindari konflik dan meminimalkan waktu tempuh. Metode konvensional seperti Q-learning dan Double DQN memiliki keterbatasan dalam menangani kompleksitas lingkungan dinamis. Penelitian ini mengusulkan arsitektur Deep Q-Network (DQN) dengan shared experience replay untuk optimasi navigasi multi-AGV. Data eksperimen menunjukkan bahwa DQN mencapai success rate 94.5% pada navigasi tunggal, lebih tinggi dibanding Double DQN (89.2%) dan Q-learning (71.3%). Pada koordinasi multi-AGV, DQN dengan shared policy menghasilkan success rate gabungan 91.2% dengan konflik rata-rata 2.1 per episode, jauh lebih rendah dari Double DQN (5.8) dan Q-learning (12.5). Reward per episode DQN meningkat dari -193.5 menjadi 56.9 dalam 100 episode, menunjukkan konvergensi stabil. Analisis learning rate menunjukkan nilai 0.0005 memberikan success rate tertinggi (94.5%) meskipun konvergensi lebih lambat (450 episode). Temuan ini mengonfirmasi bahwa DQN dengan shared experience mampu mengurangi konflik antar-AGV secara signifikan, meningkatkan throughput sistem, dan layak diimplementasikan di smart factory skala besar.</w:t>
      </w:r>
    </w:p>
    <w:p>
      <w:pPr>
        <w:pStyle w:val="Keywords"/>
      </w:pPr>
      <w:r>
        <w:t>Index Terms</w:t>
      </w:r>
      <w:r>
        <w:t>—</w:t>
      </w:r>
      <w:r>
        <w:rPr>
          <w:b w:val="0"/>
          <w:i w:val="0"/>
          <w:u w:val="none"/>
        </w:rPr>
        <w:t>Deep Q-Network, Autonomous Guided Vehicle, multi-robot coordination, smart factory, navigasi, reinforcement learning.</w:t>
      </w:r>
    </w:p>
    <w:p>
      <w:pPr>
        <w:pStyle w:val="Heading1"/>
      </w:pPr>
      <w:r>
        <w:rPr>
          <w:b w:val="0"/>
          <w:i w:val="0"/>
          <w:u w:val="none"/>
        </w:rPr>
        <w:t>I. PENDAHULUAN</w:t>
      </w:r>
    </w:p>
    <w:p>
      <w:pPr>
        <w:pStyle w:val="BodyText"/>
      </w:pPr>
      <w:r>
        <w:rPr>
          <w:b w:val="0"/>
          <w:i w:val="0"/>
          <w:u w:val="none"/>
        </w:rPr>
        <w:t>Industri manufaktur global bertransformasi menuju smart factory yang mengintegrasikan Internet of Things (IoT), kecerdasan buatan, dan robotika otonom. Di lingkungan ini, Autonomous Guided Vehicle (AGV) menjadi tulang punggung logistik internal untuk memindahkan material antar stasiun kerja secara otomatis [1]. Namun, navigasi multi-AGV menghadapi tantangan serius: tabrakan antar kendaraan, deadlock di persimpangan, dan efisiensi rute yang menurun seiring bertambahnya jumlah AGV [2]. Sistem navigasi konvensional seperti Q-learning dan Double DQN telah diuji, tetapi hasilnya belum memuaskan dalam skenario multi-robot [3].</w:t>
      </w:r>
    </w:p>
    <w:p>
      <w:pPr>
        <w:pStyle w:val="BodyText"/>
      </w:pPr>
      <w:r>
        <w:rPr>
          <w:b w:val="0"/>
          <w:i w:val="0"/>
          <w:u w:val="none"/>
        </w:rPr>
        <w:t>Penelitian sebelumnya menunjukkan bahwa Q-learning memiliki keterbatasan dalam menangani state space yang besar karena menggunakan tabel Q yang diskrit [4]. Double DQN memperbaiki overestimation bias, namun masih menghasilkan konflik tinggi (5.8 per episode) pada koordinasi multi-AGV [5]. Pendekatan rule-based seperti traffic light atau prioritas tetap juga gagal beradaptasi dengan perubahan layout pabrik [6]. Oleh karena itu, diperlukan metode yang mampu belajar kebijakan koordinasi secara end-to-end dari pengalaman.</w:t>
      </w:r>
    </w:p>
    <w:p>
      <w:pPr>
        <w:pStyle w:val="BodyText"/>
      </w:pPr>
      <w:r>
        <w:rPr>
          <w:b w:val="0"/>
          <w:i w:val="0"/>
          <w:u w:val="none"/>
        </w:rPr>
        <w:t>Deep Q-Network (DQN) menawarkan solusi dengan menggunakan neural network untuk mengaproksimasi fungsi Q, sehingga dapat menangani state space kontinu [7]. Dengan shared experience replay, DQN memungkinkan beberapa AGV berbagi pengalaman belajar, mempercepat konvergensi dan mengurangi konflik [8]. Namun, penerapan DQN untuk koordinasi multi-AGV di smart factory masih jarang dieksplorasi secara sistematis.</w:t>
      </w:r>
    </w:p>
    <w:p>
      <w:pPr>
        <w:pStyle w:val="BodyText"/>
      </w:pPr>
      <w:r>
        <w:rPr>
          <w:b w:val="0"/>
          <w:i w:val="0"/>
          <w:u w:val="none"/>
        </w:rPr>
        <w:t>Kontribusi paper ini adalah: â¢ Arsitektur DQN dengan shared experience replay untuk navigasi multi-AGV yang mampu mengurangi konflik hingga 2.1 per episode. â¢ Analisis perbandingan komprehensif antara DQN, Double DQN, dan Q-learning pada metrik success rate, waktu tempuh, dan konflik. â¢ Evaluasi pengaruh learning rate terhadap konvergensi dan success rate. â¢ Dataset reward per episode dan konflik multi-AGV yang dapat direproduksi. â¢ Rekomendasi implementasi untuk smart factory berdasarkan hasil eksperimen.</w:t>
      </w:r>
    </w:p>
    <w:p>
      <w:pPr>
        <w:pStyle w:val="BodyText"/>
      </w:pPr>
      <w:r>
        <w:rPr>
          <w:b w:val="0"/>
          <w:i w:val="0"/>
          <w:u w:val="none"/>
        </w:rPr>
        <w:t>Paper ini disusun sebagai berikut: Bagian 2 membahas tinjauan pustaka tentang navigasi AGV dan reinforcement learning. Bagian 3 menjelaskan metodologi yang diusulkan. Bagian 4 menyajikan hasil dan pembahasan. Bagian 5 memberikan kesimpulan dan saran penelitian lanjutan.</w:t>
      </w:r>
    </w:p>
    <w:p>
      <w:pPr>
        <w:pStyle w:val="Heading1"/>
      </w:pPr>
      <w:r>
        <w:rPr>
          <w:b w:val="0"/>
          <w:i w:val="0"/>
          <w:u w:val="none"/>
        </w:rPr>
        <w:t>II. TINJAUAN PUSTAKA</w:t>
      </w:r>
    </w:p>
    <w:p>
      <w:pPr>
        <w:pStyle w:val="BodyText"/>
      </w:pPr>
      <w:r>
        <w:rPr>
          <w:b w:val="0"/>
          <w:i w:val="0"/>
          <w:u w:val="none"/>
        </w:rPr>
        <w:t>Navigasi AGV telah menjadi fokus penelitian selama dua dekade terakhir. Metode klasik seperti potential field dan A* masih digunakan, tetapi memiliki kelemahan dalam lingkungan dinamis [9]. Reinforcement learning (RL) muncul sebagai alternatif karena mampu belajar dari interaksi dengan lingkungan [10]. Q-learning, sebagai algoritma RL dasar, telah diimplementasikan untuk navigasi AGV tunggal dengan hasil yang moderat [11].</w:t>
      </w:r>
    </w:p>
    <w:p>
      <w:pPr>
        <w:spacing w:before="120" w:after="40"/>
        <w:jc w:val="center"/>
      </w:pPr>
      <w:r>
        <w:drawing>
          <wp:inline xmlns:a="http://schemas.openxmlformats.org/drawingml/2006/main" xmlns:pic="http://schemas.openxmlformats.org/drawingml/2006/picture">
            <wp:extent cx="3024000" cy="1650797"/>
            <wp:docPr id="1" name="Picture 1"/>
            <wp:cNvGraphicFramePr>
              <a:graphicFrameLocks noChangeAspect="1"/>
            </wp:cNvGraphicFramePr>
            <a:graphic>
              <a:graphicData uri="http://schemas.openxmlformats.org/drawingml/2006/picture">
                <pic:pic>
                  <pic:nvPicPr>
                    <pic:cNvPr id="0" name="584864e75d0b4ce88ce3bdc6b0eb81a4.jpg"/>
                    <pic:cNvPicPr/>
                  </pic:nvPicPr>
                  <pic:blipFill>
                    <a:blip r:embed="rId9"/>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1. Arsitektur DQN untuk navigasi AGV</w:t>
      </w:r>
    </w:p>
    <w:p>
      <w:pPr>
        <w:pStyle w:val="BodyText"/>
      </w:pPr>
      <w:r>
        <w:rPr>
          <w:b w:val="0"/>
          <w:i w:val="0"/>
          <w:u w:val="none"/>
        </w:rPr>
        <w:t>Gambar 1 menunjukkan arsitektur DQN yang digunakan dalam penelitian ini. Jaringan saraf menerima input state yang terdiri dari posisi AGV, orientasi, jarak ke obstacle, dan posisi tujuan. Output berupa Q-value untuk empat aksi diskrit. Pengalaman disimpan di replay buffer dan diambil secara acak untuk training, sehingga mengurangi korelasi antar sampel [7].</w:t>
      </w:r>
    </w:p>
    <w:p>
      <w:pPr>
        <w:pStyle w:val="BodyText"/>
      </w:pPr>
      <w:r>
        <w:rPr>
          <w:b w:val="0"/>
          <w:i w:val="0"/>
          <w:u w:val="none"/>
        </w:rPr>
        <w:t>Double DQN diperkenalkan untuk mengatasi overestimation bias pada DQN standar [12]. Dengan memisahkan pemilihan aksi dan evaluasi, Double DQN menghasilkan estimasi Q-value yang lebih akurat. Namun, dalam konteks multi-AGV, Double DQN masih menghasilkan konflik yang signifikan karena tidak ada mekanisme koordinasi eksplisit antar agen [5].</w:t>
      </w:r>
    </w:p>
    <w:p>
      <w:pPr>
        <w:pStyle w:val="BodyText"/>
      </w:pPr>
      <w:r>
        <w:rPr>
          <w:b w:val="0"/>
          <w:i w:val="0"/>
          <w:u w:val="none"/>
        </w:rPr>
        <w:t>Koordinasi multi-robot telah dipelajari menggunakan berbagai pendekatan. Metode terpusat seperti multi-agent RL dengan centralized critic menunjukkan hasil baik, tetapi memerlukan komunikasi penuh antar agen [13]. Pendekatan desentralisasi seperti independent Q-learning lebih sederhana, namun rentan terhadap non-stationarity [14]. Shared experience replay menawarkan kompromi dengan berbagi pengalaman tanpa berbagi kebijakan secara langsung [8].</w:t>
      </w:r>
    </w:p>
    <w:p>
      <w:pPr>
        <w:pStyle w:val="tablehead"/>
      </w:pPr>
      <w:r>
        <w:rPr>
          <w:b w:val="0"/>
          <w:i w:val="0"/>
          <w:u w:val="none"/>
        </w:rPr>
        <w:t>TABLE I. Perbandingan metode navigasi AGV</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Success Rate (%)</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Konflik/Episode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Kompleksitas</w:t>
            </w:r>
          </w:p>
        </w:tc>
      </w:tr>
      <w:tr>
        <w:tc>
          <w:tcPr>
            <w:tcW w:type="dxa" w:w="2530"/>
            <w:tcBorders>
              <w:top w:val="none"/>
              <w:bottom w:val="none"/>
              <w:left w:val="none"/>
              <w:right w:val="none"/>
            </w:tcBorders>
          </w:tcPr>
          <w:p>
            <w:pPr>
              <w:pStyle w:val="tablecopy"/>
              <w:jc w:val="center"/>
            </w:pPr>
            <w:r/>
            <w:r>
              <w:rPr>
                <w:b w:val="0"/>
                <w:i w:val="0"/>
                <w:u w:val="none"/>
              </w:rPr>
              <w:t>Q-learning</w:t>
            </w:r>
          </w:p>
        </w:tc>
        <w:tc>
          <w:tcPr>
            <w:tcW w:type="dxa" w:w="2530"/>
            <w:tcBorders>
              <w:top w:val="none"/>
              <w:bottom w:val="none"/>
              <w:left w:val="none"/>
              <w:right w:val="none"/>
            </w:tcBorders>
          </w:tcPr>
          <w:p>
            <w:pPr>
              <w:pStyle w:val="tablecopy"/>
              <w:jc w:val="center"/>
            </w:pPr>
            <w:r/>
            <w:r>
              <w:rPr>
                <w:b w:val="0"/>
                <w:i w:val="0"/>
                <w:u w:val="none"/>
              </w:rPr>
              <w:t>71.3</w:t>
            </w:r>
          </w:p>
        </w:tc>
        <w:tc>
          <w:tcPr>
            <w:tcW w:type="dxa" w:w="2530"/>
            <w:tcBorders>
              <w:top w:val="none"/>
              <w:bottom w:val="none"/>
              <w:left w:val="none"/>
              <w:right w:val="none"/>
            </w:tcBorders>
          </w:tcPr>
          <w:p>
            <w:pPr>
              <w:pStyle w:val="tablecopy"/>
              <w:jc w:val="center"/>
            </w:pPr>
            <w:r/>
            <w:r>
              <w:rPr>
                <w:b w:val="0"/>
                <w:i w:val="0"/>
                <w:u w:val="none"/>
              </w:rPr>
              <w:t>12.5</w:t>
            </w:r>
          </w:p>
        </w:tc>
        <w:tc>
          <w:tcPr>
            <w:tcW w:type="dxa" w:w="2530"/>
            <w:tcBorders>
              <w:top w:val="none"/>
              <w:bottom w:val="none"/>
              <w:left w:val="none"/>
              <w:right w:val="none"/>
            </w:tcBorders>
          </w:tcPr>
          <w:p>
            <w:pPr>
              <w:pStyle w:val="tablecopy"/>
              <w:jc w:val="center"/>
            </w:pPr>
            <w:r/>
            <w:r>
              <w:rPr>
                <w:b w:val="0"/>
                <w:i w:val="0"/>
                <w:u w:val="none"/>
              </w:rPr>
              <w:t>Rendah</w:t>
            </w:r>
          </w:p>
        </w:tc>
      </w:tr>
      <w:tr>
        <w:tc>
          <w:tcPr>
            <w:tcW w:type="dxa" w:w="2530"/>
            <w:tcBorders>
              <w:top w:val="none"/>
              <w:bottom w:val="none"/>
              <w:left w:val="none"/>
              <w:right w:val="none"/>
            </w:tcBorders>
          </w:tcPr>
          <w:p>
            <w:pPr>
              <w:pStyle w:val="tablecopy"/>
              <w:jc w:val="center"/>
            </w:pPr>
            <w:r/>
            <w:r>
              <w:rPr>
                <w:b w:val="0"/>
                <w:i w:val="0"/>
                <w:u w:val="none"/>
              </w:rPr>
              <w:t>Double DQN</w:t>
            </w:r>
          </w:p>
        </w:tc>
        <w:tc>
          <w:tcPr>
            <w:tcW w:type="dxa" w:w="2530"/>
            <w:tcBorders>
              <w:top w:val="none"/>
              <w:bottom w:val="none"/>
              <w:left w:val="none"/>
              <w:right w:val="none"/>
            </w:tcBorders>
          </w:tcPr>
          <w:p>
            <w:pPr>
              <w:pStyle w:val="tablecopy"/>
              <w:jc w:val="center"/>
            </w:pPr>
            <w:r/>
            <w:r>
              <w:rPr>
                <w:b w:val="0"/>
                <w:i w:val="0"/>
                <w:u w:val="none"/>
              </w:rPr>
              <w:t>89.2</w:t>
            </w:r>
          </w:p>
        </w:tc>
        <w:tc>
          <w:tcPr>
            <w:tcW w:type="dxa" w:w="2530"/>
            <w:tcBorders>
              <w:top w:val="none"/>
              <w:bottom w:val="none"/>
              <w:left w:val="none"/>
              <w:right w:val="none"/>
            </w:tcBorders>
          </w:tcPr>
          <w:p>
            <w:pPr>
              <w:pStyle w:val="tablecopy"/>
              <w:jc w:val="center"/>
            </w:pPr>
            <w:r/>
            <w:r>
              <w:rPr>
                <w:b w:val="0"/>
                <w:i w:val="0"/>
                <w:u w:val="none"/>
              </w:rPr>
              <w:t>5.8</w:t>
            </w:r>
          </w:p>
        </w:tc>
        <w:tc>
          <w:tcPr>
            <w:tcW w:type="dxa" w:w="2530"/>
            <w:tcBorders>
              <w:top w:val="none"/>
              <w:bottom w:val="none"/>
              <w:left w:val="none"/>
              <w:right w:val="none"/>
            </w:tcBorders>
          </w:tcPr>
          <w:p>
            <w:pPr>
              <w:pStyle w:val="tablecopy"/>
              <w:jc w:val="center"/>
            </w:pPr>
            <w:r/>
            <w:r>
              <w:rPr>
                <w:b w:val="0"/>
                <w:i w:val="0"/>
                <w:u w:val="none"/>
              </w:rPr>
              <w:t>Sedang</w:t>
            </w:r>
          </w:p>
        </w:tc>
      </w:tr>
      <w:tr>
        <w:tc>
          <w:tcPr>
            <w:tcW w:type="dxa" w:w="2530"/>
            <w:tcBorders>
              <w:top w:val="none"/>
              <w:bottom w:val="none"/>
              <w:left w:val="none"/>
              <w:right w:val="none"/>
            </w:tcBorders>
          </w:tcPr>
          <w:p>
            <w:pPr>
              <w:pStyle w:val="tablecopy"/>
              <w:jc w:val="center"/>
            </w:pPr>
            <w:r/>
            <w:r>
              <w:rPr>
                <w:b w:val="0"/>
                <w:i w:val="0"/>
                <w:u w:val="none"/>
              </w:rPr>
              <w:t>DQN (proposed)</w:t>
            </w:r>
          </w:p>
        </w:tc>
        <w:tc>
          <w:tcPr>
            <w:tcW w:type="dxa" w:w="2530"/>
            <w:tcBorders>
              <w:top w:val="none"/>
              <w:bottom w:val="none"/>
              <w:left w:val="none"/>
              <w:right w:val="none"/>
            </w:tcBorders>
          </w:tcPr>
          <w:p>
            <w:pPr>
              <w:pStyle w:val="tablecopy"/>
              <w:jc w:val="center"/>
            </w:pPr>
            <w:r/>
            <w:r>
              <w:rPr>
                <w:b w:val="0"/>
                <w:i w:val="0"/>
                <w:u w:val="none"/>
              </w:rPr>
              <w:t>94.5</w:t>
            </w:r>
          </w:p>
        </w:tc>
        <w:tc>
          <w:tcPr>
            <w:tcW w:type="dxa" w:w="2530"/>
            <w:tcBorders>
              <w:top w:val="none"/>
              <w:bottom w:val="none"/>
              <w:left w:val="none"/>
              <w:right w:val="none"/>
            </w:tcBorders>
          </w:tcPr>
          <w:p>
            <w:pPr>
              <w:pStyle w:val="tablecopy"/>
              <w:jc w:val="center"/>
            </w:pPr>
            <w:r/>
            <w:r>
              <w:rPr>
                <w:b w:val="0"/>
                <w:i w:val="0"/>
                <w:u w:val="none"/>
              </w:rPr>
              <w:t>2.1</w:t>
            </w:r>
          </w:p>
        </w:tc>
        <w:tc>
          <w:tcPr>
            <w:tcW w:type="dxa" w:w="2530"/>
            <w:tcBorders>
              <w:top w:val="none"/>
              <w:bottom w:val="none"/>
              <w:left w:val="none"/>
              <w:right w:val="none"/>
            </w:tcBorders>
          </w:tcPr>
          <w:p>
            <w:pPr>
              <w:pStyle w:val="tablecopy"/>
              <w:jc w:val="center"/>
            </w:pPr>
            <w:r/>
            <w:r>
              <w:rPr>
                <w:b w:val="0"/>
                <w:i w:val="0"/>
                <w:u w:val="none"/>
              </w:rPr>
              <w:t>Sedang</w:t>
            </w:r>
          </w:p>
        </w:tc>
      </w:tr>
      <w:tr>
        <w:tc>
          <w:tcPr>
            <w:tcW w:type="dxa" w:w="2530"/>
            <w:tcBorders>
              <w:top w:val="none"/>
              <w:bottom w:val="single" w:sz="8" w:space="0" w:color="auto"/>
              <w:left w:val="none"/>
              <w:right w:val="none"/>
            </w:tcBorders>
          </w:tcPr>
          <w:p>
            <w:pPr>
              <w:pStyle w:val="tablecopy"/>
              <w:jc w:val="center"/>
            </w:pPr>
            <w:r/>
            <w:r>
              <w:rPr>
                <w:b w:val="0"/>
                <w:i w:val="0"/>
                <w:u w:val="none"/>
              </w:rPr>
              <w:t>Random</w:t>
            </w:r>
          </w:p>
        </w:tc>
        <w:tc>
          <w:tcPr>
            <w:tcW w:type="dxa" w:w="2530"/>
            <w:tcBorders>
              <w:top w:val="none"/>
              <w:bottom w:val="single" w:sz="8" w:space="0" w:color="auto"/>
              <w:left w:val="none"/>
              <w:right w:val="none"/>
            </w:tcBorders>
          </w:tcPr>
          <w:p>
            <w:pPr>
              <w:pStyle w:val="tablecopy"/>
              <w:jc w:val="center"/>
            </w:pPr>
            <w:r/>
            <w:r>
              <w:rPr>
                <w:b w:val="0"/>
                <w:i w:val="0"/>
                <w:u w:val="none"/>
              </w:rPr>
              <w:t>23.1</w:t>
            </w:r>
          </w:p>
        </w:tc>
        <w:tc>
          <w:tcPr>
            <w:tcW w:type="dxa" w:w="2530"/>
            <w:tcBorders>
              <w:top w:val="none"/>
              <w:bottom w:val="single" w:sz="8" w:space="0" w:color="auto"/>
              <w:left w:val="none"/>
              <w:right w:val="none"/>
            </w:tcBorders>
          </w:tcPr>
          <w:p>
            <w:pPr>
              <w:pStyle w:val="tablecopy"/>
              <w:jc w:val="center"/>
            </w:pPr>
            <w:r/>
            <w:r>
              <w:rPr>
                <w:b w:val="0"/>
                <w:i w:val="0"/>
                <w:u w:val="none"/>
              </w:rPr>
              <w:t>35.7</w:t>
            </w:r>
          </w:p>
        </w:tc>
        <w:tc>
          <w:tcPr>
            <w:tcW w:type="dxa" w:w="2530"/>
            <w:tcBorders>
              <w:top w:val="none"/>
              <w:bottom w:val="single" w:sz="8" w:space="0" w:color="auto"/>
              <w:left w:val="none"/>
              <w:right w:val="none"/>
            </w:tcBorders>
          </w:tcPr>
          <w:p>
            <w:pPr>
              <w:pStyle w:val="tablecopy"/>
              <w:jc w:val="center"/>
            </w:pPr>
            <w:r/>
            <w:r>
              <w:rPr>
                <w:b w:val="0"/>
                <w:i w:val="0"/>
                <w:u w:val="none"/>
              </w:rPr>
              <w:t>Rendah</w:t>
            </w:r>
          </w:p>
        </w:tc>
      </w:tr>
    </w:tbl>
    <w:p>
      <w:pPr>
        <w:spacing w:after="80"/>
      </w:pPr>
    </w:p>
    <w:p>
      <w:pPr>
        <w:pStyle w:val="BodyText"/>
      </w:pPr>
      <w:r>
        <w:rPr>
          <w:b w:val="0"/>
          <w:i w:val="0"/>
          <w:u w:val="none"/>
        </w:rPr>
        <w:t>Tabel I membandingkan metode navigasi AGV dari literatur. Q-learning memiliki success rate terendah (71.3%) dengan konflik tertinggi (12.5 per episode). Double DQN meningkatkan success rate menjadi 89.2% namun konflik masih 5.8 per episode. DQN yang diusulkan mencapai success rate 94.5% dengan konflik hanya 2.1 per episode, menunjukkan efektivitas shared experience replay.</w:t>
      </w:r>
    </w:p>
    <w:p>
      <w:pPr>
        <w:pStyle w:val="BodyText"/>
      </w:pPr>
      <w:r>
        <w:rPr>
          <w:b w:val="0"/>
          <w:i w:val="0"/>
          <w:u w:val="none"/>
        </w:rPr>
        <w:t>Penelitian terbaru oleh Zhang et al. [15] menggunakan DQN untuk navigasi AGV di gudang otomatis, mencapai success rate 92% tetapi tanpa koordinasi multi-AGV. Wang et al. [16] mengusulkan multi-agent DQN dengan komunikasi terbatas, menghasilkan konflik 3.5 per episode. Penelitian ini melengkapi celah tersebut dengan mengintegrasikan shared experience replay untuk koordinasi yang lebih baik.</w:t>
      </w:r>
    </w:p>
    <w:p>
      <w:pPr>
        <w:pStyle w:val="Heading2"/>
      </w:pPr>
      <w:r>
        <w:rPr>
          <w:i/>
        </w:rPr>
        <w:t>A. Reinforcement Learning untuk Navigasi</w:t>
      </w:r>
    </w:p>
    <w:p>
      <w:pPr>
        <w:pStyle w:val="BodyText"/>
      </w:pPr>
      <w:r>
        <w:rPr>
          <w:b w:val="0"/>
          <w:i w:val="0"/>
          <w:u w:val="none"/>
        </w:rPr>
        <w:t>Reinforcement learning (RL) adalah paradigma pembelajaran di mana agen belajar melalui trial-and-error dengan memaksimalkan reward kumulatif [10]. Dalam konteks navigasi AGV, state terdiri dari posisi, orientasi, dan informasi sensor. Aksi meliputi pergerakan maju, belok kiri, belok kanan, dan berhenti. Reward dirancang untuk memberikan sinyal positif saat mencapai tujuan dan negatif saat tabrakan atau langkah berlebihan [17].</w:t>
      </w:r>
    </w:p>
    <w:p>
      <w:pPr>
        <w:pStyle w:val="equation"/>
        <w:tabs>
          <w:tab w:pos="2433" w:val="center"/>
          <w:tab w:pos="4866" w:val="right"/>
        </w:tabs>
        <w:jc w:val="left"/>
      </w:pPr>
      <w:r>
        <w:tab/>
      </w:r>
      <m:oMath xmlns:mml="http://www.w3.org/1998/Math/MathML">
        <m:r>
          <m:t>Q(s,a)=Q(s,a)+α</m:t>
        </m:r>
        <m:r>
          <m:t>(r+γ</m:t>
        </m:r>
        <m:sSub>
          <m:e>
            <m:r>
              <m:t>max</m:t>
            </m:r>
          </m:e>
          <m:sub>
            <m:sSup>
              <m:e>
                <m:r>
                  <m:t>a</m:t>
                </m:r>
              </m:e>
              <m:sup>
                <m:r>
                  <m:t>′</m:t>
                </m:r>
              </m:sup>
            </m:sSup>
          </m:sub>
        </m:sSub>
        <m:r>
          <m:t>Q(</m:t>
        </m:r>
        <m:sSup>
          <m:e>
            <m:r>
              <m:t>s</m:t>
            </m:r>
          </m:e>
          <m:sup>
            <m:r>
              <m:t>′</m:t>
            </m:r>
          </m:sup>
        </m:sSup>
        <m:r>
          <m:t>,</m:t>
        </m:r>
        <m:sSup>
          <m:e>
            <m:r>
              <m:t>a</m:t>
            </m:r>
          </m:e>
          <m:sup>
            <m:r>
              <m:t>′</m:t>
            </m:r>
          </m:sup>
        </m:sSup>
        <m:r>
          <m:t>)−Q(s,a))</m:t>
        </m:r>
      </m:oMath>
      <w:r>
        <w:tab/>
        <w:t>(1)</w:t>
      </w:r>
    </w:p>
    <w:p>
      <w:pPr>
        <w:pStyle w:val="BodyText"/>
      </w:pPr>
      <w:r>
        <w:rPr>
          <w:b w:val="0"/>
          <w:i w:val="0"/>
          <w:u w:val="none"/>
        </w:rPr>
        <w:t xml:space="preserve">Persamaan (1) adalah aturan pembaruan Q-learning standar. Di sini, </w:t>
      </w:r>
      <m:oMath xmlns:mml="http://www.w3.org/1998/Math/MathML">
        <m:r>
          <m:t>Q(s,a)</m:t>
        </m:r>
      </m:oMath>
      <w:r>
        <w:rPr>
          <w:b w:val="0"/>
          <w:i w:val="0"/>
          <w:u w:val="none"/>
        </w:rPr>
        <w:t xml:space="preserve"> adalah nilai Q untuk state </w:t>
      </w:r>
      <m:oMath xmlns:mml="http://www.w3.org/1998/Math/MathML">
        <m:r>
          <m:t>s</m:t>
        </m:r>
      </m:oMath>
      <w:r>
        <w:rPr>
          <w:b w:val="0"/>
          <w:i w:val="0"/>
          <w:u w:val="none"/>
        </w:rPr>
        <w:t xml:space="preserve"> dan aksi </w:t>
      </w:r>
      <m:oMath xmlns:mml="http://www.w3.org/1998/Math/MathML">
        <m:r>
          <m:t>a</m:t>
        </m:r>
      </m:oMath>
      <w:r>
        <w:rPr>
          <w:b w:val="0"/>
          <w:i w:val="0"/>
          <w:u w:val="none"/>
        </w:rPr>
        <w:t xml:space="preserve">, </w:t>
      </w:r>
      <m:oMath xmlns:mml="http://www.w3.org/1998/Math/MathML">
        <m:r>
          <m:t>α</m:t>
        </m:r>
      </m:oMath>
      <w:r>
        <w:rPr>
          <w:b w:val="0"/>
          <w:i w:val="0"/>
          <w:u w:val="none"/>
        </w:rPr>
        <w:t xml:space="preserve"> adalah learning rate, </w:t>
      </w:r>
      <m:oMath xmlns:mml="http://www.w3.org/1998/Math/MathML">
        <m:r>
          <m:t>r</m:t>
        </m:r>
      </m:oMath>
      <w:r>
        <w:rPr>
          <w:b w:val="0"/>
          <w:i w:val="0"/>
          <w:u w:val="none"/>
        </w:rPr>
        <w:t xml:space="preserve"> adalah reward, </w:t>
      </w:r>
      <m:oMath xmlns:mml="http://www.w3.org/1998/Math/MathML">
        <m:r>
          <m:t>γ</m:t>
        </m:r>
      </m:oMath>
      <w:r>
        <w:rPr>
          <w:b w:val="0"/>
          <w:i w:val="0"/>
          <w:u w:val="none"/>
        </w:rPr>
        <w:t xml:space="preserve"> adalah discount factor, dan </w:t>
      </w:r>
      <m:oMath xmlns:mml="http://www.w3.org/1998/Math/MathML">
        <m:sSub>
          <m:e>
            <m:r>
              <m:t>max</m:t>
            </m:r>
          </m:e>
          <m:sub>
            <m:sSup>
              <m:e>
                <m:r>
                  <m:t>a</m:t>
                </m:r>
              </m:e>
              <m:sup>
                <m:r>
                  <m:t>′</m:t>
                </m:r>
              </m:sup>
            </m:sSup>
          </m:sub>
        </m:sSub>
        <m:r>
          <m:t>Q(</m:t>
        </m:r>
        <m:sSup>
          <m:e>
            <m:r>
              <m:t>s</m:t>
            </m:r>
          </m:e>
          <m:sup>
            <m:r>
              <m:t>′</m:t>
            </m:r>
          </m:sup>
        </m:sSup>
        <m:r>
          <m:t>,</m:t>
        </m:r>
        <m:sSup>
          <m:e>
            <m:r>
              <m:t>a</m:t>
            </m:r>
          </m:e>
          <m:sup>
            <m:r>
              <m:t>′</m:t>
            </m:r>
          </m:sup>
        </m:sSup>
        <m:r>
          <m:t>)</m:t>
        </m:r>
      </m:oMath>
      <w:r>
        <w:rPr>
          <w:b w:val="0"/>
          <w:i w:val="0"/>
          <w:u w:val="none"/>
        </w:rPr>
        <w:t xml:space="preserve"> adalah estimasi nilai maksimum dari state berikutnya </w:t>
      </w:r>
      <m:oMath xmlns:mml="http://www.w3.org/1998/Math/MathML">
        <m:sSup>
          <m:e>
            <m:r>
              <m:t>s</m:t>
            </m:r>
          </m:e>
          <m:sup>
            <m:r>
              <m:t>′</m:t>
            </m:r>
          </m:sup>
        </m:sSup>
      </m:oMath>
      <w:r>
        <w:rPr>
          <w:b w:val="0"/>
          <w:i w:val="0"/>
          <w:u w:val="none"/>
        </w:rPr>
        <w:t>. Algoritma ini memperbarui estimasi Q-value secara iteratif menuju nilai optimal.</w:t>
      </w:r>
    </w:p>
    <w:p>
      <w:pPr>
        <w:pStyle w:val="BodyText"/>
      </w:pPr>
      <w:r>
        <w:rPr>
          <w:b w:val="0"/>
          <w:i w:val="0"/>
          <w:u w:val="none"/>
        </w:rPr>
        <w:t>DQN menggantikan tabel Q dengan neural network untuk mengaproksimasi fungsi Q [7]. Loss function yang digunakan adalah mean squared error antara target Q-value dan prediksi Q-value. Target dihitung menggunakan target network yang diperbarui secara periodik untuk stabilitas training. Experience replay buffer menyimpan transisi dan mengambil sampel acak untuk mengurangi korelasi temporal.</w:t>
      </w:r>
    </w:p>
    <w:p>
      <w:pPr>
        <w:pStyle w:val="equation"/>
        <w:tabs>
          <w:tab w:pos="2433" w:val="center"/>
          <w:tab w:pos="4866" w:val="right"/>
        </w:tabs>
        <w:jc w:val="left"/>
      </w:pPr>
      <w:r>
        <w:tab/>
      </w:r>
      <m:oMath xmlns:mml="http://www.w3.org/1998/Math/MathML">
        <m:r>
          <m:t>L(θ)=</m:t>
        </m:r>
        <m:sSub>
          <m:e>
            <m:r>
              <m:t>𝔼</m:t>
            </m:r>
          </m:e>
          <m:sub>
            <m:r>
              <m:t>(s,a,r,</m:t>
            </m:r>
            <m:sSup>
              <m:e>
                <m:r>
                  <m:t>s</m:t>
                </m:r>
              </m:e>
              <m:sup>
                <m:r>
                  <m:t>′</m:t>
                </m:r>
              </m:sup>
            </m:sSup>
            <m:r>
              <m:t>)~D</m:t>
            </m:r>
          </m:sub>
        </m:sSub>
        <m:r>
          <m:t>[</m:t>
        </m:r>
        <m:sSup>
          <m:e>
            <m:r>
              <m:t>(r+γ</m:t>
            </m:r>
            <m:sSub>
              <m:e>
                <m:r>
                  <m:t>max</m:t>
                </m:r>
              </m:e>
              <m:sub>
                <m:sSup>
                  <m:e>
                    <m:r>
                      <m:t>a</m:t>
                    </m:r>
                  </m:e>
                  <m:sup>
                    <m:r>
                      <m:t>′</m:t>
                    </m:r>
                  </m:sup>
                </m:sSup>
              </m:sub>
            </m:sSub>
            <m:r>
              <m:t>Q(</m:t>
            </m:r>
            <m:sSup>
              <m:e>
                <m:r>
                  <m:t>s</m:t>
                </m:r>
              </m:e>
              <m:sup>
                <m:r>
                  <m:t>′</m:t>
                </m:r>
              </m:sup>
            </m:sSup>
            <m:r>
              <m:t>,</m:t>
            </m:r>
            <m:sSup>
              <m:e>
                <m:r>
                  <m:t>a</m:t>
                </m:r>
              </m:e>
              <m:sup>
                <m:r>
                  <m:t>′</m:t>
                </m:r>
              </m:sup>
            </m:sSup>
            <m:r>
              <m:t>;</m:t>
            </m:r>
            <m:sSup>
              <m:e>
                <m:r>
                  <m:t>θ</m:t>
                </m:r>
              </m:e>
              <m:sup>
                <m:r>
                  <m:t>−</m:t>
                </m:r>
              </m:sup>
            </m:sSup>
            <m:r>
              <m:t>)−Q(s,a;θ))</m:t>
            </m:r>
          </m:e>
          <m:sup>
            <m:r>
              <m:t>2</m:t>
            </m:r>
          </m:sup>
        </m:sSup>
        <m:r>
          <m:t>]</m:t>
        </m:r>
      </m:oMath>
      <w:r>
        <w:tab/>
        <w:t>(2)</w:t>
      </w:r>
    </w:p>
    <w:p>
      <w:pPr>
        <w:pStyle w:val="BodyText"/>
      </w:pPr>
      <w:r>
        <w:rPr>
          <w:b w:val="0"/>
          <w:i w:val="0"/>
          <w:u w:val="none"/>
        </w:rPr>
        <w:t xml:space="preserve">Persamaan (2) mendefinisikan loss function DQN. </w:t>
      </w:r>
      <m:oMath xmlns:mml="http://www.w3.org/1998/Math/MathML">
        <m:r>
          <m:t>θ</m:t>
        </m:r>
      </m:oMath>
      <w:r>
        <w:rPr>
          <w:b w:val="0"/>
          <w:i w:val="0"/>
          <w:u w:val="none"/>
        </w:rPr>
        <w:t xml:space="preserve"> adalah parameter jaringan utama, </w:t>
      </w:r>
      <m:oMath xmlns:mml="http://www.w3.org/1998/Math/MathML">
        <m:sSup>
          <m:e>
            <m:r>
              <m:t>θ</m:t>
            </m:r>
          </m:e>
          <m:sup>
            <m:r>
              <m:t>−</m:t>
            </m:r>
          </m:sup>
        </m:sSup>
      </m:oMath>
      <w:r>
        <w:rPr>
          <w:b w:val="0"/>
          <w:i w:val="0"/>
          <w:u w:val="none"/>
        </w:rPr>
        <w:t xml:space="preserve"> adalah parameter target network, </w:t>
      </w:r>
      <m:oMath xmlns:mml="http://www.w3.org/1998/Math/MathML">
        <m:r>
          <m:t>D</m:t>
        </m:r>
      </m:oMath>
      <w:r>
        <w:rPr>
          <w:b w:val="0"/>
          <w:i w:val="0"/>
          <w:u w:val="none"/>
        </w:rPr>
        <w:t xml:space="preserve"> adalah replay buffer, dan </w:t>
      </w:r>
      <m:oMath xmlns:mml="http://www.w3.org/1998/Math/MathML">
        <m:r>
          <m:t>𝔼</m:t>
        </m:r>
      </m:oMath>
      <w:r>
        <w:rPr>
          <w:b w:val="0"/>
          <w:i w:val="0"/>
          <w:u w:val="none"/>
        </w:rPr>
        <w:t xml:space="preserve"> adalah ekspektasi atas sampel. Target </w:t>
      </w:r>
      <m:oMath xmlns:mml="http://www.w3.org/1998/Math/MathML">
        <m:r>
          <m:t>r+γ</m:t>
        </m:r>
        <m:sSub>
          <m:e>
            <m:r>
              <m:t>max</m:t>
            </m:r>
          </m:e>
          <m:sub>
            <m:sSup>
              <m:e>
                <m:r>
                  <m:t>a</m:t>
                </m:r>
              </m:e>
              <m:sup>
                <m:r>
                  <m:t>′</m:t>
                </m:r>
              </m:sup>
            </m:sSup>
          </m:sub>
        </m:sSub>
        <m:r>
          <m:t>Q(</m:t>
        </m:r>
        <m:sSup>
          <m:e>
            <m:r>
              <m:t>s</m:t>
            </m:r>
          </m:e>
          <m:sup>
            <m:r>
              <m:t>′</m:t>
            </m:r>
          </m:sup>
        </m:sSup>
        <m:r>
          <m:t>,</m:t>
        </m:r>
        <m:sSup>
          <m:e>
            <m:r>
              <m:t>a</m:t>
            </m:r>
          </m:e>
          <m:sup>
            <m:r>
              <m:t>′</m:t>
            </m:r>
          </m:sup>
        </m:sSup>
        <m:r>
          <m:t>;</m:t>
        </m:r>
        <m:sSup>
          <m:e>
            <m:r>
              <m:t>θ</m:t>
            </m:r>
          </m:e>
          <m:sup>
            <m:r>
              <m:t>−</m:t>
            </m:r>
          </m:sup>
        </m:sSup>
        <m:r>
          <m:t>)</m:t>
        </m:r>
      </m:oMath>
      <w:r>
        <w:rPr>
          <w:b w:val="0"/>
          <w:i w:val="0"/>
          <w:u w:val="none"/>
        </w:rPr>
        <w:t xml:space="preserve"> dihitung menggunakan target network yang tetap selama beberapa iterasi, sehingga mengurangi osilasi.</w:t>
      </w:r>
    </w:p>
    <w:p>
      <w:pPr>
        <w:pStyle w:val="BodyText"/>
      </w:pPr>
      <w:r>
        <w:rPr>
          <w:b w:val="0"/>
          <w:i w:val="0"/>
          <w:u w:val="none"/>
        </w:rPr>
        <w:t>Double DQN memodifikasi target dengan memisahkan pemilihan aksi dan evaluasi [12]. Aksi dipilih menggunakan jaringan utama, tetapi nilainya dievaluasi menggunakan target network. Ini mengurangi overestimation bias yang umum pada DQN standar. Namun, dalam lingkungan multi-AGV, Double DQN masih kesulitan karena setiap agen berasumsi agen lain statis.</w:t>
      </w:r>
    </w:p>
    <w:p>
      <w:pPr>
        <w:pStyle w:val="Heading2"/>
      </w:pPr>
      <w:r>
        <w:rPr>
          <w:i/>
        </w:rPr>
        <w:t>B. Koordinasi Multi-AGV</w:t>
      </w:r>
    </w:p>
    <w:p>
      <w:pPr>
        <w:pStyle w:val="BodyText"/>
      </w:pPr>
      <w:r>
        <w:rPr>
          <w:b w:val="0"/>
          <w:i w:val="0"/>
          <w:u w:val="none"/>
        </w:rPr>
        <w:t>Koordinasi multi-AGV bertujuan untuk menghindari tabrakan dan deadlock sambil memaksimalkan throughput sistem [18]. Pendekatan terpusat menggunakan satu pengontrol yang mengelola semua AGV, memberikan solusi optimal secara global tetapi memerlukan bandwidth komunikasi tinggi [13]. Pendekatan desentralisasi memberikan otonomi pada setiap AGV, tetapi dapat menyebabkan perilaku non-kooperatif [14].</w:t>
      </w:r>
    </w:p>
    <w:p>
      <w:pPr>
        <w:spacing w:before="120" w:after="40"/>
        <w:jc w:val="center"/>
      </w:pPr>
      <w:r>
        <w:drawing>
          <wp:inline xmlns:a="http://schemas.openxmlformats.org/drawingml/2006/main" xmlns:pic="http://schemas.openxmlformats.org/drawingml/2006/picture">
            <wp:extent cx="3024000" cy="1650797"/>
            <wp:docPr id="2" name="Picture 2"/>
            <wp:cNvGraphicFramePr>
              <a:graphicFrameLocks noChangeAspect="1"/>
            </wp:cNvGraphicFramePr>
            <a:graphic>
              <a:graphicData uri="http://schemas.openxmlformats.org/drawingml/2006/picture">
                <pic:pic>
                  <pic:nvPicPr>
                    <pic:cNvPr id="0" name="3c277f1ab9484d7fb42b94a0c9ef3950.jpg"/>
                    <pic:cNvPicPr/>
                  </pic:nvPicPr>
                  <pic:blipFill>
                    <a:blip r:embed="rId10"/>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2. Skenario konflik multi-AGV di smart factory</w:t>
      </w:r>
    </w:p>
    <w:p>
      <w:pPr>
        <w:pStyle w:val="BodyText"/>
      </w:pPr>
      <w:r>
        <w:rPr>
          <w:b w:val="0"/>
          <w:i w:val="0"/>
          <w:u w:val="none"/>
        </w:rPr>
        <w:t>Gambar 2 mengilustrasikan skenario konflik multi-AGV di smart factory. Empat AGV bergerak di antara stasiun kerja, dengan dua AGV mendekati persimpangan secara bersamaan. Zona konflik ditandai lingkaran merah putus-putus. Tanpa koordinasi, tabrakan atau deadlock dapat terjadi, menurunkan efisiensi sistem.</w:t>
      </w:r>
    </w:p>
    <w:p>
      <w:pPr>
        <w:pStyle w:val="BodyText"/>
      </w:pPr>
      <w:r>
        <w:rPr>
          <w:b w:val="0"/>
          <w:i w:val="0"/>
          <w:u w:val="none"/>
        </w:rPr>
        <w:t>Shared experience replay memungkinkan setiap AGV menyimpan pengalamannya sendiri ke buffer bersama [8]. Saat training, sampel diambil dari buffer global, sehingga setiap agen belajar dari pengalaman agen lain. Ini mempercepat pembelajaran dan menghasilkan kebijakan yang lebih kooperatif. Penelitian ini mengadopsi pendekatan tersebut dengan buffer bersama untuk semua AGV.</w:t>
      </w:r>
    </w:p>
    <w:p>
      <w:pPr>
        <w:pStyle w:val="BodyText"/>
      </w:pPr>
      <w:r>
        <w:rPr>
          <w:b w:val="0"/>
          <w:i w:val="0"/>
          <w:u w:val="none"/>
        </w:rPr>
        <w:t>Reward function untuk koordinasi multi-AGV dirancang untuk menyeimbangkan pencapaian tujuan individu dan penghindaran konflik [19]. Reward positif diberikan saat AGV mencapai tujuan, reward negatif besar untuk tabrakan, dan reward kecil negatif untuk setiap langkah untuk mendorong efisiensi. Reward konflik bersama diberikan saat dua AGV terlalu dekat, mendorong mereka untuk belajar menghindar.</w:t>
      </w:r>
    </w:p>
    <w:p>
      <w:pPr>
        <w:pStyle w:val="equation"/>
        <w:tabs>
          <w:tab w:pos="2433" w:val="center"/>
          <w:tab w:pos="4866" w:val="right"/>
        </w:tabs>
        <w:jc w:val="left"/>
      </w:pPr>
      <w:r>
        <w:tab/>
      </w:r>
      <m:oMath xmlns:mml="http://www.w3.org/1998/Math/MathML">
        <m:sSub>
          <m:e>
            <m:r>
              <m:t>r</m:t>
            </m:r>
          </m:e>
          <m:sub>
            <m:r>
              <m:t>i</m:t>
            </m:r>
          </m:sub>
        </m:sSub>
        <m:r>
          <m:t>=</m:t>
        </m:r>
        <m:r>
          <m:t>{</m:t>
        </m:r>
        <m:m>
          <m:mPr>
            <m:baseJc m:val="center"/>
            <m:plcHide m:val="on"/>
            <m:mcs>
              <m:mc>
                <m:mcPr>
                  <m:count m:val="5"/>
                  <m:mcJc m:val="center"/>
                </m:mcPr>
              </m:mc>
            </m:mcs>
          </m:mPr>
          <m:mr>
            <m:e>
              <m:r>
                <m:t>+100,</m:t>
              </m:r>
            </m:e>
            <m:e>
              <m:r>
                <m:rPr>
                  <m:sty m:val="p"/>
                </m:rPr>
                <m:t>jikaAGVimencapaitujuan</m:t>
              </m:r>
              <m:r>
                <m:rPr>
                  <m:nor/>
                </m:rPr>
                <m:t> </m:t>
              </m:r>
              <m:r>
                <m:t>−50,</m:t>
              </m:r>
            </m:e>
            <m:e>
              <m:r>
                <m:rPr>
                  <m:sty m:val="p"/>
                </m:rPr>
                <m:t>jikaAGVitabrakan</m:t>
              </m:r>
              <m:r>
                <m:rPr>
                  <m:nor/>
                </m:rPr>
                <m:t> </m:t>
              </m:r>
              <m:r>
                <m:t>−1,</m:t>
              </m:r>
            </m:e>
            <m:e>
              <m:r>
                <m:rPr>
                  <m:sty m:val="p"/>
                </m:rPr>
                <m:t>perlangkahwaktu</m:t>
              </m:r>
              <m:r>
                <m:rPr>
                  <m:nor/>
                </m:rPr>
                <m:t> </m:t>
              </m:r>
              <m:r>
                <m:t>−10,</m:t>
              </m:r>
            </m:e>
            <m:e>
              <m:r>
                <m:rPr>
                  <m:sty m:val="p"/>
                </m:rPr>
                <m:t>jikajarakantarAGV</m:t>
              </m:r>
              <m:r>
                <m:t>&lt;0.5</m:t>
              </m:r>
              <m:r>
                <m:rPr>
                  <m:sty m:val="p"/>
                </m:rPr>
                <m:t>m</m:t>
              </m:r>
            </m:e>
          </m:mr>
        </m:m>
      </m:oMath>
      <w:r>
        <w:tab/>
        <w:t>(3)</w:t>
      </w:r>
    </w:p>
    <w:p>
      <w:pPr>
        <w:pStyle w:val="BodyText"/>
      </w:pPr>
      <w:r>
        <w:rPr>
          <w:b w:val="0"/>
          <w:i w:val="0"/>
          <w:u w:val="none"/>
        </w:rPr>
        <w:t xml:space="preserve">Persamaan (3) menunjukkan reward function untuk setiap AGV </w:t>
      </w:r>
      <m:oMath xmlns:mml="http://www.w3.org/1998/Math/MathML">
        <m:r>
          <m:t>i</m:t>
        </m:r>
      </m:oMath>
      <w:r>
        <w:rPr>
          <w:b w:val="0"/>
          <w:i w:val="0"/>
          <w:u w:val="none"/>
        </w:rPr>
        <w:t>. Reward +100 diberikan saat AGV mencapai tujuan, -50 untuk tabrakan, -1 per langkah untuk mendorong efisiensi, dan -10 jika jarak antar AGV kurang dari 0.5 meter untuk menghindari konflik. Reward bersama ini mendorong koordinasi tanpa komunikasi eksplisit.</w:t>
      </w:r>
    </w:p>
    <w:p>
      <w:pPr>
        <w:pStyle w:val="Heading1"/>
      </w:pPr>
      <w:r>
        <w:rPr>
          <w:b w:val="0"/>
          <w:i w:val="0"/>
          <w:u w:val="none"/>
        </w:rPr>
        <w:t>III. METODOLOGI</w:t>
      </w:r>
    </w:p>
    <w:p>
      <w:pPr>
        <w:pStyle w:val="BodyText"/>
      </w:pPr>
      <w:r>
        <w:rPr>
          <w:b w:val="0"/>
          <w:i w:val="0"/>
          <w:u w:val="none"/>
        </w:rPr>
        <w:t>Metodologi penelitian ini terdiri dari tiga tahap utama: desain lingkungan simulasi, implementasi algoritma DQN dengan shared experience replay, dan pengaturan parameter eksperimen. Lingkungan simulasi merepresentasikan smart factory dengan layout grid 10x10 meter, lima stasiun kerja, dan tiga AGV yang bergerak secara simultan [20].</w:t>
      </w:r>
    </w:p>
    <w:p>
      <w:pPr>
        <w:spacing w:before="120" w:after="40"/>
        <w:jc w:val="center"/>
      </w:pPr>
      <w:r>
        <w:drawing>
          <wp:inline xmlns:a="http://schemas.openxmlformats.org/drawingml/2006/main" xmlns:pic="http://schemas.openxmlformats.org/drawingml/2006/picture">
            <wp:extent cx="3024000" cy="1649455"/>
            <wp:docPr id="3" name="Picture 3"/>
            <wp:cNvGraphicFramePr>
              <a:graphicFrameLocks noChangeAspect="1"/>
            </wp:cNvGraphicFramePr>
            <a:graphic>
              <a:graphicData uri="http://schemas.openxmlformats.org/drawingml/2006/picture">
                <pic:pic>
                  <pic:nvPicPr>
                    <pic:cNvPr id="0" name="f2fbdef8e6504b8c9333b45eb8ddc17b.jpg"/>
                    <pic:cNvPicPr/>
                  </pic:nvPicPr>
                  <pic:blipFill>
                    <a:blip r:embed="rId11"/>
                    <a:stretch>
                      <a:fillRect/>
                    </a:stretch>
                  </pic:blipFill>
                  <pic:spPr>
                    <a:xfrm>
                      <a:off x="0" y="0"/>
                      <a:ext cx="3024000" cy="1649455"/>
                    </a:xfrm>
                    <a:prstGeom prst="rect"/>
                  </pic:spPr>
                </pic:pic>
              </a:graphicData>
            </a:graphic>
          </wp:inline>
        </w:drawing>
      </w:r>
    </w:p>
    <w:p>
      <w:pPr>
        <w:pStyle w:val="figurecaption"/>
        <w:jc w:val="center"/>
      </w:pPr>
      <w:r>
        <w:rPr>
          <w:b w:val="0"/>
          <w:i w:val="0"/>
          <w:u w:val="none"/>
        </w:rPr>
        <w:t>Fig. 3. Flowchart metodologi penelitian</w:t>
      </w:r>
    </w:p>
    <w:p>
      <w:pPr>
        <w:pStyle w:val="BodyText"/>
      </w:pPr>
      <w:r>
        <w:rPr>
          <w:b w:val="0"/>
          <w:i w:val="0"/>
          <w:u w:val="none"/>
        </w:rPr>
        <w:t>Gambar 3 menunjukkan flowchart metodologi penelitian. Proses dimulai dengan setup lingkungan, dilanjutkan dengan representasi state, pemilihan aksi menggunakan epsilon-greedy, eksekusi aksi, observasi reward, dan penyimpanan transisi ke shared buffer. Training dilakukan dengan sampling mini-batch dan update jaringan. Evaluasi dilakukan setiap episode untuk memantau konvergensi.</w:t>
      </w:r>
    </w:p>
    <w:p>
      <w:pPr>
        <w:pStyle w:val="Heading2"/>
      </w:pPr>
      <w:r>
        <w:rPr>
          <w:i/>
        </w:rPr>
        <w:t>A. Desain Lingkungan dan Representasi State</w:t>
      </w:r>
    </w:p>
    <w:p>
      <w:pPr>
        <w:pStyle w:val="BodyText"/>
      </w:pPr>
      <w:r>
        <w:rPr>
          <w:b w:val="0"/>
          <w:i w:val="0"/>
          <w:u w:val="none"/>
        </w:rPr>
        <w:t>Lingkungan simulasi dibangun menggunakan Python dengan library Gymnasium untuk kompatibilitas RL. Layout pabrik terdiri dari grid 10x10 meter dengan lima stasiun kerja di posisi tetap: (2,2), (2,8), (5,5), (8,2), dan (8,8). Tiga AGV ditempatkan di posisi awal berbeda: (1,1), (1,9), dan (9,1). Setiap AGV memiliki tugas mengirim material ke stasiun tujuan yang ditentukan secara acak setiap episode [21].</w:t>
      </w:r>
    </w:p>
    <w:p>
      <w:pPr>
        <w:pStyle w:val="BodyText"/>
      </w:pPr>
      <w:r>
        <w:rPr>
          <w:b w:val="0"/>
          <w:i w:val="0"/>
          <w:u w:val="none"/>
        </w:rPr>
        <w:t>State space untuk setiap AGV terdiri dari 7 variabel: posisi x dan y (dinormalisasi 0-1), orientasi theta (0-2Ï), jarak ke obstacle terdekat (meter), jarak ke tujuan (meter), dan posisi relatif AGV lain (dx, dy). Total state space berdimensi 7 per AGV. Aksi diskrit terdiri dari 4 opsi: maju 0.5 m, belok kiri 90Â°, belok kanan 90Â°, dan diam. Kecepatan linear konstan 0.5 m/s [22].</w:t>
      </w:r>
    </w:p>
    <w:p>
      <w:pPr>
        <w:pStyle w:val="BodyText"/>
      </w:pPr>
      <w:r>
        <w:rPr>
          <w:b w:val="0"/>
          <w:i w:val="0"/>
          <w:u w:val="none"/>
        </w:rPr>
        <w:t>Reward function mengikuti Persamaan (3) dengan tambahan reward progresif: AGV mendapat reward +0.1 setiap kali jarak ke tujuan berkurang, untuk mendorong eksplorasi yang efisien. Reward tabrakan -50 diberikan jika AGV menabrak obstacle atau AGV lain. Reward konflik -10 diberikan jika jarak antar AGV kurang dari 0.5 m, meskipun belum terjadi tabrakan. Ini mendorong AGV untuk menjaga jarak aman.</w:t>
      </w:r>
    </w:p>
    <w:p>
      <w:pPr>
        <w:pStyle w:val="Heading2"/>
      </w:pPr>
      <w:r>
        <w:rPr>
          <w:i/>
        </w:rPr>
        <w:t>B. Implementasi DQN dengan Shared Experience Replay</w:t>
      </w:r>
    </w:p>
    <w:p>
      <w:pPr>
        <w:pStyle w:val="BodyText"/>
      </w:pPr>
      <w:r>
        <w:rPr>
          <w:b w:val="0"/>
          <w:i w:val="0"/>
          <w:u w:val="none"/>
        </w:rPr>
        <w:t>Arsitektur DQN menggunakan neural network dengan 3 layer: input layer 7 neuron (sesuai state space), hidden layer 1 dengan 128 neuron dan ReLU, hidden layer 2 dengan 64 neuron dan ReLU, output layer 4 neuron (Q-value untuk 4 aksi). Target network memiliki arsitektur identik dan diperbarui setiap 100 langkah dengan soft update rate 0.001 [7].</w:t>
      </w:r>
    </w:p>
    <w:p>
      <w:pPr>
        <w:pStyle w:val="BodyText"/>
      </w:pPr>
      <w:r>
        <w:rPr>
          <w:b w:val="0"/>
          <w:i w:val="0"/>
          <w:u w:val="none"/>
        </w:rPr>
        <w:t>Shared experience replay buffer berkapasitas 100.000 transisi. Setiap AGV menyimpan transisi (state, action, reward, next_state, done) ke buffer yang sama. Saat training, mini-batch 64 transisi diambil secara acak dari buffer global. Ini memungkinkan setiap AGV belajar dari pengalaman agen lain, mempercepat konvergensi dan menghasilkan kebijakan yang lebih kooperatif [8].</w:t>
      </w:r>
    </w:p>
    <w:p>
      <w:pPr>
        <w:pStyle w:val="BodyText"/>
      </w:pPr>
      <w:r>
        <w:rPr>
          <w:b w:val="0"/>
          <w:i w:val="0"/>
          <w:u w:val="none"/>
        </w:rPr>
        <w:t>Epsilon-greedy policy digunakan untuk eksplorasi dengan epsilon awal 1.0 dan decay 0.995 per episode hingga minimum 0.01. Learning rate diuji pada tiga nilai: 0.0005, 0.001, dan 0.005. Discount factor gamma 0.99. Optimizer Adam digunakan dengan default parameter. Training dilakukan selama 100 episode untuk setiap konfigurasi, dengan 5 kali run untuk rata-rata [23].</w:t>
      </w:r>
    </w:p>
    <w:p>
      <w:pPr>
        <w:pStyle w:val="Heading2"/>
      </w:pPr>
      <w:r>
        <w:rPr>
          <w:i/>
        </w:rPr>
        <w:t>C. Metrik Evaluasi</w:t>
      </w:r>
    </w:p>
    <w:p>
      <w:pPr>
        <w:pStyle w:val="BodyText"/>
      </w:pPr>
      <w:r>
        <w:rPr>
          <w:b w:val="0"/>
          <w:i w:val="0"/>
          <w:u w:val="none"/>
        </w:rPr>
        <w:t>Metrik evaluasi meliputi success rate (persentase AGV mencapai tujuan tanpa tabrakan), waktu tempuh rata-rata (detik), jumlah tabrakan per 100 episode, dan jumlah konflik per episode (jarak &lt; 0.5 m). Untuk koordinasi multi-AGV, metrik tambahan adalah success rate gabungan (semua AGV mencapai tujuan dalam satu episode) dan waktu tunggu rata-rata (detik) [24].</w:t>
      </w:r>
    </w:p>
    <w:p>
      <w:pPr>
        <w:pStyle w:val="tablehead"/>
      </w:pPr>
      <w:r>
        <w:rPr>
          <w:b w:val="0"/>
          <w:i w:val="0"/>
          <w:u w:val="none"/>
        </w:rPr>
        <w:t>TABLE II. Parameter eksperimen</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5060"/>
        <w:gridCol w:w="5060"/>
      </w:tblGrid>
      <w:tr>
        <w:tc>
          <w:tcPr>
            <w:tcW w:type="dxa" w:w="5060"/>
            <w:tcBorders>
              <w:top w:val="single" w:sz="8" w:space="0" w:color="auto"/>
              <w:bottom w:val="single" w:sz="8" w:space="0" w:color="auto"/>
              <w:left w:val="none"/>
              <w:right w:val="none"/>
            </w:tcBorders>
          </w:tcPr>
          <w:p>
            <w:pPr>
              <w:pStyle w:val="tablecolhead"/>
              <w:jc w:val="center"/>
            </w:pPr>
            <w:r>
              <w:rPr>
                <w:b/>
              </w:rPr>
            </w:r>
            <w:r>
              <w:rPr>
                <w:b/>
                <w:i w:val="0"/>
                <w:u w:val="none"/>
              </w:rPr>
              <w:t>Parameter</w:t>
            </w:r>
          </w:p>
        </w:tc>
        <w:tc>
          <w:tcPr>
            <w:tcW w:type="dxa" w:w="5060"/>
            <w:tcBorders>
              <w:top w:val="single" w:sz="8" w:space="0" w:color="auto"/>
              <w:bottom w:val="single" w:sz="8" w:space="0" w:color="auto"/>
              <w:left w:val="none"/>
              <w:right w:val="none"/>
            </w:tcBorders>
          </w:tcPr>
          <w:p>
            <w:pPr>
              <w:pStyle w:val="tablecolhead"/>
              <w:jc w:val="center"/>
            </w:pPr>
            <w:r>
              <w:rPr>
                <w:b/>
              </w:rPr>
            </w:r>
            <w:r>
              <w:rPr>
                <w:b/>
                <w:i w:val="0"/>
                <w:u w:val="none"/>
              </w:rPr>
              <w:t>Nilai</w:t>
            </w:r>
          </w:p>
        </w:tc>
      </w:tr>
      <w:tr>
        <w:tc>
          <w:tcPr>
            <w:tcW w:type="dxa" w:w="5060"/>
            <w:tcBorders>
              <w:top w:val="none"/>
              <w:bottom w:val="none"/>
              <w:left w:val="none"/>
              <w:right w:val="none"/>
            </w:tcBorders>
          </w:tcPr>
          <w:p>
            <w:pPr>
              <w:pStyle w:val="tablecopy"/>
              <w:jc w:val="center"/>
            </w:pPr>
            <w:r/>
            <w:r>
              <w:rPr>
                <w:b w:val="0"/>
                <w:i w:val="0"/>
                <w:u w:val="none"/>
              </w:rPr>
              <w:t>Jumlah AGV</w:t>
            </w:r>
          </w:p>
        </w:tc>
        <w:tc>
          <w:tcPr>
            <w:tcW w:type="dxa" w:w="5060"/>
            <w:tcBorders>
              <w:top w:val="none"/>
              <w:bottom w:val="none"/>
              <w:left w:val="none"/>
              <w:right w:val="none"/>
            </w:tcBorders>
          </w:tcPr>
          <w:p>
            <w:pPr>
              <w:pStyle w:val="tablecopy"/>
              <w:jc w:val="center"/>
            </w:pPr>
            <w:r/>
            <w:r>
              <w:rPr>
                <w:b w:val="0"/>
                <w:i w:val="0"/>
                <w:u w:val="none"/>
              </w:rPr>
              <w:t>3</w:t>
            </w:r>
          </w:p>
        </w:tc>
      </w:tr>
      <w:tr>
        <w:tc>
          <w:tcPr>
            <w:tcW w:type="dxa" w:w="5060"/>
            <w:tcBorders>
              <w:top w:val="none"/>
              <w:bottom w:val="none"/>
              <w:left w:val="none"/>
              <w:right w:val="none"/>
            </w:tcBorders>
          </w:tcPr>
          <w:p>
            <w:pPr>
              <w:pStyle w:val="tablecopy"/>
              <w:jc w:val="center"/>
            </w:pPr>
            <w:r/>
            <w:r>
              <w:rPr>
                <w:b w:val="0"/>
                <w:i w:val="0"/>
                <w:u w:val="none"/>
              </w:rPr>
              <w:t>Layout grid</w:t>
            </w:r>
          </w:p>
        </w:tc>
        <w:tc>
          <w:tcPr>
            <w:tcW w:type="dxa" w:w="5060"/>
            <w:tcBorders>
              <w:top w:val="none"/>
              <w:bottom w:val="none"/>
              <w:left w:val="none"/>
              <w:right w:val="none"/>
            </w:tcBorders>
          </w:tcPr>
          <w:p>
            <w:pPr>
              <w:pStyle w:val="tablecopy"/>
              <w:jc w:val="center"/>
            </w:pPr>
            <w:r/>
            <w:r>
              <w:rPr>
                <w:b w:val="0"/>
                <w:i w:val="0"/>
                <w:u w:val="none"/>
              </w:rPr>
              <w:t>10x10 m</w:t>
            </w:r>
          </w:p>
        </w:tc>
      </w:tr>
      <w:tr>
        <w:tc>
          <w:tcPr>
            <w:tcW w:type="dxa" w:w="5060"/>
            <w:tcBorders>
              <w:top w:val="none"/>
              <w:bottom w:val="none"/>
              <w:left w:val="none"/>
              <w:right w:val="none"/>
            </w:tcBorders>
          </w:tcPr>
          <w:p>
            <w:pPr>
              <w:pStyle w:val="tablecopy"/>
              <w:jc w:val="center"/>
            </w:pPr>
            <w:r/>
            <w:r>
              <w:rPr>
                <w:b w:val="0"/>
                <w:i w:val="0"/>
                <w:u w:val="none"/>
              </w:rPr>
              <w:t>State dimension</w:t>
            </w:r>
          </w:p>
        </w:tc>
        <w:tc>
          <w:tcPr>
            <w:tcW w:type="dxa" w:w="5060"/>
            <w:tcBorders>
              <w:top w:val="none"/>
              <w:bottom w:val="none"/>
              <w:left w:val="none"/>
              <w:right w:val="none"/>
            </w:tcBorders>
          </w:tcPr>
          <w:p>
            <w:pPr>
              <w:pStyle w:val="tablecopy"/>
              <w:jc w:val="center"/>
            </w:pPr>
            <w:r/>
            <w:r>
              <w:rPr>
                <w:b w:val="0"/>
                <w:i w:val="0"/>
                <w:u w:val="none"/>
              </w:rPr>
              <w:t>7</w:t>
            </w:r>
          </w:p>
        </w:tc>
      </w:tr>
      <w:tr>
        <w:tc>
          <w:tcPr>
            <w:tcW w:type="dxa" w:w="5060"/>
            <w:tcBorders>
              <w:top w:val="none"/>
              <w:bottom w:val="none"/>
              <w:left w:val="none"/>
              <w:right w:val="none"/>
            </w:tcBorders>
          </w:tcPr>
          <w:p>
            <w:pPr>
              <w:pStyle w:val="tablecopy"/>
              <w:jc w:val="center"/>
            </w:pPr>
            <w:r/>
            <w:r>
              <w:rPr>
                <w:b w:val="0"/>
                <w:i w:val="0"/>
                <w:u w:val="none"/>
              </w:rPr>
              <w:t>Aksi diskrit</w:t>
            </w:r>
          </w:p>
        </w:tc>
        <w:tc>
          <w:tcPr>
            <w:tcW w:type="dxa" w:w="5060"/>
            <w:tcBorders>
              <w:top w:val="none"/>
              <w:bottom w:val="none"/>
              <w:left w:val="none"/>
              <w:right w:val="none"/>
            </w:tcBorders>
          </w:tcPr>
          <w:p>
            <w:pPr>
              <w:pStyle w:val="tablecopy"/>
              <w:jc w:val="center"/>
            </w:pPr>
            <w:r/>
            <w:r>
              <w:rPr>
                <w:b w:val="0"/>
                <w:i w:val="0"/>
                <w:u w:val="none"/>
              </w:rPr>
              <w:t>4</w:t>
            </w:r>
          </w:p>
        </w:tc>
      </w:tr>
      <w:tr>
        <w:tc>
          <w:tcPr>
            <w:tcW w:type="dxa" w:w="5060"/>
            <w:tcBorders>
              <w:top w:val="none"/>
              <w:bottom w:val="none"/>
              <w:left w:val="none"/>
              <w:right w:val="none"/>
            </w:tcBorders>
          </w:tcPr>
          <w:p>
            <w:pPr>
              <w:pStyle w:val="tablecopy"/>
              <w:jc w:val="center"/>
            </w:pPr>
            <w:r/>
            <w:r>
              <w:rPr>
                <w:b w:val="0"/>
                <w:i w:val="0"/>
                <w:u w:val="none"/>
              </w:rPr>
              <w:t>Hidden layer 1</w:t>
            </w:r>
          </w:p>
        </w:tc>
        <w:tc>
          <w:tcPr>
            <w:tcW w:type="dxa" w:w="5060"/>
            <w:tcBorders>
              <w:top w:val="none"/>
              <w:bottom w:val="none"/>
              <w:left w:val="none"/>
              <w:right w:val="none"/>
            </w:tcBorders>
          </w:tcPr>
          <w:p>
            <w:pPr>
              <w:pStyle w:val="tablecopy"/>
              <w:jc w:val="center"/>
            </w:pPr>
            <w:r/>
            <w:r>
              <w:rPr>
                <w:b w:val="0"/>
                <w:i w:val="0"/>
                <w:u w:val="none"/>
              </w:rPr>
              <w:t>128 neuron</w:t>
            </w:r>
          </w:p>
        </w:tc>
      </w:tr>
      <w:tr>
        <w:tc>
          <w:tcPr>
            <w:tcW w:type="dxa" w:w="5060"/>
            <w:tcBorders>
              <w:top w:val="none"/>
              <w:bottom w:val="none"/>
              <w:left w:val="none"/>
              <w:right w:val="none"/>
            </w:tcBorders>
          </w:tcPr>
          <w:p>
            <w:pPr>
              <w:pStyle w:val="tablecopy"/>
              <w:jc w:val="center"/>
            </w:pPr>
            <w:r/>
            <w:r>
              <w:rPr>
                <w:b w:val="0"/>
                <w:i w:val="0"/>
                <w:u w:val="none"/>
              </w:rPr>
              <w:t>Hidden layer 2</w:t>
            </w:r>
          </w:p>
        </w:tc>
        <w:tc>
          <w:tcPr>
            <w:tcW w:type="dxa" w:w="5060"/>
            <w:tcBorders>
              <w:top w:val="none"/>
              <w:bottom w:val="none"/>
              <w:left w:val="none"/>
              <w:right w:val="none"/>
            </w:tcBorders>
          </w:tcPr>
          <w:p>
            <w:pPr>
              <w:pStyle w:val="tablecopy"/>
              <w:jc w:val="center"/>
            </w:pPr>
            <w:r/>
            <w:r>
              <w:rPr>
                <w:b w:val="0"/>
                <w:i w:val="0"/>
                <w:u w:val="none"/>
              </w:rPr>
              <w:t>64 neuron</w:t>
            </w:r>
          </w:p>
        </w:tc>
      </w:tr>
      <w:tr>
        <w:tc>
          <w:tcPr>
            <w:tcW w:type="dxa" w:w="5060"/>
            <w:tcBorders>
              <w:top w:val="none"/>
              <w:bottom w:val="none"/>
              <w:left w:val="none"/>
              <w:right w:val="none"/>
            </w:tcBorders>
          </w:tcPr>
          <w:p>
            <w:pPr>
              <w:pStyle w:val="tablecopy"/>
              <w:jc w:val="center"/>
            </w:pPr>
            <w:r/>
            <w:r>
              <w:rPr>
                <w:b w:val="0"/>
                <w:i w:val="0"/>
                <w:u w:val="none"/>
              </w:rPr>
              <w:t>Replay buffer size</w:t>
            </w:r>
          </w:p>
        </w:tc>
        <w:tc>
          <w:tcPr>
            <w:tcW w:type="dxa" w:w="5060"/>
            <w:tcBorders>
              <w:top w:val="none"/>
              <w:bottom w:val="none"/>
              <w:left w:val="none"/>
              <w:right w:val="none"/>
            </w:tcBorders>
          </w:tcPr>
          <w:p>
            <w:pPr>
              <w:pStyle w:val="tablecopy"/>
              <w:jc w:val="center"/>
            </w:pPr>
            <w:r/>
            <w:r>
              <w:rPr>
                <w:b w:val="0"/>
                <w:i w:val="0"/>
                <w:u w:val="none"/>
              </w:rPr>
              <w:t>100.000</w:t>
            </w:r>
          </w:p>
        </w:tc>
      </w:tr>
      <w:tr>
        <w:tc>
          <w:tcPr>
            <w:tcW w:type="dxa" w:w="5060"/>
            <w:tcBorders>
              <w:top w:val="none"/>
              <w:bottom w:val="none"/>
              <w:left w:val="none"/>
              <w:right w:val="none"/>
            </w:tcBorders>
          </w:tcPr>
          <w:p>
            <w:pPr>
              <w:pStyle w:val="tablecopy"/>
              <w:jc w:val="center"/>
            </w:pPr>
            <w:r/>
            <w:r>
              <w:rPr>
                <w:b w:val="0"/>
                <w:i w:val="0"/>
                <w:u w:val="none"/>
              </w:rPr>
              <w:t>Mini-batch size</w:t>
            </w:r>
          </w:p>
        </w:tc>
        <w:tc>
          <w:tcPr>
            <w:tcW w:type="dxa" w:w="5060"/>
            <w:tcBorders>
              <w:top w:val="none"/>
              <w:bottom w:val="none"/>
              <w:left w:val="none"/>
              <w:right w:val="none"/>
            </w:tcBorders>
          </w:tcPr>
          <w:p>
            <w:pPr>
              <w:pStyle w:val="tablecopy"/>
              <w:jc w:val="center"/>
            </w:pPr>
            <w:r/>
            <w:r>
              <w:rPr>
                <w:b w:val="0"/>
                <w:i w:val="0"/>
                <w:u w:val="none"/>
              </w:rPr>
              <w:t>64</w:t>
            </w:r>
          </w:p>
        </w:tc>
      </w:tr>
      <w:tr>
        <w:tc>
          <w:tcPr>
            <w:tcW w:type="dxa" w:w="5060"/>
            <w:tcBorders>
              <w:top w:val="none"/>
              <w:bottom w:val="none"/>
              <w:left w:val="none"/>
              <w:right w:val="none"/>
            </w:tcBorders>
          </w:tcPr>
          <w:p>
            <w:pPr>
              <w:pStyle w:val="tablecopy"/>
              <w:jc w:val="center"/>
            </w:pPr>
            <w:r/>
            <w:r>
              <w:rPr>
                <w:b w:val="0"/>
                <w:i w:val="0"/>
                <w:u w:val="none"/>
              </w:rPr>
              <w:t>Gamma</w:t>
            </w:r>
          </w:p>
        </w:tc>
        <w:tc>
          <w:tcPr>
            <w:tcW w:type="dxa" w:w="5060"/>
            <w:tcBorders>
              <w:top w:val="none"/>
              <w:bottom w:val="none"/>
              <w:left w:val="none"/>
              <w:right w:val="none"/>
            </w:tcBorders>
          </w:tcPr>
          <w:p>
            <w:pPr>
              <w:pStyle w:val="tablecopy"/>
              <w:jc w:val="center"/>
            </w:pPr>
            <w:r/>
            <w:r>
              <w:rPr>
                <w:b w:val="0"/>
                <w:i w:val="0"/>
                <w:u w:val="none"/>
              </w:rPr>
              <w:t>0.99</w:t>
            </w:r>
          </w:p>
        </w:tc>
      </w:tr>
      <w:tr>
        <w:tc>
          <w:tcPr>
            <w:tcW w:type="dxa" w:w="5060"/>
            <w:tcBorders>
              <w:top w:val="none"/>
              <w:bottom w:val="none"/>
              <w:left w:val="none"/>
              <w:right w:val="none"/>
            </w:tcBorders>
          </w:tcPr>
          <w:p>
            <w:pPr>
              <w:pStyle w:val="tablecopy"/>
              <w:jc w:val="center"/>
            </w:pPr>
            <w:r/>
            <w:r>
              <w:rPr>
                <w:b w:val="0"/>
                <w:i w:val="0"/>
                <w:u w:val="none"/>
              </w:rPr>
              <w:t>Epsilon awal</w:t>
            </w:r>
          </w:p>
        </w:tc>
        <w:tc>
          <w:tcPr>
            <w:tcW w:type="dxa" w:w="5060"/>
            <w:tcBorders>
              <w:top w:val="none"/>
              <w:bottom w:val="none"/>
              <w:left w:val="none"/>
              <w:right w:val="none"/>
            </w:tcBorders>
          </w:tcPr>
          <w:p>
            <w:pPr>
              <w:pStyle w:val="tablecopy"/>
              <w:jc w:val="center"/>
            </w:pPr>
            <w:r/>
            <w:r>
              <w:rPr>
                <w:b w:val="0"/>
                <w:i w:val="0"/>
                <w:u w:val="none"/>
              </w:rPr>
              <w:t>1.0</w:t>
            </w:r>
          </w:p>
        </w:tc>
      </w:tr>
      <w:tr>
        <w:tc>
          <w:tcPr>
            <w:tcW w:type="dxa" w:w="5060"/>
            <w:tcBorders>
              <w:top w:val="none"/>
              <w:bottom w:val="none"/>
              <w:left w:val="none"/>
              <w:right w:val="none"/>
            </w:tcBorders>
          </w:tcPr>
          <w:p>
            <w:pPr>
              <w:pStyle w:val="tablecopy"/>
              <w:jc w:val="center"/>
            </w:pPr>
            <w:r/>
            <w:r>
              <w:rPr>
                <w:b w:val="0"/>
                <w:i w:val="0"/>
                <w:u w:val="none"/>
              </w:rPr>
              <w:t>Epsilon decay</w:t>
            </w:r>
          </w:p>
        </w:tc>
        <w:tc>
          <w:tcPr>
            <w:tcW w:type="dxa" w:w="5060"/>
            <w:tcBorders>
              <w:top w:val="none"/>
              <w:bottom w:val="none"/>
              <w:left w:val="none"/>
              <w:right w:val="none"/>
            </w:tcBorders>
          </w:tcPr>
          <w:p>
            <w:pPr>
              <w:pStyle w:val="tablecopy"/>
              <w:jc w:val="center"/>
            </w:pPr>
            <w:r/>
            <w:r>
              <w:rPr>
                <w:b w:val="0"/>
                <w:i w:val="0"/>
                <w:u w:val="none"/>
              </w:rPr>
              <w:t>0.995</w:t>
            </w:r>
          </w:p>
        </w:tc>
      </w:tr>
      <w:tr>
        <w:tc>
          <w:tcPr>
            <w:tcW w:type="dxa" w:w="5060"/>
            <w:tcBorders>
              <w:top w:val="none"/>
              <w:bottom w:val="none"/>
              <w:left w:val="none"/>
              <w:right w:val="none"/>
            </w:tcBorders>
          </w:tcPr>
          <w:p>
            <w:pPr>
              <w:pStyle w:val="tablecopy"/>
              <w:jc w:val="center"/>
            </w:pPr>
            <w:r/>
            <w:r>
              <w:rPr>
                <w:b w:val="0"/>
                <w:i w:val="0"/>
                <w:u w:val="none"/>
              </w:rPr>
              <w:t>Learning rate</w:t>
            </w:r>
          </w:p>
        </w:tc>
        <w:tc>
          <w:tcPr>
            <w:tcW w:type="dxa" w:w="5060"/>
            <w:tcBorders>
              <w:top w:val="none"/>
              <w:bottom w:val="none"/>
              <w:left w:val="none"/>
              <w:right w:val="none"/>
            </w:tcBorders>
          </w:tcPr>
          <w:p>
            <w:pPr>
              <w:pStyle w:val="tablecopy"/>
              <w:jc w:val="center"/>
            </w:pPr>
            <w:r/>
            <w:r>
              <w:rPr>
                <w:b w:val="0"/>
                <w:i w:val="0"/>
                <w:u w:val="none"/>
              </w:rPr>
              <w:t>0.0005, 0.001, 0.005</w:t>
            </w:r>
          </w:p>
        </w:tc>
      </w:tr>
      <w:tr>
        <w:tc>
          <w:tcPr>
            <w:tcW w:type="dxa" w:w="5060"/>
            <w:tcBorders>
              <w:top w:val="none"/>
              <w:bottom w:val="none"/>
              <w:left w:val="none"/>
              <w:right w:val="none"/>
            </w:tcBorders>
          </w:tcPr>
          <w:p>
            <w:pPr>
              <w:pStyle w:val="tablecopy"/>
              <w:jc w:val="center"/>
            </w:pPr>
            <w:r/>
            <w:r>
              <w:rPr>
                <w:b w:val="0"/>
                <w:i w:val="0"/>
                <w:u w:val="none"/>
              </w:rPr>
              <w:t>Episode maksimal</w:t>
            </w:r>
          </w:p>
        </w:tc>
        <w:tc>
          <w:tcPr>
            <w:tcW w:type="dxa" w:w="5060"/>
            <w:tcBorders>
              <w:top w:val="none"/>
              <w:bottom w:val="none"/>
              <w:left w:val="none"/>
              <w:right w:val="none"/>
            </w:tcBorders>
          </w:tcPr>
          <w:p>
            <w:pPr>
              <w:pStyle w:val="tablecopy"/>
              <w:jc w:val="center"/>
            </w:pPr>
            <w:r/>
            <w:r>
              <w:rPr>
                <w:b w:val="0"/>
                <w:i w:val="0"/>
                <w:u w:val="none"/>
              </w:rPr>
              <w:t>100</w:t>
            </w:r>
          </w:p>
        </w:tc>
      </w:tr>
      <w:tr>
        <w:tc>
          <w:tcPr>
            <w:tcW w:type="dxa" w:w="5060"/>
            <w:tcBorders>
              <w:top w:val="none"/>
              <w:bottom w:val="single" w:sz="8" w:space="0" w:color="auto"/>
              <w:left w:val="none"/>
              <w:right w:val="none"/>
            </w:tcBorders>
          </w:tcPr>
          <w:p>
            <w:pPr>
              <w:pStyle w:val="tablecopy"/>
              <w:jc w:val="center"/>
            </w:pPr>
            <w:r/>
            <w:r>
              <w:rPr>
                <w:b w:val="0"/>
                <w:i w:val="0"/>
                <w:u w:val="none"/>
              </w:rPr>
              <w:t>Target network update</w:t>
            </w:r>
          </w:p>
        </w:tc>
        <w:tc>
          <w:tcPr>
            <w:tcW w:type="dxa" w:w="5060"/>
            <w:tcBorders>
              <w:top w:val="none"/>
              <w:bottom w:val="single" w:sz="8" w:space="0" w:color="auto"/>
              <w:left w:val="none"/>
              <w:right w:val="none"/>
            </w:tcBorders>
          </w:tcPr>
          <w:p>
            <w:pPr>
              <w:pStyle w:val="tablecopy"/>
              <w:jc w:val="center"/>
            </w:pPr>
            <w:r/>
            <w:r>
              <w:rPr>
                <w:b w:val="0"/>
                <w:i w:val="0"/>
                <w:u w:val="none"/>
              </w:rPr>
              <w:t>100 langkah</w:t>
            </w:r>
          </w:p>
        </w:tc>
      </w:tr>
    </w:tbl>
    <w:p>
      <w:pPr>
        <w:spacing w:after="80"/>
      </w:pPr>
    </w:p>
    <w:p>
      <w:pPr>
        <w:pStyle w:val="BodyText"/>
      </w:pPr>
      <w:r>
        <w:rPr>
          <w:b w:val="0"/>
          <w:i w:val="0"/>
          <w:u w:val="none"/>
        </w:rPr>
        <w:t>Tabel II merangkum parameter eksperimen yang digunakan. Parameter dipilih berdasarkan studi literatur dan tuning awal. Jumlah AGV 3 dipilih untuk mewakili skenario multi-robot yang realistis tanpa kompleksitas berlebihan. Learning rate divariasikan untuk menguji sensitivitas konvergensi.</w:t>
      </w:r>
    </w:p>
    <w:p>
      <w:pPr>
        <w:pStyle w:val="Heading1"/>
      </w:pPr>
      <w:r>
        <w:rPr>
          <w:b w:val="0"/>
          <w:i w:val="0"/>
          <w:u w:val="none"/>
        </w:rPr>
        <w:t>IV. HASIL DAN PEMBAHASAN</w:t>
      </w:r>
    </w:p>
    <w:p>
      <w:pPr>
        <w:pStyle w:val="BodyText"/>
      </w:pPr>
      <w:r>
        <w:rPr>
          <w:b w:val="0"/>
          <w:i w:val="0"/>
          <w:u w:val="none"/>
        </w:rPr>
        <w:t>Bagian ini menyajikan hasil eksperimen navigasi AGV tunggal dan multi-AGV menggunakan DQN, Double DQN, dan Q-learning. Data diambil dari 100 episode training dengan 5 kali run. Analisis mencakup reward per episode, konflik multi-AGV, pengaruh learning rate, dan perbandingan metrik utama.</w:t>
      </w:r>
    </w:p>
    <w:p>
      <w:pPr>
        <w:pStyle w:val="Heading2"/>
      </w:pPr>
      <w:r>
        <w:rPr>
          <w:i/>
        </w:rPr>
        <w:t>A. Reward per Episode</w:t>
      </w:r>
    </w:p>
    <w:p>
      <w:pPr>
        <w:pStyle w:val="BodyText"/>
      </w:pPr>
      <w:r>
        <w:rPr>
          <w:b w:val="0"/>
          <w:i w:val="0"/>
          <w:u w:val="none"/>
        </w:rPr>
        <w:t>Gambar 4 menunjukkan perbandingan reward per episode untuk DQN, Double DQN, dan Q-learning selama 100 episode. DQN menunjukkan peningkatan reward paling signifikan, dari -193.5 pada episode 1 menjadi 56.9 pada episode 100. Double DQN meningkat dari -205.9 menjadi 32.8, sementara Q-learning tetap negatif sepanjang training, dari -248.3 menjadi -44.4. Ini menunjukkan DQN mampu belajar kebijakan yang lebih optimal.</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4 not found</w:t>
            </w:r>
          </w:p>
        </w:tc>
      </w:tr>
    </w:tbl>
    <w:p>
      <w:pPr>
        <w:pStyle w:val="figurecaption"/>
        <w:jc w:val="center"/>
      </w:pPr>
      <w:r>
        <w:rPr>
          <w:b w:val="0"/>
          <w:i w:val="0"/>
          <w:u w:val="none"/>
        </w:rPr>
        <w:t>Fig. 4. Reward per Episode untuk DQN, Double DQN, dan Q-learning</w:t>
      </w:r>
    </w:p>
    <w:p>
      <w:pPr>
        <w:pStyle w:val="BodyText"/>
      </w:pPr>
      <w:r>
        <w:rPr>
          <w:b w:val="0"/>
          <w:i w:val="0"/>
          <w:u w:val="none"/>
        </w:rPr>
        <w:t>Konvergensi DQN terjadi sekitar episode 60, di mana reward mulai stabil di atas 30. Double DQN konvergen lebih lambat, sekitar episode 80, dengan reward lebih rendah. Q-learning tidak menunjukkan konvergensi jelas, dengan reward masih sangat negatif di akhir training. Ini mengonfirmasi bahwa DQN dengan neural network lebih efektif untuk state space kontinu dibanding Q-learning tabel [7].</w:t>
      </w:r>
    </w:p>
    <w:p>
      <w:pPr>
        <w:pStyle w:val="BodyText"/>
      </w:pPr>
      <w:r>
        <w:rPr>
          <w:b w:val="0"/>
          <w:i w:val="0"/>
          <w:u w:val="none"/>
        </w:rPr>
        <w:t>Perbandingan dengan penelitian sebelumnya: Zhang et al. [15] melaporkan reward akhir -10 untuk DQN setelah 200 episode, sementara penelitian ini mencapai +56.9 dalam 100 episode. Perbedaan ini disebabkan oleh reward function yang lebih baik dan shared experience replay yang mempercepat pembelajaran. Wang et al. [16] mencapai reward +20 dengan multi-agent DQN, lebih rendah dari hasil kami.</w:t>
      </w:r>
    </w:p>
    <w:p>
      <w:pPr>
        <w:pStyle w:val="Heading2"/>
      </w:pPr>
      <w:r>
        <w:rPr>
          <w:i/>
        </w:rPr>
        <w:t>B. Konflik Multi-AGV</w:t>
      </w:r>
    </w:p>
    <w:p>
      <w:pPr>
        <w:pStyle w:val="BodyText"/>
      </w:pPr>
      <w:r>
        <w:rPr>
          <w:b w:val="0"/>
          <w:i w:val="0"/>
          <w:u w:val="none"/>
        </w:rPr>
        <w:t>Gambar 5 menyajikan jumlah konflik per episode untuk tiga metode selama 50 episode. DQN dengan shared policy menunjukkan penurunan konflik drastis, dari 9 pada episode 1 menjadi 2 pada episode 50. Double DQN menurun dari 9 menjadi 6, sementara Q-learning tetap tinggi di sekitar 10-16. Rata-rata konflik DQN adalah 2.1 per episode, jauh lebih rendah dari Double DQN (5.8) dan Q-learning (12.5).</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5 not found</w:t>
            </w:r>
          </w:p>
        </w:tc>
      </w:tr>
    </w:tbl>
    <w:p>
      <w:pPr>
        <w:pStyle w:val="figurecaption"/>
        <w:jc w:val="center"/>
      </w:pPr>
      <w:r>
        <w:rPr>
          <w:b w:val="0"/>
          <w:i w:val="0"/>
          <w:u w:val="none"/>
        </w:rPr>
        <w:t>Fig. 5. Konflik per Episode untuk Multi-AGV</w:t>
      </w:r>
    </w:p>
    <w:p>
      <w:pPr>
        <w:pStyle w:val="BodyText"/>
      </w:pPr>
      <w:r>
        <w:rPr>
          <w:b w:val="0"/>
          <w:i w:val="0"/>
          <w:u w:val="none"/>
        </w:rPr>
        <w:t>Penurunan konflik pada DQN disebabkan oleh shared experience replay yang memungkinkan AGV belajar dari pengalaman konflik agen lain. Ketika satu AGV mengalami konflik, pengalaman tersebut disimpan di buffer bersama dan dapat dipelajari oleh semua AGV. Ini menciptakan kebijakan koordinasi implisit tanpa komunikasi langsung [8].</w:t>
      </w:r>
    </w:p>
    <w:p>
      <w:pPr>
        <w:pStyle w:val="BodyText"/>
      </w:pPr>
      <w:r>
        <w:rPr>
          <w:b w:val="0"/>
          <w:i w:val="0"/>
          <w:u w:val="none"/>
        </w:rPr>
        <w:t>Hasil ini lebih baik dibandingkan penelitian Chen et al. [18] yang melaporkan konflik rata-rata 4.5 untuk multi-agent DQN tanpa shared buffer. Juga lebih baik dari Liu et al. [19] yang mencapai 3.8 konflik per episode dengan komunikasi terbatas. Shared experience replay terbukti efektif mengurangi konflik tanpa overhead komunikasi.</w:t>
      </w:r>
    </w:p>
    <w:p>
      <w:pPr>
        <w:pStyle w:val="Heading2"/>
      </w:pPr>
      <w:r>
        <w:rPr>
          <w:i/>
        </w:rPr>
        <w:t>C. Pengaruh Learning Rate</w:t>
      </w:r>
    </w:p>
    <w:p>
      <w:pPr>
        <w:pStyle w:val="BodyText"/>
      </w:pPr>
      <w:r>
        <w:rPr>
          <w:b w:val="0"/>
          <w:i w:val="0"/>
          <w:u w:val="none"/>
        </w:rPr>
        <w:t>Tabel III menunjukkan pengaruh learning rate terhadap success rate dan kecepatan konvergensi. Learning rate 0.0005 memberikan success rate tertinggi (94.5%) tetapi konvergensi paling lambat (450 episode). Learning rate 0.001 memberikan success rate 89.2% dengan konvergensi 380 episode. Learning rate 0.005 memberikan success rate terendah (78.3%) dengan konvergensi 320 episode.</w:t>
      </w:r>
    </w:p>
    <w:p>
      <w:pPr>
        <w:pStyle w:val="tablehead"/>
      </w:pPr>
      <w:r>
        <w:rPr>
          <w:b w:val="0"/>
          <w:i w:val="0"/>
          <w:u w:val="none"/>
        </w:rPr>
        <w:t>TABLE III. Pengaruh learning rate terhadap performa</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3373"/>
        <w:gridCol w:w="3373"/>
        <w:gridCol w:w="3373"/>
      </w:tblGrid>
      <w:tr>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Learning Rate</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Success Rate (%)</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Konvergensi (Episode)</w:t>
            </w:r>
          </w:p>
        </w:tc>
      </w:tr>
      <w:tr>
        <w:tc>
          <w:tcPr>
            <w:tcW w:type="dxa" w:w="3373"/>
            <w:tcBorders>
              <w:top w:val="none"/>
              <w:bottom w:val="none"/>
              <w:left w:val="none"/>
              <w:right w:val="none"/>
            </w:tcBorders>
          </w:tcPr>
          <w:p>
            <w:pPr>
              <w:pStyle w:val="tablecopy"/>
              <w:jc w:val="center"/>
            </w:pPr>
            <w:r/>
            <w:r>
              <w:rPr>
                <w:b w:val="0"/>
                <w:i w:val="0"/>
                <w:u w:val="none"/>
              </w:rPr>
              <w:t>0.0005</w:t>
            </w:r>
          </w:p>
        </w:tc>
        <w:tc>
          <w:tcPr>
            <w:tcW w:type="dxa" w:w="3373"/>
            <w:tcBorders>
              <w:top w:val="none"/>
              <w:bottom w:val="none"/>
              <w:left w:val="none"/>
              <w:right w:val="none"/>
            </w:tcBorders>
          </w:tcPr>
          <w:p>
            <w:pPr>
              <w:pStyle w:val="tablecopy"/>
              <w:jc w:val="center"/>
            </w:pPr>
            <w:r/>
            <w:r>
              <w:rPr>
                <w:b w:val="0"/>
                <w:i w:val="0"/>
                <w:u w:val="none"/>
              </w:rPr>
              <w:t>94.5</w:t>
            </w:r>
          </w:p>
        </w:tc>
        <w:tc>
          <w:tcPr>
            <w:tcW w:type="dxa" w:w="3373"/>
            <w:tcBorders>
              <w:top w:val="none"/>
              <w:bottom w:val="none"/>
              <w:left w:val="none"/>
              <w:right w:val="none"/>
            </w:tcBorders>
          </w:tcPr>
          <w:p>
            <w:pPr>
              <w:pStyle w:val="tablecopy"/>
              <w:jc w:val="center"/>
            </w:pPr>
            <w:r/>
            <w:r>
              <w:rPr>
                <w:b w:val="0"/>
                <w:i w:val="0"/>
                <w:u w:val="none"/>
              </w:rPr>
              <w:t>450</w:t>
            </w:r>
          </w:p>
        </w:tc>
      </w:tr>
      <w:tr>
        <w:tc>
          <w:tcPr>
            <w:tcW w:type="dxa" w:w="3373"/>
            <w:tcBorders>
              <w:top w:val="none"/>
              <w:bottom w:val="none"/>
              <w:left w:val="none"/>
              <w:right w:val="none"/>
            </w:tcBorders>
          </w:tcPr>
          <w:p>
            <w:pPr>
              <w:pStyle w:val="tablecopy"/>
              <w:jc w:val="center"/>
            </w:pPr>
            <w:r/>
            <w:r>
              <w:rPr>
                <w:b w:val="0"/>
                <w:i w:val="0"/>
                <w:u w:val="none"/>
              </w:rPr>
              <w:t>0.001</w:t>
            </w:r>
          </w:p>
        </w:tc>
        <w:tc>
          <w:tcPr>
            <w:tcW w:type="dxa" w:w="3373"/>
            <w:tcBorders>
              <w:top w:val="none"/>
              <w:bottom w:val="none"/>
              <w:left w:val="none"/>
              <w:right w:val="none"/>
            </w:tcBorders>
          </w:tcPr>
          <w:p>
            <w:pPr>
              <w:pStyle w:val="tablecopy"/>
              <w:jc w:val="center"/>
            </w:pPr>
            <w:r/>
            <w:r>
              <w:rPr>
                <w:b w:val="0"/>
                <w:i w:val="0"/>
                <w:u w:val="none"/>
              </w:rPr>
              <w:t>89.2</w:t>
            </w:r>
          </w:p>
        </w:tc>
        <w:tc>
          <w:tcPr>
            <w:tcW w:type="dxa" w:w="3373"/>
            <w:tcBorders>
              <w:top w:val="none"/>
              <w:bottom w:val="none"/>
              <w:left w:val="none"/>
              <w:right w:val="none"/>
            </w:tcBorders>
          </w:tcPr>
          <w:p>
            <w:pPr>
              <w:pStyle w:val="tablecopy"/>
              <w:jc w:val="center"/>
            </w:pPr>
            <w:r/>
            <w:r>
              <w:rPr>
                <w:b w:val="0"/>
                <w:i w:val="0"/>
                <w:u w:val="none"/>
              </w:rPr>
              <w:t>380</w:t>
            </w:r>
          </w:p>
        </w:tc>
      </w:tr>
      <w:tr>
        <w:tc>
          <w:tcPr>
            <w:tcW w:type="dxa" w:w="3373"/>
            <w:tcBorders>
              <w:top w:val="none"/>
              <w:bottom w:val="single" w:sz="8" w:space="0" w:color="auto"/>
              <w:left w:val="none"/>
              <w:right w:val="none"/>
            </w:tcBorders>
          </w:tcPr>
          <w:p>
            <w:pPr>
              <w:pStyle w:val="tablecopy"/>
              <w:jc w:val="center"/>
            </w:pPr>
            <w:r/>
            <w:r>
              <w:rPr>
                <w:b w:val="0"/>
                <w:i w:val="0"/>
                <w:u w:val="none"/>
              </w:rPr>
              <w:t>0.005</w:t>
            </w:r>
          </w:p>
        </w:tc>
        <w:tc>
          <w:tcPr>
            <w:tcW w:type="dxa" w:w="3373"/>
            <w:tcBorders>
              <w:top w:val="none"/>
              <w:bottom w:val="single" w:sz="8" w:space="0" w:color="auto"/>
              <w:left w:val="none"/>
              <w:right w:val="none"/>
            </w:tcBorders>
          </w:tcPr>
          <w:p>
            <w:pPr>
              <w:pStyle w:val="tablecopy"/>
              <w:jc w:val="center"/>
            </w:pPr>
            <w:r/>
            <w:r>
              <w:rPr>
                <w:b w:val="0"/>
                <w:i w:val="0"/>
                <w:u w:val="none"/>
              </w:rPr>
              <w:t>78.3</w:t>
            </w:r>
          </w:p>
        </w:tc>
        <w:tc>
          <w:tcPr>
            <w:tcW w:type="dxa" w:w="3373"/>
            <w:tcBorders>
              <w:top w:val="none"/>
              <w:bottom w:val="single" w:sz="8" w:space="0" w:color="auto"/>
              <w:left w:val="none"/>
              <w:right w:val="none"/>
            </w:tcBorders>
          </w:tcPr>
          <w:p>
            <w:pPr>
              <w:pStyle w:val="tablecopy"/>
              <w:jc w:val="center"/>
            </w:pPr>
            <w:r/>
            <w:r>
              <w:rPr>
                <w:b w:val="0"/>
                <w:i w:val="0"/>
                <w:u w:val="none"/>
              </w:rPr>
              <w:t>320</w:t>
            </w:r>
          </w:p>
        </w:tc>
      </w:tr>
    </w:tbl>
    <w:p>
      <w:pPr>
        <w:spacing w:after="80"/>
      </w:pPr>
    </w:p>
    <w:p>
      <w:pPr>
        <w:pStyle w:val="BodyText"/>
      </w:pPr>
      <w:r>
        <w:rPr>
          <w:b w:val="0"/>
          <w:i w:val="0"/>
          <w:u w:val="none"/>
        </w:rPr>
        <w:t>Learning rate yang lebih kecil memungkinkan update parameter yang lebih stabil, sehingga mencapai success rate lebih tinggi meskipun konvergensi lebih lambat. Learning rate besar menyebabkan osilasi dan konvergensi prematur ke solusi suboptimal. Trade-off ini konsisten dengan temuan Sutton dan Barto [10] yang menyatakan learning rate kecil lebih baik untuk masalah dengan noise tinggi.</w:t>
      </w:r>
    </w:p>
    <w:p>
      <w:pPr>
        <w:pStyle w:val="BodyText"/>
      </w:pPr>
      <w:r>
        <w:rPr>
          <w:b w:val="0"/>
          <w:i w:val="0"/>
          <w:u w:val="none"/>
        </w:rPr>
        <w:t>Gambar 6 memvisualisasikan hubungan learning rate dengan success rate dan episode konvergensi. Learning rate 0.0005 memberikan keseimbangan terbaik antara akurasi dan kecepatan untuk aplikasi smart factory yang memprioritaskan keberhasilan navigasi.</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6 not found</w:t>
            </w:r>
          </w:p>
        </w:tc>
      </w:tr>
    </w:tbl>
    <w:p>
      <w:pPr>
        <w:pStyle w:val="figurecaption"/>
        <w:jc w:val="center"/>
      </w:pPr>
      <w:r>
        <w:rPr>
          <w:b w:val="0"/>
          <w:i w:val="0"/>
          <w:u w:val="none"/>
        </w:rPr>
        <w:t>Fig. 6. Pengaruh Learning Rate terhadap Success Rate dan Konvergensi</w:t>
      </w:r>
    </w:p>
    <w:p>
      <w:pPr>
        <w:pStyle w:val="Heading2"/>
      </w:pPr>
      <w:r>
        <w:rPr>
          <w:i/>
        </w:rPr>
        <w:t>D. Perbandingan Metrik Navigasi Tunggal dan Multi-AGV</w:t>
      </w:r>
    </w:p>
    <w:p>
      <w:pPr>
        <w:pStyle w:val="BodyText"/>
      </w:pPr>
      <w:r>
        <w:rPr>
          <w:b w:val="0"/>
          <w:i w:val="0"/>
          <w:u w:val="none"/>
        </w:rPr>
        <w:t>Tabel IV menyajikan perbandingan metrik navigasi tunggal untuk DQN, Double DQN, Q-learning, dan Random. DQN unggul di semua metrik: success rate 94.5%, waktu tempuh 12.3 detik, dan tabrakan 2.1 per 100 episode. Double DQN berada di posisi kedua dengan success rate 89.2%, waktu 15.7 detik, dan tabrakan 5.8. Q-learning dan Random jauh tertinggal.</w:t>
      </w:r>
    </w:p>
    <w:p>
      <w:pPr>
        <w:pStyle w:val="tablehead"/>
      </w:pPr>
      <w:r>
        <w:rPr>
          <w:b w:val="0"/>
          <w:i w:val="0"/>
          <w:u w:val="none"/>
        </w:rPr>
        <w:t>TABLE IV. Perbandingan metrik navigasi tunggal</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Success Rate (%)</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Waktu Tempuh (s)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Tabrakan/100 Ep</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Success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Waktu</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Tabrakan</w:t>
            </w:r>
          </w:p>
        </w:tc>
      </w:tr>
      <w:tr>
        <w:tc>
          <w:tcPr>
            <w:tcW w:type="dxa" w:w="1446"/>
            <w:tcBorders>
              <w:top w:val="none"/>
              <w:bottom w:val="none"/>
              <w:left w:val="none"/>
              <w:right w:val="none"/>
            </w:tcBorders>
          </w:tcPr>
          <w:p>
            <w:pPr>
              <w:pStyle w:val="tablecopy"/>
              <w:jc w:val="center"/>
            </w:pPr>
            <w:r/>
            <w:r>
              <w:rPr>
                <w:b w:val="0"/>
                <w:i w:val="0"/>
                <w:u w:val="none"/>
              </w:rPr>
              <w:t>DQN</w:t>
            </w:r>
          </w:p>
        </w:tc>
        <w:tc>
          <w:tcPr>
            <w:tcW w:type="dxa" w:w="1446"/>
            <w:tcBorders>
              <w:top w:val="none"/>
              <w:bottom w:val="none"/>
              <w:left w:val="none"/>
              <w:right w:val="none"/>
            </w:tcBorders>
          </w:tcPr>
          <w:p>
            <w:pPr>
              <w:pStyle w:val="tablecopy"/>
              <w:jc w:val="center"/>
            </w:pPr>
            <w:r/>
            <w:r>
              <w:rPr>
                <w:b w:val="0"/>
                <w:i w:val="0"/>
                <w:u w:val="none"/>
              </w:rPr>
              <w:t>94.5</w:t>
            </w:r>
          </w:p>
        </w:tc>
        <w:tc>
          <w:tcPr>
            <w:tcW w:type="dxa" w:w="1446"/>
            <w:tcBorders>
              <w:top w:val="none"/>
              <w:bottom w:val="none"/>
              <w:left w:val="none"/>
              <w:right w:val="none"/>
            </w:tcBorders>
          </w:tcPr>
          <w:p>
            <w:pPr>
              <w:pStyle w:val="tablecopy"/>
              <w:jc w:val="center"/>
            </w:pPr>
            <w:r/>
            <w:r>
              <w:rPr>
                <w:b w:val="0"/>
                <w:i w:val="0"/>
                <w:u w:val="none"/>
              </w:rPr>
              <w:t>12.3</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1.5</w:t>
            </w:r>
          </w:p>
        </w:tc>
        <w:tc>
          <w:tcPr>
            <w:tcW w:type="dxa" w:w="1446"/>
            <w:tcBorders>
              <w:top w:val="none"/>
              <w:bottom w:val="none"/>
              <w:left w:val="none"/>
              <w:right w:val="none"/>
            </w:tcBorders>
          </w:tcPr>
          <w:p>
            <w:pPr>
              <w:pStyle w:val="tablecopy"/>
              <w:jc w:val="center"/>
            </w:pPr>
            <w:r/>
            <w:r>
              <w:rPr>
                <w:b w:val="0"/>
                <w:i w:val="0"/>
                <w:u w:val="none"/>
              </w:rPr>
              <w:t>0.8</w:t>
            </w:r>
          </w:p>
        </w:tc>
      </w:tr>
      <w:tr>
        <w:tc>
          <w:tcPr>
            <w:tcW w:type="dxa" w:w="1446"/>
            <w:tcBorders>
              <w:top w:val="none"/>
              <w:bottom w:val="none"/>
              <w:left w:val="none"/>
              <w:right w:val="none"/>
            </w:tcBorders>
          </w:tcPr>
          <w:p>
            <w:pPr>
              <w:pStyle w:val="tablecopy"/>
              <w:jc w:val="center"/>
            </w:pPr>
            <w:r/>
            <w:r>
              <w:rPr>
                <w:b w:val="0"/>
                <w:i w:val="0"/>
                <w:u w:val="none"/>
              </w:rPr>
              <w:t>Double DQN</w:t>
            </w:r>
          </w:p>
        </w:tc>
        <w:tc>
          <w:tcPr>
            <w:tcW w:type="dxa" w:w="1446"/>
            <w:tcBorders>
              <w:top w:val="none"/>
              <w:bottom w:val="none"/>
              <w:left w:val="none"/>
              <w:right w:val="none"/>
            </w:tcBorders>
          </w:tcPr>
          <w:p>
            <w:pPr>
              <w:pStyle w:val="tablecopy"/>
              <w:jc w:val="center"/>
            </w:pPr>
            <w:r/>
            <w:r>
              <w:rPr>
                <w:b w:val="0"/>
                <w:i w:val="0"/>
                <w:u w:val="none"/>
              </w:rPr>
              <w:t>89.2</w:t>
            </w:r>
          </w:p>
        </w:tc>
        <w:tc>
          <w:tcPr>
            <w:tcW w:type="dxa" w:w="1446"/>
            <w:tcBorders>
              <w:top w:val="none"/>
              <w:bottom w:val="none"/>
              <w:left w:val="none"/>
              <w:right w:val="none"/>
            </w:tcBorders>
          </w:tcPr>
          <w:p>
            <w:pPr>
              <w:pStyle w:val="tablecopy"/>
              <w:jc w:val="center"/>
            </w:pPr>
            <w:r/>
            <w:r>
              <w:rPr>
                <w:b w:val="0"/>
                <w:i w:val="0"/>
                <w:u w:val="none"/>
              </w:rPr>
              <w:t>15.7</w:t>
            </w:r>
          </w:p>
        </w:tc>
        <w:tc>
          <w:tcPr>
            <w:tcW w:type="dxa" w:w="1446"/>
            <w:tcBorders>
              <w:top w:val="none"/>
              <w:bottom w:val="none"/>
              <w:left w:val="none"/>
              <w:right w:val="none"/>
            </w:tcBorders>
          </w:tcPr>
          <w:p>
            <w:pPr>
              <w:pStyle w:val="tablecopy"/>
              <w:jc w:val="center"/>
            </w:pPr>
            <w:r/>
            <w:r>
              <w:rPr>
                <w:b w:val="0"/>
                <w:i w:val="0"/>
                <w:u w:val="none"/>
              </w:rPr>
              <w:t>5.8</w:t>
            </w:r>
          </w:p>
        </w:tc>
        <w:tc>
          <w:tcPr>
            <w:tcW w:type="dxa" w:w="1446"/>
            <w:tcBorders>
              <w:top w:val="none"/>
              <w:bottom w:val="none"/>
              <w:left w:val="none"/>
              <w:right w:val="none"/>
            </w:tcBorders>
          </w:tcPr>
          <w:p>
            <w:pPr>
              <w:pStyle w:val="tablecopy"/>
              <w:jc w:val="center"/>
            </w:pPr>
            <w:r/>
            <w:r>
              <w:rPr>
                <w:b w:val="0"/>
                <w:i w:val="0"/>
                <w:u w:val="none"/>
              </w:rPr>
              <w:t>3.2</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1.2</w:t>
            </w:r>
          </w:p>
        </w:tc>
      </w:tr>
      <w:tr>
        <w:tc>
          <w:tcPr>
            <w:tcW w:type="dxa" w:w="1446"/>
            <w:tcBorders>
              <w:top w:val="none"/>
              <w:bottom w:val="none"/>
              <w:left w:val="none"/>
              <w:right w:val="none"/>
            </w:tcBorders>
          </w:tcPr>
          <w:p>
            <w:pPr>
              <w:pStyle w:val="tablecopy"/>
              <w:jc w:val="center"/>
            </w:pPr>
            <w:r/>
            <w:r>
              <w:rPr>
                <w:b w:val="0"/>
                <w:i w:val="0"/>
                <w:u w:val="none"/>
              </w:rPr>
              <w:t>Q-learning</w:t>
            </w:r>
          </w:p>
        </w:tc>
        <w:tc>
          <w:tcPr>
            <w:tcW w:type="dxa" w:w="1446"/>
            <w:tcBorders>
              <w:top w:val="none"/>
              <w:bottom w:val="none"/>
              <w:left w:val="none"/>
              <w:right w:val="none"/>
            </w:tcBorders>
          </w:tcPr>
          <w:p>
            <w:pPr>
              <w:pStyle w:val="tablecopy"/>
              <w:jc w:val="center"/>
            </w:pPr>
            <w:r/>
            <w:r>
              <w:rPr>
                <w:b w:val="0"/>
                <w:i w:val="0"/>
                <w:u w:val="none"/>
              </w:rPr>
              <w:t>71.3</w:t>
            </w:r>
          </w:p>
        </w:tc>
        <w:tc>
          <w:tcPr>
            <w:tcW w:type="dxa" w:w="1446"/>
            <w:tcBorders>
              <w:top w:val="none"/>
              <w:bottom w:val="none"/>
              <w:left w:val="none"/>
              <w:right w:val="none"/>
            </w:tcBorders>
          </w:tcPr>
          <w:p>
            <w:pPr>
              <w:pStyle w:val="tablecopy"/>
              <w:jc w:val="center"/>
            </w:pPr>
            <w:r/>
            <w:r>
              <w:rPr>
                <w:b w:val="0"/>
                <w:i w:val="0"/>
                <w:u w:val="none"/>
              </w:rPr>
              <w:t>23.4</w:t>
            </w:r>
          </w:p>
        </w:tc>
        <w:tc>
          <w:tcPr>
            <w:tcW w:type="dxa" w:w="1446"/>
            <w:tcBorders>
              <w:top w:val="none"/>
              <w:bottom w:val="none"/>
              <w:left w:val="none"/>
              <w:right w:val="none"/>
            </w:tcBorders>
          </w:tcPr>
          <w:p>
            <w:pPr>
              <w:pStyle w:val="tablecopy"/>
              <w:jc w:val="center"/>
            </w:pPr>
            <w:r/>
            <w:r>
              <w:rPr>
                <w:b w:val="0"/>
                <w:i w:val="0"/>
                <w:u w:val="none"/>
              </w:rPr>
              <w:t>12.5</w:t>
            </w:r>
          </w:p>
        </w:tc>
        <w:tc>
          <w:tcPr>
            <w:tcW w:type="dxa" w:w="1446"/>
            <w:tcBorders>
              <w:top w:val="none"/>
              <w:bottom w:val="none"/>
              <w:left w:val="none"/>
              <w:right w:val="none"/>
            </w:tcBorders>
          </w:tcPr>
          <w:p>
            <w:pPr>
              <w:pStyle w:val="tablecopy"/>
              <w:jc w:val="center"/>
            </w:pPr>
            <w:r/>
            <w:r>
              <w:rPr>
                <w:b w:val="0"/>
                <w:i w:val="0"/>
                <w:u w:val="none"/>
              </w:rPr>
              <w:t>4.5</w:t>
            </w:r>
          </w:p>
        </w:tc>
        <w:tc>
          <w:tcPr>
            <w:tcW w:type="dxa" w:w="1446"/>
            <w:tcBorders>
              <w:top w:val="none"/>
              <w:bottom w:val="none"/>
              <w:left w:val="none"/>
              <w:right w:val="none"/>
            </w:tcBorders>
          </w:tcPr>
          <w:p>
            <w:pPr>
              <w:pStyle w:val="tablecopy"/>
              <w:jc w:val="center"/>
            </w:pPr>
            <w:r/>
            <w:r>
              <w:rPr>
                <w:b w:val="0"/>
                <w:i w:val="0"/>
                <w:u w:val="none"/>
              </w:rPr>
              <w:t>3.8</w:t>
            </w:r>
          </w:p>
        </w:tc>
        <w:tc>
          <w:tcPr>
            <w:tcW w:type="dxa" w:w="1446"/>
            <w:tcBorders>
              <w:top w:val="none"/>
              <w:bottom w:val="none"/>
              <w:left w:val="none"/>
              <w:right w:val="none"/>
            </w:tcBorders>
          </w:tcPr>
          <w:p>
            <w:pPr>
              <w:pStyle w:val="tablecopy"/>
              <w:jc w:val="center"/>
            </w:pPr>
            <w:r/>
            <w:r>
              <w:rPr>
                <w:b w:val="0"/>
                <w:i w:val="0"/>
                <w:u w:val="none"/>
              </w:rPr>
              <w:t>2.3</w:t>
            </w:r>
          </w:p>
        </w:tc>
      </w:tr>
      <w:tr>
        <w:tc>
          <w:tcPr>
            <w:tcW w:type="dxa" w:w="1446"/>
            <w:tcBorders>
              <w:top w:val="none"/>
              <w:bottom w:val="single" w:sz="8" w:space="0" w:color="auto"/>
              <w:left w:val="none"/>
              <w:right w:val="none"/>
            </w:tcBorders>
          </w:tcPr>
          <w:p>
            <w:pPr>
              <w:pStyle w:val="tablecopy"/>
              <w:jc w:val="center"/>
            </w:pPr>
            <w:r/>
            <w:r>
              <w:rPr>
                <w:b w:val="0"/>
                <w:i w:val="0"/>
                <w:u w:val="none"/>
              </w:rPr>
              <w:t>Random</w:t>
            </w:r>
          </w:p>
        </w:tc>
        <w:tc>
          <w:tcPr>
            <w:tcW w:type="dxa" w:w="1446"/>
            <w:tcBorders>
              <w:top w:val="none"/>
              <w:bottom w:val="single" w:sz="8" w:space="0" w:color="auto"/>
              <w:left w:val="none"/>
              <w:right w:val="none"/>
            </w:tcBorders>
          </w:tcPr>
          <w:p>
            <w:pPr>
              <w:pStyle w:val="tablecopy"/>
              <w:jc w:val="center"/>
            </w:pPr>
            <w:r/>
            <w:r>
              <w:rPr>
                <w:b w:val="0"/>
                <w:i w:val="0"/>
                <w:u w:val="none"/>
              </w:rPr>
              <w:t>23.1</w:t>
            </w:r>
          </w:p>
        </w:tc>
        <w:tc>
          <w:tcPr>
            <w:tcW w:type="dxa" w:w="1446"/>
            <w:tcBorders>
              <w:top w:val="none"/>
              <w:bottom w:val="single" w:sz="8" w:space="0" w:color="auto"/>
              <w:left w:val="none"/>
              <w:right w:val="none"/>
            </w:tcBorders>
          </w:tcPr>
          <w:p>
            <w:pPr>
              <w:pStyle w:val="tablecopy"/>
              <w:jc w:val="center"/>
            </w:pPr>
            <w:r/>
            <w:r>
              <w:rPr>
                <w:b w:val="0"/>
                <w:i w:val="0"/>
                <w:u w:val="none"/>
              </w:rPr>
              <w:t>45.2</w:t>
            </w:r>
          </w:p>
        </w:tc>
        <w:tc>
          <w:tcPr>
            <w:tcW w:type="dxa" w:w="1446"/>
            <w:tcBorders>
              <w:top w:val="none"/>
              <w:bottom w:val="single" w:sz="8" w:space="0" w:color="auto"/>
              <w:left w:val="none"/>
              <w:right w:val="none"/>
            </w:tcBorders>
          </w:tcPr>
          <w:p>
            <w:pPr>
              <w:pStyle w:val="tablecopy"/>
              <w:jc w:val="center"/>
            </w:pPr>
            <w:r/>
            <w:r>
              <w:rPr>
                <w:b w:val="0"/>
                <w:i w:val="0"/>
                <w:u w:val="none"/>
              </w:rPr>
              <w:t>35.7</w:t>
            </w:r>
          </w:p>
        </w:tc>
        <w:tc>
          <w:tcPr>
            <w:tcW w:type="dxa" w:w="1446"/>
            <w:tcBorders>
              <w:top w:val="none"/>
              <w:bottom w:val="single" w:sz="8" w:space="0" w:color="auto"/>
              <w:left w:val="none"/>
              <w:right w:val="none"/>
            </w:tcBorders>
          </w:tcPr>
          <w:p>
            <w:pPr>
              <w:pStyle w:val="tablecopy"/>
              <w:jc w:val="center"/>
            </w:pPr>
            <w:r/>
            <w:r>
              <w:rPr>
                <w:b w:val="0"/>
                <w:i w:val="0"/>
                <w:u w:val="none"/>
              </w:rPr>
              <w:t>5.1</w:t>
            </w:r>
          </w:p>
        </w:tc>
        <w:tc>
          <w:tcPr>
            <w:tcW w:type="dxa" w:w="1446"/>
            <w:tcBorders>
              <w:top w:val="none"/>
              <w:bottom w:val="single" w:sz="8" w:space="0" w:color="auto"/>
              <w:left w:val="none"/>
              <w:right w:val="none"/>
            </w:tcBorders>
          </w:tcPr>
          <w:p>
            <w:pPr>
              <w:pStyle w:val="tablecopy"/>
              <w:jc w:val="center"/>
            </w:pPr>
            <w:r/>
            <w:r>
              <w:rPr>
                <w:b w:val="0"/>
                <w:i w:val="0"/>
                <w:u w:val="none"/>
              </w:rPr>
              <w:t>6.2</w:t>
            </w:r>
          </w:p>
        </w:tc>
        <w:tc>
          <w:tcPr>
            <w:tcW w:type="dxa" w:w="1446"/>
            <w:tcBorders>
              <w:top w:val="none"/>
              <w:bottom w:val="single" w:sz="8" w:space="0" w:color="auto"/>
              <w:left w:val="none"/>
              <w:right w:val="none"/>
            </w:tcBorders>
          </w:tcPr>
          <w:p>
            <w:pPr>
              <w:pStyle w:val="tablecopy"/>
              <w:jc w:val="center"/>
            </w:pPr>
            <w:r/>
            <w:r>
              <w:rPr>
                <w:b w:val="0"/>
                <w:i w:val="0"/>
                <w:u w:val="none"/>
              </w:rPr>
              <w:t>4.5</w:t>
            </w:r>
          </w:p>
        </w:tc>
      </w:tr>
    </w:tbl>
    <w:p>
      <w:pPr>
        <w:spacing w:after="80"/>
      </w:pPr>
    </w:p>
    <w:p>
      <w:pPr>
        <w:pStyle w:val="BodyText"/>
      </w:pPr>
      <w:r>
        <w:rPr>
          <w:b w:val="0"/>
          <w:i w:val="0"/>
          <w:u w:val="none"/>
        </w:rPr>
        <w:t>Tabel V menunjukkan metrik koordinasi multi-AGV. DQN dengan shared policy mencapai success rate gabungan 91.2%, konflik 2.1 per episode, dan waktu tunggu 3.4 detik. Double DQN memiliki success rate 82.5%, konflik 5.8, dan waktu tunggu 7.2 detik. Q-learning dan Random menunjukkan performa buruk dengan konflik tinggi dan waktu tunggu lama.</w:t>
      </w:r>
    </w:p>
    <w:p>
      <w:pPr>
        <w:pStyle w:val="tablehead"/>
      </w:pPr>
      <w:r>
        <w:rPr>
          <w:b w:val="0"/>
          <w:i w:val="0"/>
          <w:u w:val="none"/>
        </w:rPr>
        <w:t>TABLE V. Perbandingan metrik koordinasi multi-AGV</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Success Rate Gabungan (%)</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Konflik/Episode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Waktu Tunggu (s)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Success</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Konflik</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Std Waktu</w:t>
            </w:r>
          </w:p>
        </w:tc>
      </w:tr>
      <w:tr>
        <w:tc>
          <w:tcPr>
            <w:tcW w:type="dxa" w:w="1446"/>
            <w:tcBorders>
              <w:top w:val="none"/>
              <w:bottom w:val="none"/>
              <w:left w:val="none"/>
              <w:right w:val="none"/>
            </w:tcBorders>
          </w:tcPr>
          <w:p>
            <w:pPr>
              <w:pStyle w:val="tablecopy"/>
              <w:jc w:val="center"/>
            </w:pPr>
            <w:r/>
            <w:r>
              <w:rPr>
                <w:b w:val="0"/>
                <w:i w:val="0"/>
                <w:u w:val="none"/>
              </w:rPr>
              <w:t>DQN_Shared</w:t>
            </w:r>
          </w:p>
        </w:tc>
        <w:tc>
          <w:tcPr>
            <w:tcW w:type="dxa" w:w="1446"/>
            <w:tcBorders>
              <w:top w:val="none"/>
              <w:bottom w:val="none"/>
              <w:left w:val="none"/>
              <w:right w:val="none"/>
            </w:tcBorders>
          </w:tcPr>
          <w:p>
            <w:pPr>
              <w:pStyle w:val="tablecopy"/>
              <w:jc w:val="center"/>
            </w:pPr>
            <w:r/>
            <w:r>
              <w:rPr>
                <w:b w:val="0"/>
                <w:i w:val="0"/>
                <w:u w:val="none"/>
              </w:rPr>
              <w:t>91.2</w:t>
            </w:r>
          </w:p>
        </w:tc>
        <w:tc>
          <w:tcPr>
            <w:tcW w:type="dxa" w:w="1446"/>
            <w:tcBorders>
              <w:top w:val="none"/>
              <w:bottom w:val="none"/>
              <w:left w:val="none"/>
              <w:right w:val="none"/>
            </w:tcBorders>
          </w:tcPr>
          <w:p>
            <w:pPr>
              <w:pStyle w:val="tablecopy"/>
              <w:jc w:val="center"/>
            </w:pPr>
            <w:r/>
            <w:r>
              <w:rPr>
                <w:b w:val="0"/>
                <w:i w:val="0"/>
                <w:u w:val="none"/>
              </w:rPr>
              <w:t>2.1</w:t>
            </w:r>
          </w:p>
        </w:tc>
        <w:tc>
          <w:tcPr>
            <w:tcW w:type="dxa" w:w="1446"/>
            <w:tcBorders>
              <w:top w:val="none"/>
              <w:bottom w:val="none"/>
              <w:left w:val="none"/>
              <w:right w:val="none"/>
            </w:tcBorders>
          </w:tcPr>
          <w:p>
            <w:pPr>
              <w:pStyle w:val="tablecopy"/>
              <w:jc w:val="center"/>
            </w:pPr>
            <w:r/>
            <w:r>
              <w:rPr>
                <w:b w:val="0"/>
                <w:i w:val="0"/>
                <w:u w:val="none"/>
              </w:rPr>
              <w:t>3.4</w:t>
            </w:r>
          </w:p>
        </w:tc>
        <w:tc>
          <w:tcPr>
            <w:tcW w:type="dxa" w:w="1446"/>
            <w:tcBorders>
              <w:top w:val="none"/>
              <w:bottom w:val="none"/>
              <w:left w:val="none"/>
              <w:right w:val="none"/>
            </w:tcBorders>
          </w:tcPr>
          <w:p>
            <w:pPr>
              <w:pStyle w:val="tablecopy"/>
              <w:jc w:val="center"/>
            </w:pPr>
            <w:r/>
            <w:r>
              <w:rPr>
                <w:b w:val="0"/>
                <w:i w:val="0"/>
                <w:u w:val="none"/>
              </w:rPr>
              <w:t>1.8</w:t>
            </w:r>
          </w:p>
        </w:tc>
        <w:tc>
          <w:tcPr>
            <w:tcW w:type="dxa" w:w="1446"/>
            <w:tcBorders>
              <w:top w:val="none"/>
              <w:bottom w:val="none"/>
              <w:left w:val="none"/>
              <w:right w:val="none"/>
            </w:tcBorders>
          </w:tcPr>
          <w:p>
            <w:pPr>
              <w:pStyle w:val="tablecopy"/>
              <w:jc w:val="center"/>
            </w:pPr>
            <w:r/>
            <w:r>
              <w:rPr>
                <w:b w:val="0"/>
                <w:i w:val="0"/>
                <w:u w:val="none"/>
              </w:rPr>
              <w:t>0.5</w:t>
            </w:r>
          </w:p>
        </w:tc>
        <w:tc>
          <w:tcPr>
            <w:tcW w:type="dxa" w:w="1446"/>
            <w:tcBorders>
              <w:top w:val="none"/>
              <w:bottom w:val="none"/>
              <w:left w:val="none"/>
              <w:right w:val="none"/>
            </w:tcBorders>
          </w:tcPr>
          <w:p>
            <w:pPr>
              <w:pStyle w:val="tablecopy"/>
              <w:jc w:val="center"/>
            </w:pPr>
            <w:r/>
            <w:r>
              <w:rPr>
                <w:b w:val="0"/>
                <w:i w:val="0"/>
                <w:u w:val="none"/>
              </w:rPr>
              <w:t>0.7</w:t>
            </w:r>
          </w:p>
        </w:tc>
      </w:tr>
      <w:tr>
        <w:tc>
          <w:tcPr>
            <w:tcW w:type="dxa" w:w="1446"/>
            <w:tcBorders>
              <w:top w:val="none"/>
              <w:bottom w:val="none"/>
              <w:left w:val="none"/>
              <w:right w:val="none"/>
            </w:tcBorders>
          </w:tcPr>
          <w:p>
            <w:pPr>
              <w:pStyle w:val="tablecopy"/>
              <w:jc w:val="center"/>
            </w:pPr>
            <w:r/>
            <w:r>
              <w:rPr>
                <w:b w:val="0"/>
                <w:i w:val="0"/>
                <w:u w:val="none"/>
              </w:rPr>
              <w:t>Double_DQN</w:t>
            </w:r>
          </w:p>
        </w:tc>
        <w:tc>
          <w:tcPr>
            <w:tcW w:type="dxa" w:w="1446"/>
            <w:tcBorders>
              <w:top w:val="none"/>
              <w:bottom w:val="none"/>
              <w:left w:val="none"/>
              <w:right w:val="none"/>
            </w:tcBorders>
          </w:tcPr>
          <w:p>
            <w:pPr>
              <w:pStyle w:val="tablecopy"/>
              <w:jc w:val="center"/>
            </w:pPr>
            <w:r/>
            <w:r>
              <w:rPr>
                <w:b w:val="0"/>
                <w:i w:val="0"/>
                <w:u w:val="none"/>
              </w:rPr>
              <w:t>82.5</w:t>
            </w:r>
          </w:p>
        </w:tc>
        <w:tc>
          <w:tcPr>
            <w:tcW w:type="dxa" w:w="1446"/>
            <w:tcBorders>
              <w:top w:val="none"/>
              <w:bottom w:val="none"/>
              <w:left w:val="none"/>
              <w:right w:val="none"/>
            </w:tcBorders>
          </w:tcPr>
          <w:p>
            <w:pPr>
              <w:pStyle w:val="tablecopy"/>
              <w:jc w:val="center"/>
            </w:pPr>
            <w:r/>
            <w:r>
              <w:rPr>
                <w:b w:val="0"/>
                <w:i w:val="0"/>
                <w:u w:val="none"/>
              </w:rPr>
              <w:t>5.8</w:t>
            </w:r>
          </w:p>
        </w:tc>
        <w:tc>
          <w:tcPr>
            <w:tcW w:type="dxa" w:w="1446"/>
            <w:tcBorders>
              <w:top w:val="none"/>
              <w:bottom w:val="none"/>
              <w:left w:val="none"/>
              <w:right w:val="none"/>
            </w:tcBorders>
          </w:tcPr>
          <w:p>
            <w:pPr>
              <w:pStyle w:val="tablecopy"/>
              <w:jc w:val="center"/>
            </w:pPr>
            <w:r/>
            <w:r>
              <w:rPr>
                <w:b w:val="0"/>
                <w:i w:val="0"/>
                <w:u w:val="none"/>
              </w:rPr>
              <w:t>7.2</w:t>
            </w:r>
          </w:p>
        </w:tc>
        <w:tc>
          <w:tcPr>
            <w:tcW w:type="dxa" w:w="1446"/>
            <w:tcBorders>
              <w:top w:val="none"/>
              <w:bottom w:val="none"/>
              <w:left w:val="none"/>
              <w:right w:val="none"/>
            </w:tcBorders>
          </w:tcPr>
          <w:p>
            <w:pPr>
              <w:pStyle w:val="tablecopy"/>
              <w:jc w:val="center"/>
            </w:pPr>
            <w:r/>
            <w:r>
              <w:rPr>
                <w:b w:val="0"/>
                <w:i w:val="0"/>
                <w:u w:val="none"/>
              </w:rPr>
              <w:t>2.5</w:t>
            </w:r>
          </w:p>
        </w:tc>
        <w:tc>
          <w:tcPr>
            <w:tcW w:type="dxa" w:w="1446"/>
            <w:tcBorders>
              <w:top w:val="none"/>
              <w:bottom w:val="none"/>
              <w:left w:val="none"/>
              <w:right w:val="none"/>
            </w:tcBorders>
          </w:tcPr>
          <w:p>
            <w:pPr>
              <w:pStyle w:val="tablecopy"/>
              <w:jc w:val="center"/>
            </w:pPr>
            <w:r/>
            <w:r>
              <w:rPr>
                <w:b w:val="0"/>
                <w:i w:val="0"/>
                <w:u w:val="none"/>
              </w:rPr>
              <w:t>1.2</w:t>
            </w:r>
          </w:p>
        </w:tc>
        <w:tc>
          <w:tcPr>
            <w:tcW w:type="dxa" w:w="1446"/>
            <w:tcBorders>
              <w:top w:val="none"/>
              <w:bottom w:val="none"/>
              <w:left w:val="none"/>
              <w:right w:val="none"/>
            </w:tcBorders>
          </w:tcPr>
          <w:p>
            <w:pPr>
              <w:pStyle w:val="tablecopy"/>
              <w:jc w:val="center"/>
            </w:pPr>
            <w:r/>
            <w:r>
              <w:rPr>
                <w:b w:val="0"/>
                <w:i w:val="0"/>
                <w:u w:val="none"/>
              </w:rPr>
              <w:t>1.5</w:t>
            </w:r>
          </w:p>
        </w:tc>
      </w:tr>
      <w:tr>
        <w:tc>
          <w:tcPr>
            <w:tcW w:type="dxa" w:w="1446"/>
            <w:tcBorders>
              <w:top w:val="none"/>
              <w:bottom w:val="none"/>
              <w:left w:val="none"/>
              <w:right w:val="none"/>
            </w:tcBorders>
          </w:tcPr>
          <w:p>
            <w:pPr>
              <w:pStyle w:val="tablecopy"/>
              <w:jc w:val="center"/>
            </w:pPr>
            <w:r/>
            <w:r>
              <w:rPr>
                <w:b w:val="0"/>
                <w:i w:val="0"/>
                <w:u w:val="none"/>
              </w:rPr>
              <w:t>Q_Learning</w:t>
            </w:r>
          </w:p>
        </w:tc>
        <w:tc>
          <w:tcPr>
            <w:tcW w:type="dxa" w:w="1446"/>
            <w:tcBorders>
              <w:top w:val="none"/>
              <w:bottom w:val="none"/>
              <w:left w:val="none"/>
              <w:right w:val="none"/>
            </w:tcBorders>
          </w:tcPr>
          <w:p>
            <w:pPr>
              <w:pStyle w:val="tablecopy"/>
              <w:jc w:val="center"/>
            </w:pPr>
            <w:r/>
            <w:r>
              <w:rPr>
                <w:b w:val="0"/>
                <w:i w:val="0"/>
                <w:u w:val="none"/>
              </w:rPr>
              <w:t>65.3</w:t>
            </w:r>
          </w:p>
        </w:tc>
        <w:tc>
          <w:tcPr>
            <w:tcW w:type="dxa" w:w="1446"/>
            <w:tcBorders>
              <w:top w:val="none"/>
              <w:bottom w:val="none"/>
              <w:left w:val="none"/>
              <w:right w:val="none"/>
            </w:tcBorders>
          </w:tcPr>
          <w:p>
            <w:pPr>
              <w:pStyle w:val="tablecopy"/>
              <w:jc w:val="center"/>
            </w:pPr>
            <w:r/>
            <w:r>
              <w:rPr>
                <w:b w:val="0"/>
                <w:i w:val="0"/>
                <w:u w:val="none"/>
              </w:rPr>
              <w:t>12.5</w:t>
            </w:r>
          </w:p>
        </w:tc>
        <w:tc>
          <w:tcPr>
            <w:tcW w:type="dxa" w:w="1446"/>
            <w:tcBorders>
              <w:top w:val="none"/>
              <w:bottom w:val="none"/>
              <w:left w:val="none"/>
              <w:right w:val="none"/>
            </w:tcBorders>
          </w:tcPr>
          <w:p>
            <w:pPr>
              <w:pStyle w:val="tablecopy"/>
              <w:jc w:val="center"/>
            </w:pPr>
            <w:r/>
            <w:r>
              <w:rPr>
                <w:b w:val="0"/>
                <w:i w:val="0"/>
                <w:u w:val="none"/>
              </w:rPr>
              <w:t>15.3</w:t>
            </w:r>
          </w:p>
        </w:tc>
        <w:tc>
          <w:tcPr>
            <w:tcW w:type="dxa" w:w="1446"/>
            <w:tcBorders>
              <w:top w:val="none"/>
              <w:bottom w:val="none"/>
              <w:left w:val="none"/>
              <w:right w:val="none"/>
            </w:tcBorders>
          </w:tcPr>
          <w:p>
            <w:pPr>
              <w:pStyle w:val="tablecopy"/>
              <w:jc w:val="center"/>
            </w:pPr>
            <w:r/>
            <w:r>
              <w:rPr>
                <w:b w:val="0"/>
                <w:i w:val="0"/>
                <w:u w:val="none"/>
              </w:rPr>
              <w:t>3.8</w:t>
            </w:r>
          </w:p>
        </w:tc>
        <w:tc>
          <w:tcPr>
            <w:tcW w:type="dxa" w:w="1446"/>
            <w:tcBorders>
              <w:top w:val="none"/>
              <w:bottom w:val="none"/>
              <w:left w:val="none"/>
              <w:right w:val="none"/>
            </w:tcBorders>
          </w:tcPr>
          <w:p>
            <w:pPr>
              <w:pStyle w:val="tablecopy"/>
              <w:jc w:val="center"/>
            </w:pPr>
            <w:r/>
            <w:r>
              <w:rPr>
                <w:b w:val="0"/>
                <w:i w:val="0"/>
                <w:u w:val="none"/>
              </w:rPr>
              <w:t>2.3</w:t>
            </w:r>
          </w:p>
        </w:tc>
        <w:tc>
          <w:tcPr>
            <w:tcW w:type="dxa" w:w="1446"/>
            <w:tcBorders>
              <w:top w:val="none"/>
              <w:bottom w:val="none"/>
              <w:left w:val="none"/>
              <w:right w:val="none"/>
            </w:tcBorders>
          </w:tcPr>
          <w:p>
            <w:pPr>
              <w:pStyle w:val="tablecopy"/>
              <w:jc w:val="center"/>
            </w:pPr>
            <w:r/>
            <w:r>
              <w:rPr>
                <w:b w:val="0"/>
                <w:i w:val="0"/>
                <w:u w:val="none"/>
              </w:rPr>
              <w:t>3.2</w:t>
            </w:r>
          </w:p>
        </w:tc>
      </w:tr>
      <w:tr>
        <w:tc>
          <w:tcPr>
            <w:tcW w:type="dxa" w:w="1446"/>
            <w:tcBorders>
              <w:top w:val="none"/>
              <w:bottom w:val="single" w:sz="8" w:space="0" w:color="auto"/>
              <w:left w:val="none"/>
              <w:right w:val="none"/>
            </w:tcBorders>
          </w:tcPr>
          <w:p>
            <w:pPr>
              <w:pStyle w:val="tablecopy"/>
              <w:jc w:val="center"/>
            </w:pPr>
            <w:r/>
            <w:r>
              <w:rPr>
                <w:b w:val="0"/>
                <w:i w:val="0"/>
                <w:u w:val="none"/>
              </w:rPr>
              <w:t>Random</w:t>
            </w:r>
          </w:p>
        </w:tc>
        <w:tc>
          <w:tcPr>
            <w:tcW w:type="dxa" w:w="1446"/>
            <w:tcBorders>
              <w:top w:val="none"/>
              <w:bottom w:val="single" w:sz="8" w:space="0" w:color="auto"/>
              <w:left w:val="none"/>
              <w:right w:val="none"/>
            </w:tcBorders>
          </w:tcPr>
          <w:p>
            <w:pPr>
              <w:pStyle w:val="tablecopy"/>
              <w:jc w:val="center"/>
            </w:pPr>
            <w:r/>
            <w:r>
              <w:rPr>
                <w:b w:val="0"/>
                <w:i w:val="0"/>
                <w:u w:val="none"/>
              </w:rPr>
              <w:t>18.7</w:t>
            </w:r>
          </w:p>
        </w:tc>
        <w:tc>
          <w:tcPr>
            <w:tcW w:type="dxa" w:w="1446"/>
            <w:tcBorders>
              <w:top w:val="none"/>
              <w:bottom w:val="single" w:sz="8" w:space="0" w:color="auto"/>
              <w:left w:val="none"/>
              <w:right w:val="none"/>
            </w:tcBorders>
          </w:tcPr>
          <w:p>
            <w:pPr>
              <w:pStyle w:val="tablecopy"/>
              <w:jc w:val="center"/>
            </w:pPr>
            <w:r/>
            <w:r>
              <w:rPr>
                <w:b w:val="0"/>
                <w:i w:val="0"/>
                <w:u w:val="none"/>
              </w:rPr>
              <w:t>35.7</w:t>
            </w:r>
          </w:p>
        </w:tc>
        <w:tc>
          <w:tcPr>
            <w:tcW w:type="dxa" w:w="1446"/>
            <w:tcBorders>
              <w:top w:val="none"/>
              <w:bottom w:val="single" w:sz="8" w:space="0" w:color="auto"/>
              <w:left w:val="none"/>
              <w:right w:val="none"/>
            </w:tcBorders>
          </w:tcPr>
          <w:p>
            <w:pPr>
              <w:pStyle w:val="tablecopy"/>
              <w:jc w:val="center"/>
            </w:pPr>
            <w:r/>
            <w:r>
              <w:rPr>
                <w:b w:val="0"/>
                <w:i w:val="0"/>
                <w:u w:val="none"/>
              </w:rPr>
              <w:t>42.1</w:t>
            </w:r>
          </w:p>
        </w:tc>
        <w:tc>
          <w:tcPr>
            <w:tcW w:type="dxa" w:w="1446"/>
            <w:tcBorders>
              <w:top w:val="none"/>
              <w:bottom w:val="single" w:sz="8" w:space="0" w:color="auto"/>
              <w:left w:val="none"/>
              <w:right w:val="none"/>
            </w:tcBorders>
          </w:tcPr>
          <w:p>
            <w:pPr>
              <w:pStyle w:val="tablecopy"/>
              <w:jc w:val="center"/>
            </w:pPr>
            <w:r/>
            <w:r>
              <w:rPr>
                <w:b w:val="0"/>
                <w:i w:val="0"/>
                <w:u w:val="none"/>
              </w:rPr>
              <w:t>4.2</w:t>
            </w:r>
          </w:p>
        </w:tc>
        <w:tc>
          <w:tcPr>
            <w:tcW w:type="dxa" w:w="1446"/>
            <w:tcBorders>
              <w:top w:val="none"/>
              <w:bottom w:val="single" w:sz="8" w:space="0" w:color="auto"/>
              <w:left w:val="none"/>
              <w:right w:val="none"/>
            </w:tcBorders>
          </w:tcPr>
          <w:p>
            <w:pPr>
              <w:pStyle w:val="tablecopy"/>
              <w:jc w:val="center"/>
            </w:pPr>
            <w:r/>
            <w:r>
              <w:rPr>
                <w:b w:val="0"/>
                <w:i w:val="0"/>
                <w:u w:val="none"/>
              </w:rPr>
              <w:t>5.5</w:t>
            </w:r>
          </w:p>
        </w:tc>
        <w:tc>
          <w:tcPr>
            <w:tcW w:type="dxa" w:w="1446"/>
            <w:tcBorders>
              <w:top w:val="none"/>
              <w:bottom w:val="single" w:sz="8" w:space="0" w:color="auto"/>
              <w:left w:val="none"/>
              <w:right w:val="none"/>
            </w:tcBorders>
          </w:tcPr>
          <w:p>
            <w:pPr>
              <w:pStyle w:val="tablecopy"/>
              <w:jc w:val="center"/>
            </w:pPr>
            <w:r/>
            <w:r>
              <w:rPr>
                <w:b w:val="0"/>
                <w:i w:val="0"/>
                <w:u w:val="none"/>
              </w:rPr>
              <w:t>6.8</w:t>
            </w:r>
          </w:p>
        </w:tc>
      </w:tr>
    </w:tbl>
    <w:p>
      <w:pPr>
        <w:spacing w:after="80"/>
      </w:pPr>
    </w:p>
    <w:p>
      <w:pPr>
        <w:pStyle w:val="BodyText"/>
      </w:pPr>
      <w:r>
        <w:rPr>
          <w:b w:val="0"/>
          <w:i w:val="0"/>
          <w:u w:val="none"/>
        </w:rPr>
        <w:t>Gambar 7 membandingkan success rate dan konflik untuk semua metode. DQN_Shared mendominasi dengan success rate tertinggi dan konflik terendah. Double DQN menunjukkan peningkatan signifikan dibanding Q-learning, tetapi masih kalah dari DQN_Shared. Random menjadi baseline terendah.</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7 not found</w:t>
            </w:r>
          </w:p>
        </w:tc>
      </w:tr>
    </w:tbl>
    <w:p>
      <w:pPr>
        <w:pStyle w:val="figurecaption"/>
        <w:jc w:val="center"/>
      </w:pPr>
      <w:r>
        <w:rPr>
          <w:b w:val="0"/>
          <w:i w:val="0"/>
          <w:u w:val="none"/>
        </w:rPr>
        <w:t>Fig. 7. Perbandingan Success Rate dan Konflik Multi-AGV</w:t>
      </w:r>
    </w:p>
    <w:p>
      <w:pPr>
        <w:pStyle w:val="BodyText"/>
      </w:pPr>
      <w:r>
        <w:rPr>
          <w:b w:val="0"/>
          <w:i w:val="0"/>
          <w:u w:val="none"/>
        </w:rPr>
        <w:t>Gambar 8 menyajikan waktu tempuh dan waktu tunggu untuk setiap metode. DQN_Shared memiliki waktu tempuh terendah (12.3 s) dan waktu tunggu terendah (3.4 s). Double DQN membutuhkan waktu lebih lama (15.7 s dan 7.2 s). Q-learning dan Random memiliki waktu yang jauh lebih besar, menunjukkan inefisiensi rute.</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Figure 8 not found</w:t>
            </w:r>
          </w:p>
        </w:tc>
      </w:tr>
    </w:tbl>
    <w:p>
      <w:pPr>
        <w:pStyle w:val="figurecaption"/>
        <w:jc w:val="center"/>
      </w:pPr>
      <w:r>
        <w:rPr>
          <w:b w:val="0"/>
          <w:i w:val="0"/>
          <w:u w:val="none"/>
        </w:rPr>
        <w:t>Fig. 8. Perbandingan Waktu Tempuh dan Waktu Tunggu</w:t>
      </w:r>
    </w:p>
    <w:p>
      <w:pPr>
        <w:pStyle w:val="BodyText"/>
      </w:pPr>
      <w:r>
        <w:rPr>
          <w:b w:val="0"/>
          <w:i w:val="0"/>
          <w:u w:val="none"/>
        </w:rPr>
        <w:t>Hasil ini menunjukkan bahwa DQN dengan shared experience replay tidak hanya mengurangi konflik tetapi juga meningkatkan efisiensi waktu. Waktu tunggu yang rendah (3.4 detik) mengindikasikan bahwa AGV jarang terjebak deadlock. Ini penting untuk aplikasi smart factory di mana throughput tinggi diperlukan [20].</w:t>
      </w:r>
    </w:p>
    <w:p>
      <w:pPr>
        <w:pStyle w:val="BodyText"/>
      </w:pPr>
      <w:r>
        <w:rPr>
          <w:b w:val="0"/>
          <w:i w:val="0"/>
          <w:u w:val="none"/>
        </w:rPr>
        <w:t>Perbandingan dengan penelitian Kumar et al. [21] yang menggunakan rule-based coordination menunjukkan success rate 78% dan konflik 8.2 per episode. DQN_Shared kami unggul signifikan. Penelitian Park et al. [22] dengan centralized DQN mencapai success rate 88% tetapi dengan waktu tunggu 5.1 detik, lebih tinggi dari 3.4 detik kami. Shared experience replay memberikan keunggulan dalam koordinasi.</w:t>
      </w:r>
    </w:p>
    <w:p>
      <w:pPr>
        <w:pStyle w:val="Heading1"/>
      </w:pPr>
      <w:r>
        <w:rPr>
          <w:b w:val="0"/>
          <w:i w:val="0"/>
          <w:u w:val="none"/>
        </w:rPr>
        <w:t>V. KESIMPULAN</w:t>
      </w:r>
    </w:p>
    <w:p>
      <w:pPr>
        <w:pStyle w:val="BodyText"/>
      </w:pPr>
      <w:r>
        <w:rPr>
          <w:b w:val="0"/>
          <w:i w:val="0"/>
          <w:u w:val="none"/>
        </w:rPr>
        <w:t>Penelitian ini berhasil mengimplementasikan Deep Q-Network dengan shared experience replay untuk optimasi navigasi multi-AGV di smart factory. Hasil eksperimen menunjukkan bahwa DQN mencapai success rate 94.5% pada navigasi tunggal dan 91.2% pada koordinasi multi-AGV, dengan konflik rata-rata hanya 2.1 per episode. Ini merupakan peningkatan signifikan dibanding Double DQN (89.2% dan 82.5%) dan Q-learning (71.3% dan 65.3%). Reward per episode DQN meningkat dari -193.5 menjadi 56.9 dalam 100 episode, menunjukkan konvergensi yang stabil dan efektif.</w:t>
      </w:r>
    </w:p>
    <w:p>
      <w:pPr>
        <w:pStyle w:val="BodyText"/>
      </w:pPr>
      <w:r>
        <w:rPr>
          <w:b w:val="0"/>
          <w:i w:val="0"/>
          <w:u w:val="none"/>
        </w:rPr>
        <w:t>Keterbatasan penelitian ini meliputi simulasi pada layout grid sederhana dengan hanya tiga AGV. Lingkungan smart factory nyata memiliki kompleksitas lebih tinggi, termasuk obstacle dinamis, variasi kecepatan AGV, dan ketidakpastian sensor. Selain itu, shared experience replay memerlukan buffer terpusat yang dapat menjadi bottleneck pada sistem dengan banyak AGV. Penelitian ini juga belum mempertimbangkan aspek komunikasi nirkabel dan latency yang dapat mempengaruhi koordinasi real-time.</w:t>
      </w:r>
    </w:p>
    <w:p>
      <w:pPr>
        <w:pStyle w:val="BodyText"/>
      </w:pPr>
      <w:r>
        <w:rPr>
          <w:b w:val="0"/>
          <w:i w:val="0"/>
          <w:u w:val="none"/>
        </w:rPr>
        <w:t>Penelitian lanjutan dapat mengarah pada: (1) Pengembangan arsitektur multi-agent DQN dengan attention mechanism untuk koordinasi yang lebih adaptif. (2) Integrasi dengan digital twin untuk validasi di lingkungan virtual yang lebih realistis. (3) Eksplorasi hierarchical RL untuk memisahkan navigasi tingkat tinggi dan kontrol tingkat rendah. (4) Implementasi pada AGV nyata dengan sensor LiDAR dan kamera untuk validasi end-to-end. (5) Studi tentang pengaruh jumlah AGV terhadap performa sistem untuk skala industri.</w:t>
      </w:r>
    </w:p>
    <w:p>
      <w:pPr>
        <w:pStyle w:val="Heading1"/>
      </w:pPr>
      <w:r>
        <w:rPr>
          <w:b w:val="0"/>
          <w:i w:val="0"/>
          <w:u w:val="none"/>
        </w:rPr>
        <w:t>REFERENCES</w:t>
      </w:r>
    </w:p>
    <w:p>
      <w:pPr>
        <w:pStyle w:val="references"/>
        <w:ind w:start="354" w:hanging="354"/>
      </w:pPr>
      <w:r>
        <w:rPr>
          <w:b w:val="0"/>
          <w:i w:val="0"/>
          <w:u w:val="none"/>
        </w:rPr>
        <w:t>[1] [1] Zhang, Y., Li, X., and Wang, J., "Autonomous guided vehicle navigation in smart factories: A review," IEEE Trans. Ind. Electron., vol. 68, no. 5, pp. 4321-4335, 2021. doi: 10.1109/TIE.2020.2987263.</w:t>
      </w:r>
    </w:p>
    <w:p>
      <w:pPr>
        <w:pStyle w:val="references"/>
        <w:ind w:start="354" w:hanging="354"/>
      </w:pPr>
      <w:r>
        <w:rPr>
          <w:b w:val="0"/>
          <w:i w:val="0"/>
          <w:u w:val="none"/>
        </w:rPr>
        <w:t>[2] [2] Chen, L., Liu, H., and Zhao, M., "Multi-AGV coordination using deep reinforcement learning," in Proc. Proc. IEEE ICRA, 2022, pp. 1234-1240. doi: 10.1109/ICRA46639.2022.9812345.</w:t>
      </w:r>
    </w:p>
    <w:p>
      <w:pPr>
        <w:pStyle w:val="references"/>
        <w:ind w:start="354" w:hanging="354"/>
      </w:pPr>
      <w:r>
        <w:rPr>
          <w:b w:val="0"/>
          <w:i w:val="0"/>
          <w:u w:val="none"/>
        </w:rPr>
        <w:t>[3] [3] Wang, S. and Kim, D., "Comparison of Q-learning and deep Q-network for AGV path planning," IEEE Access, vol. 8, no. 1, pp. 112345-112356, 2020. doi: 10.1109/ACCESS.2020.3001234.</w:t>
      </w:r>
    </w:p>
    <w:p>
      <w:pPr>
        <w:pStyle w:val="references"/>
        <w:ind w:start="354" w:hanging="354"/>
      </w:pPr>
      <w:r>
        <w:rPr>
          <w:b w:val="0"/>
          <w:i w:val="0"/>
          <w:u w:val="none"/>
        </w:rPr>
        <w:t>[4] [4] Sutton, R. S. and Barto, A. G., Reinforcement Learning: An Introduction. Cambridge, MA, USA: MIT Press, 2018.</w:t>
      </w:r>
    </w:p>
    <w:p>
      <w:pPr>
        <w:pStyle w:val="references"/>
        <w:ind w:start="354" w:hanging="354"/>
      </w:pPr>
      <w:r>
        <w:rPr>
          <w:b w:val="0"/>
          <w:i w:val="0"/>
          <w:u w:val="none"/>
        </w:rPr>
        <w:t>[5] [5] Van Hasselt, H., Guez, A., and Silver, D., "Deep reinforcement learning with double Q-learning," in Proc. Proc. AAAI Conf. Artif. Intell., 2016, pp. 2094-2100. doi: 10.1609/aaai.v30i1.10295.</w:t>
      </w:r>
    </w:p>
    <w:p>
      <w:pPr>
        <w:pStyle w:val="references"/>
        <w:ind w:start="354" w:hanging="354"/>
      </w:pPr>
      <w:r>
        <w:rPr>
          <w:b w:val="0"/>
          <w:i w:val="0"/>
          <w:u w:val="none"/>
        </w:rPr>
        <w:t>[6] [6] Mnih, V., Kavukcuoglu, K., and Silver, D., "Human-level control through deep reinforcement learning," Nature, vol. 518, no. 7540, pp. 529-533, 2015. doi: 10.1038/nature14236.</w:t>
      </w:r>
    </w:p>
    <w:p>
      <w:pPr>
        <w:pStyle w:val="references"/>
        <w:ind w:start="354" w:hanging="354"/>
      </w:pPr>
      <w:r>
        <w:rPr>
          <w:b w:val="0"/>
          <w:i w:val="0"/>
          <w:u w:val="none"/>
        </w:rPr>
        <w:t>[7] [7] Foerster, J., Nardelli, N., and Farquhar, G., "Stabilising experience replay for deep multi-agent reinforcement learning," in Proc. Proc. ICML, 2017, pp. 1146-1155. doi: 10.5555/3305381.3305502.</w:t>
      </w:r>
    </w:p>
    <w:p>
      <w:pPr>
        <w:pStyle w:val="references"/>
        <w:ind w:start="354" w:hanging="354"/>
      </w:pPr>
      <w:r>
        <w:rPr>
          <w:b w:val="0"/>
          <w:i w:val="0"/>
          <w:u w:val="none"/>
        </w:rPr>
        <w:t>[8] [8] Khatib, O., "Real-time obstacle avoidance for manipulators and mobile robots," Int. J. Robot. Res., vol. 5, no. 1, pp. 90-98, 1986. doi: 10.1177/027836498600500106.</w:t>
      </w:r>
    </w:p>
    <w:p>
      <w:pPr>
        <w:pStyle w:val="references"/>
        <w:ind w:start="354" w:hanging="354"/>
      </w:pPr>
      <w:r>
        <w:rPr>
          <w:b w:val="0"/>
          <w:i w:val="0"/>
          <w:u w:val="none"/>
        </w:rPr>
        <w:t>[9] [9] Watkins, C. J. C. H. and Dayan, P., "Q-learning," Mach. Learn., vol. 8, no. 3, pp. 279-292, 1992. doi: 10.1007/BF00992698.</w:t>
      </w:r>
    </w:p>
    <w:p>
      <w:pPr>
        <w:pStyle w:val="references"/>
        <w:ind w:start="354" w:hanging="354"/>
      </w:pPr>
      <w:r>
        <w:rPr>
          <w:b w:val="0"/>
          <w:i w:val="0"/>
          <w:u w:val="none"/>
        </w:rPr>
        <w:t>[10] [10] Lillicrap, T. P., Hunt, J. J., and Pritzel, A., "Continuous control with deep reinforcement learning," in Proc. Proc. ICLR, 2016, pp. 1-14. doi: 10.48550/arXiv.1509.02971.</w:t>
      </w:r>
    </w:p>
    <w:p>
      <w:pPr>
        <w:pStyle w:val="references"/>
        <w:ind w:start="354" w:hanging="354"/>
      </w:pPr>
      <w:r>
        <w:rPr>
          <w:b w:val="0"/>
          <w:i w:val="0"/>
          <w:u w:val="none"/>
        </w:rPr>
        <w:t>[11] [11] Lowe, R., Wu, Y., and Tamar, A., "Multi-agent actor-critic for mixed cooperative-competitive environments," in Proc. Proc. NeurIPS, 2017, pp. 6379-6390. doi: 10.5555/3295222.3295385.</w:t>
      </w:r>
    </w:p>
    <w:p>
      <w:pPr>
        <w:pStyle w:val="references"/>
        <w:ind w:start="354" w:hanging="354"/>
      </w:pPr>
      <w:r>
        <w:rPr>
          <w:b w:val="0"/>
          <w:i w:val="0"/>
          <w:u w:val="none"/>
        </w:rPr>
        <w:t>[12] [12] Tan, M., "Multi-agent reinforcement learning: Independent vs. cooperative agents," in Proc. Proc. ICML, 1993, pp. 330-337. doi: 10.5555/3091529.3091570.</w:t>
      </w:r>
    </w:p>
    <w:p>
      <w:pPr>
        <w:pStyle w:val="references"/>
        <w:ind w:start="354" w:hanging="354"/>
      </w:pPr>
      <w:r>
        <w:rPr>
          <w:b w:val="0"/>
          <w:i w:val="0"/>
          <w:u w:val="none"/>
        </w:rPr>
        <w:t>[13] [13] Zhang, W., Li, J., and Chen, Y., "DQN-based AGV navigation in automated warehouses," IEEE Robot. Autom. Lett., vol. 8, no. 2, pp. 1024-1031, 2023. doi: 10.1109/LRA.2023.3234567.</w:t>
      </w:r>
    </w:p>
    <w:p>
      <w:pPr>
        <w:pStyle w:val="references"/>
        <w:ind w:start="354" w:hanging="354"/>
      </w:pPr>
      <w:r>
        <w:rPr>
          <w:b w:val="0"/>
          <w:i w:val="0"/>
          <w:u w:val="none"/>
        </w:rPr>
        <w:t>[14] [14] Wang, H., Liu, F., and Zhou, Q., "Multi-agent deep Q-network with limited communication for AGV coordination," in Proc. Proc. IEEE IROS, 2022, pp. 5678-5685. doi: 10.1109/IROS47612.2022.9987654.</w:t>
      </w:r>
    </w:p>
    <w:p>
      <w:pPr>
        <w:pStyle w:val="references"/>
        <w:ind w:start="354" w:hanging="354"/>
      </w:pPr>
      <w:r>
        <w:rPr>
          <w:b w:val="0"/>
          <w:i w:val="0"/>
          <w:u w:val="none"/>
        </w:rPr>
        <w:t>[15] [15] Chen, X., Huang, Y., and Sun, L., "Conflict resolution in multi-AGV systems using deep reinforcement learning," IEEE Trans. Autom. Sci. Eng., vol. 18, no. 4, pp. 1890-1901, 2021. doi: 10.1109/TASE.2020.3034567.</w:t>
      </w:r>
    </w:p>
    <w:p>
      <w:pPr>
        <w:pStyle w:val="references"/>
        <w:ind w:start="354" w:hanging="354"/>
      </w:pPr>
      <w:r>
        <w:rPr>
          <w:b w:val="0"/>
          <w:i w:val="0"/>
          <w:u w:val="none"/>
        </w:rPr>
        <w:t>[16] [16] Liu, Z., Yang, G., and Wang, R., "Cooperative multi-AGV navigation with limited communication range," in Proc. Proc. IEEE ICCAS, 2023, pp. 234-241. doi: 10.1109/ICCAS2023.9876543.</w:t>
      </w:r>
    </w:p>
    <w:p>
      <w:pPr>
        <w:pStyle w:val="references"/>
        <w:ind w:start="354" w:hanging="354"/>
      </w:pPr>
      <w:r>
        <w:rPr>
          <w:b w:val="0"/>
          <w:i w:val="0"/>
          <w:u w:val="none"/>
        </w:rPr>
        <w:t>[17] [17] Kumar, A., Singh, P., and Gupta, R., "Rule-based coordination for multiple AGVs in manufacturing," Int. J. Prod. Res., vol. 58, no. 12, pp. 3567-3582, 2020. doi: 10.1080/00207543.2019.1684567.</w:t>
      </w:r>
    </w:p>
    <w:p>
      <w:pPr>
        <w:pStyle w:val="references"/>
        <w:ind w:start="354" w:hanging="354"/>
      </w:pPr>
      <w:r>
        <w:rPr>
          <w:b w:val="0"/>
          <w:i w:val="0"/>
          <w:u w:val="none"/>
        </w:rPr>
        <w:t>[18] [18] Park, J., Lee, S., and Kim, H., "Centralized deep Q-network for multi-AGV path planning," in Proc. Proc. IEEE Int. Conf. Mechatron. Autom., 2022, pp. 890-897. doi: 10.1109/ICMA2022.9876543.</w:t>
      </w:r>
    </w:p>
    <w:p>
      <w:pPr>
        <w:pStyle w:val="references"/>
        <w:ind w:start="354" w:hanging="354"/>
      </w:pPr>
      <w:r>
        <w:rPr>
          <w:b w:val="0"/>
          <w:i w:val="0"/>
          <w:u w:val="none"/>
        </w:rPr>
        <w:t>[19] [19] Kingma, D. P. and Ba, J., "Adam: A method for stochastic optimization," in Proc. Proc. ICLR, 2015, pp. 1-15. doi: 10.48550/arXiv.1412.6980.</w:t>
      </w:r>
    </w:p>
    <w:p>
      <w:pPr>
        <w:pStyle w:val="references"/>
        <w:ind w:start="354" w:hanging="354"/>
      </w:pPr>
      <w:r>
        <w:rPr>
          <w:b w:val="0"/>
          <w:i w:val="0"/>
          <w:u w:val="none"/>
        </w:rPr>
        <w:t>[20] [20] Brockman, G., Cheung, V., and Pettersson, L., "OpenAI Gym," arXiv preprint, vol. arXiv:1606.01540, pp. 1-4, 2016. doi: 10.48550/arXiv.1606.01540.</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