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Optimasi Navigasi AGV dengan Reinforcement Learning untuk Multi-Robot Coordination di Smart Factory</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Haryanto, B. A.</w:t>
      </w:r>
      <w:r>
        <w:br/>
      </w:r>
      <w:r>
        <w:rPr>
          <w:i/>
          <w:sz w:val="18"/>
        </w:rPr>
        <w:t>Universitas Gadjah Mada</w:t>
      </w:r>
      <w:r>
        <w:br/>
      </w:r>
      <w:r>
        <w:rPr>
          <w:i/>
          <w:sz w:val="18"/>
        </w:rPr>
        <w:t>Yogyakarta, Indonesia</w:t>
      </w:r>
      <w:r>
        <w:br/>
      </w:r>
      <w:r>
        <w:rPr>
          <w:sz w:val="18"/>
        </w:rPr>
        <w:t>e-mail: budi.andre@ugm.ac.id</w:t>
      </w:r>
    </w:p>
    <w:p>
      <w:pPr>
        <w:pStyle w:val="Author"/>
      </w:pPr>
      <w:r>
        <w:rPr>
          <w:sz w:val="18"/>
        </w:rPr>
        <w:t>Setiawan, R.</w:t>
      </w:r>
      <w:r>
        <w:br/>
      </w:r>
      <w:r>
        <w:rPr>
          <w:i/>
          <w:sz w:val="18"/>
        </w:rPr>
        <w:t>Institut Teknologi Bandung</w:t>
      </w:r>
      <w:r>
        <w:br/>
      </w:r>
      <w:r>
        <w:rPr>
          <w:i/>
          <w:sz w:val="18"/>
        </w:rPr>
        <w:t>Bandung, Indonesia</w:t>
      </w:r>
      <w:r>
        <w:br/>
      </w:r>
      <w:r>
        <w:rPr>
          <w:sz w:val="18"/>
        </w:rPr>
        <w:t>e-mail: rudi.setiawan@itb.ac.id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Navigasi otomatis Automated Guided Vehicle (AGV) di lingkungan smart factory menghadapi tantangan kompleksitas tata letak dinamis dan koordinasi multi-robot. Reinforcement Learning (RL) menawarkan pendekatan adaptif untuk mempelajari kebijakan navigasi, tetapi penerapan pada multi-robot masih terkendala konvergensi dan efisiensi. Penelitian ini mengusulkan algoritma Deep Q-Network (DQN) yang dimodifikasi dengan mekanisme shared experience replay dan reward kolaboratif untuk koordinasi multi-AGV. Metode diuji dalam simulasi Gazebo dengan skenario smart factory yang mencakup area produksi, gudang, dan jalur sempit. Hasil menunjukkan bahwa kebijakan yang diusulkan mencapai tingkat keberhasilan sebesar X1% (a1) untuk navigasi tunggal dan X2% (a2) untuk koordinasi multi-robot, dengan waktu penyelesaian rata-rata X3 detik (a3) lebih cepat dari metode baseline. Perbandingan dengan Q-learning dan metode heuristik menunjukkan peningkatan akurasi sebesar X4% (a4). Analisis sensitivitas mengungkapkan bahwa jumlah hidden layer dan learning rate memengaruhi stabilitas konvergensi. Hasil ini mendemonstrasikan potensi RL untuk meningkatkan fleksibilitas dan efisiensi AGV di industri manufaktur cerdas.</w:t>
      </w:r>
    </w:p>
    <w:p>
      <w:pPr>
        <w:pStyle w:val="Keywords"/>
      </w:pPr>
      <w:r>
        <w:t>Index Terms</w:t>
      </w:r>
      <w:r>
        <w:t>—</w:t>
      </w:r>
      <w:r>
        <w:rPr>
          <w:b w:val="0"/>
          <w:i w:val="0"/>
          <w:u w:val="none"/>
        </w:rPr>
        <w:t>AGV navigasi, reinforcement learning, multi-robot coordination, smart factory, Deep Q-Network, experience replay.</w:t>
      </w:r>
    </w:p>
    <w:p>
      <w:pPr>
        <w:pStyle w:val="Heading1"/>
      </w:pPr>
      <w:r>
        <w:rPr>
          <w:b w:val="0"/>
          <w:i w:val="0"/>
          <w:u w:val="none"/>
        </w:rPr>
        <w:t>I. PENDAHULUAN</w:t>
      </w:r>
    </w:p>
    <w:p>
      <w:pPr>
        <w:pStyle w:val="BodyText"/>
      </w:pPr>
      <w:r>
        <w:rPr>
          <w:b w:val="0"/>
          <w:i w:val="0"/>
          <w:u w:val="none"/>
        </w:rPr>
        <w:t>Revolusi Industri 4.0 telah mendorong adopsi otomatisasi fleksibel dalam lini produksi, salah satunya melalui penggunaan Automated Guided Vehicle (AGV). AGV digunakan untuk memindahkan material secara otonom di lingkungan pabrik, namun tantangan utama terletak pada navigasi yang efisien di tata letak yang dinamis serta koordinasi antar kendaraan untuk menghindari tabrakan. Metode konvensional seperti pemrograman jalur tetap tidak mampu beradaptasi terhadap perubahan posisi obstacle atau prioritas tugas yang berubah secara real-time. Oleh karena itu, diperlukan pendekatan adaptif yang dapat mempelajari kebijakan navigasi dari interaksi dengan lingkungan [1]. Reinforcement Learning (RL) muncul sebagai solusi yang menjanjikan karena mampu mempelajari strategi optimal melalui sinyal reward. Namun, penerapan RL untuk navigasi AGV di lingkungan multi-robot masih belum banyak diteliti secara mendalam, terutama terkait dengan konvergensi kebijakan dan efisiensi koordinasi [2], [3]. Permasalahan utama yang diidentifikasi adalah lambatnya konvergensi akibat eksplorasi yang tidak efisien dan reward yang tidak stabil saat banyak robot berbagi lingkungan yang sama.</w:t>
      </w:r>
    </w:p>
    <w:p>
      <w:pPr>
        <w:pStyle w:val="BodyText"/>
      </w:pPr>
      <w:r>
        <w:rPr>
          <w:b w:val="0"/>
          <w:i w:val="0"/>
          <w:u w:val="none"/>
        </w:rPr>
        <w:t>Penelitian sebelumnya telah menunjukkan keberhasilan RL pada navigasi robot tunggal, seperti penggunaan Deep Q-Network (DQN) pada robot TurtleBot untuk menghindari rintangan [4]. Namun, pendekatan tersebut tidak secara langsung dapat diskalakan ke sistem multi-robot karena masalah non-stationarity: kebijakan robot lain yang berubah membuat lingkungan menjadi tidak stasioner, sehingga Q-learning standar kesulitan konvergen. Beberapa peneliti mengusulkan multi-agent RL dengan centralized training dan decentralized execution, seperti pada algoritma MADDPG [5]. Akan tetapi, metode tersebut membutuhkan komunikasi penuh antar agen dan komputasi tinggi. Untuk lingkungan pabrik dengan banyak AGV, pendekatan yang lebih ringan diperlukan, misalnya dengan experience replay bersama dan reward yang mendorong kerja sama [6]. Meskipun Work [7] menunjukkan bahwa shared replay dapat mempercepat konvergensi, belum ada penelitian yang secara spesifik merancang reward kolaboratif untuk koordinasi AGV di area sempit, di mana risiko tabrakan tinggi.</w:t>
      </w:r>
    </w:p>
    <w:p>
      <w:pPr>
        <w:pStyle w:val="BodyText"/>
      </w:pPr>
      <w:r>
        <w:rPr>
          <w:b w:val="0"/>
          <w:i w:val="0"/>
          <w:u w:val="none"/>
        </w:rPr>
        <w:t>Gap penelitian terletak pada belum adanya algoritma RL yang dioptimalkan untuk AGV di smart factory yang menyeimbangkan eksploitasi dan eksplorasi sekaligus menjamin koordinasi yang aman. Sebagian besar penelitian menggunakan reward global yang tidak memberikan sinyal langsung pada robot individu saat terjadi konflik. Akibatnya, robot cenderung memilih jalur egois yang menyebabkan kemacetan [8]. Selain itu, parameter seperti ukuran replay buffer dan frekuensi update target network jarang dibahas dalam konteks AGV. Perubahan tata letak yang cepat di pabrik membutuhkan adaptasi terus-menerus, sehingga mekanisme pembelajaran harus mampu memperbarui kebijakan tanpa kehilangan memori pengalaman sebelumnya [9]. Penelitian ini bertujuan untuk mengisi gap tersebut dengan mengintegrasikan shared experience replay dan fungsi reward berbasis jarak antar robot.</w:t>
      </w:r>
    </w:p>
    <w:p>
      <w:pPr>
        <w:pStyle w:val="BodyText"/>
      </w:pPr>
      <w:r>
        <w:rPr>
          <w:b w:val="0"/>
          <w:i w:val="0"/>
          <w:u w:val="none"/>
        </w:rPr>
        <w:t>Kontribusi penelitian ini adalah sebagai berikut:</w:t>
      </w:r>
    </w:p>
    <w:p>
      <w:pPr>
        <w:pStyle w:val="BodyText"/>
      </w:pPr>
      <w:r>
        <w:rPr>
          <w:b w:val="0"/>
          <w:i w:val="0"/>
          <w:u w:val="none"/>
        </w:rPr>
        <w:t>â¢ Pengembangan arsitektur DQN dengan shared experience replay yang memungkinkan setiap AGV berbagi pengalaman untuk mempercepat pembelajaran koordinasi.</w:t>
      </w:r>
    </w:p>
    <w:p>
      <w:pPr>
        <w:pStyle w:val="BodyText"/>
      </w:pPr>
      <w:r>
        <w:rPr>
          <w:b w:val="0"/>
          <w:i w:val="0"/>
          <w:u w:val="none"/>
        </w:rPr>
        <w:t>â¢ Perancangan fungsi reward komposit yang menggabungkan navigasi individu (waktu tempuh, jarak ke tujuan) dan koordinasi (penalti jika terlalu dekat, bonus jika menyelesaikan tugas tanpa konflik).</w:t>
      </w:r>
    </w:p>
    <w:p>
      <w:pPr>
        <w:pStyle w:val="BodyText"/>
      </w:pPr>
      <w:r>
        <w:rPr>
          <w:b w:val="0"/>
          <w:i w:val="0"/>
          <w:u w:val="none"/>
        </w:rPr>
        <w:t>â¢ Demonstrasi sistem multi-AGV dalam simulasi lingkungan smart factory yang merepresentasikan area produksi, gudang, dan jalur transfer.</w:t>
      </w:r>
    </w:p>
    <w:p>
      <w:pPr>
        <w:pStyle w:val="BodyText"/>
      </w:pPr>
      <w:r>
        <w:rPr>
          <w:b w:val="0"/>
          <w:i w:val="0"/>
          <w:u w:val="none"/>
        </w:rPr>
        <w:t>â¢ Analisis perbandingan dengan algoritma baseline (Q-learning, double DQN, metode heuristik seperti A*) untuk mengukur peningkatan kinerja.</w:t>
      </w:r>
    </w:p>
    <w:p>
      <w:pPr>
        <w:pStyle w:val="BodyText"/>
      </w:pPr>
      <w:r>
        <w:rPr>
          <w:b w:val="0"/>
          <w:i w:val="0"/>
          <w:u w:val="none"/>
        </w:rPr>
        <w:t>â¢ Evaluasi sensitivitas terhadap parameter utama (learning rate, ukuran batch, jumlah hidden layer) untuk memberikan panduan implementasi di dunia nyata.</w:t>
      </w:r>
    </w:p>
    <w:p>
      <w:pPr>
        <w:pStyle w:val="BodyText"/>
      </w:pPr>
      <w:r>
        <w:rPr>
          <w:b w:val="0"/>
          <w:i w:val="0"/>
          <w:u w:val="none"/>
        </w:rPr>
        <w:t>Sisa paper ini disusun sebagai berikut. Bab 2 menyajikan tinjauan pustaka terkait RL dan koordinasi multi-robot. Bab 3 menjelaskan metodologi yang diusulkan, termasuk desain sistem, algoritma, dan setup simulasi. Bab 4 menyajikan hasil eksperimen dan pembahasan. Bab 5 menutup dengan kesimpulan dan arah penelitian selanjutnya.</w:t>
      </w:r>
    </w:p>
    <w:p>
      <w:pPr>
        <w:pStyle w:val="Heading1"/>
      </w:pPr>
      <w:r>
        <w:rPr>
          <w:b w:val="0"/>
          <w:i w:val="0"/>
          <w:u w:val="none"/>
        </w:rPr>
        <w:t>II. TINJAUAN PUSTAKA</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block diagram illustrating the DQN architecture for AGV navigation. The diagram is divided into two main sections: the AGV environment on the left and the neural network on the right. In the environment, an AGV (simple rectangular shape with wheels) is shown in a factory floor layout with obstacles and a target station. The state of the AGV includes lidar sensor readings (distance to obstacles), current position coordinates (x,y), orientation theta, and goal position. These inputs feed into the neural network. The network consists of an input layer (6 nodes: normalized distance, lidar ranges, dx, dy, angular speed, linear speed), two hidden layers (each with 128 neurons and ReLU activation), and an output layer (4 nodes corresponding to actions: forward, backward, turn left, turn right). The arrow from the environment to the network is labeled 'State (s)'. From the network output, an action (a) is selected using epsilon-greedy policy. The AGV executes the action, receives a reward (r), and transitions to new state (s'). The tuple (s, a, r, s', done) is stored in a replay buffer (a pool of past experiences). The diagram shows a separate arrow from the replay buffer to the network labeled 'mini-batch sampling' for training. The target network (identical structure but with frozen weights) is also shown, with an arrow indicating periodic hard update. Colors: blue for input, green for hidden layers, orange for output, grey for replay buffer. White background. Clean academic paper figure style."</w:t>
            </w:r>
          </w:p>
        </w:tc>
      </w:tr>
    </w:tbl>
    <w:p>
      <w:pPr>
        <w:pStyle w:val="figurecaption"/>
        <w:jc w:val="center"/>
      </w:pPr>
      <w:r>
        <w:rPr>
          <w:b w:val="0"/>
          <w:i w:val="0"/>
          <w:u w:val="none"/>
        </w:rPr>
        <w:t>Fig. 1. Arsitektur Reinforcement Learning untuk Navigasi AGV</w:t>
      </w:r>
    </w:p>
    <w:p>
      <w:pPr>
        <w:pStyle w:val="BodyText"/>
      </w:pPr>
      <w:r>
        <w:rPr>
          <w:b w:val="0"/>
          <w:i w:val="0"/>
          <w:u w:val="none"/>
        </w:rPr>
        <w:t>Gambar 1 (Fig. 1) menunjukkan arsitektur DQN yang digunakan dalam penelitian ini. Input keadaan mencakup data jarak dari sensor lidar (10 sampel), posisi relatif terhadap tujuan, dan kecepatan. Dua hidden layer dengan 128 neuron setiapnya menerapkan aktivasi ReLU. Output adalah nilai Q untuk empat aksi dasar. Mekanisme shared experience replay memungkinkan pengalaman dari berbagai AGV dikumpulkan dalam satu buffer global, sehingga memperkaya variasi data pelatihan. Target network diperbarui setiap N langkah untuk menstabilkan pembelajaran.</w:t>
      </w:r>
    </w:p>
    <w:p>
      <w:pPr>
        <w:pStyle w:val="equation"/>
        <w:tabs>
          <w:tab w:pos="2433" w:val="center"/>
          <w:tab w:pos="4866" w:val="right"/>
        </w:tabs>
        <w:jc w:val="left"/>
      </w:pPr>
      <w:r>
        <w:tab/>
      </w:r>
      <m:oMath xmlns:mml="http://www.w3.org/1998/Math/MathML">
        <m:r>
          <m:t>Q(s,a)←Q(s,a)+α</m:t>
        </m:r>
        <m:r>
          <m:t>(r+γ</m:t>
        </m:r>
        <m:sSub>
          <m:e>
            <m:r>
              <m:t>max</m:t>
            </m:r>
          </m:e>
          <m:sub>
            <m:sSup>
              <m:e>
                <m:r>
                  <m:t>a</m:t>
                </m:r>
              </m:e>
              <m:sup>
                <m:r>
                  <m:t>′</m:t>
                </m:r>
              </m:sup>
            </m:sSup>
          </m:sub>
        </m:sSub>
        <m:r>
          <m:t>Q(</m:t>
        </m:r>
        <m:sSup>
          <m:e>
            <m:r>
              <m:t>s</m:t>
            </m:r>
          </m:e>
          <m:sup>
            <m:r>
              <m:t>′</m:t>
            </m:r>
          </m:sup>
        </m:sSup>
        <m:r>
          <m:t>,</m:t>
        </m:r>
        <m:sSup>
          <m:e>
            <m:r>
              <m:t>a</m:t>
            </m:r>
          </m:e>
          <m:sup>
            <m:r>
              <m:t>′</m:t>
            </m:r>
          </m:sup>
        </m:sSup>
        <m:r>
          <m:t>)−Q(s,a))</m:t>
        </m:r>
      </m:oMath>
      <w:r>
        <w:tab/>
        <w:t>(1)</w:t>
      </w:r>
    </w:p>
    <w:p>
      <w:pPr>
        <w:pStyle w:val="BodyText"/>
      </w:pPr>
      <w:r>
        <w:rPr>
          <w:b w:val="0"/>
          <w:i w:val="0"/>
          <w:u w:val="none"/>
        </w:rPr>
        <w:t xml:space="preserve">Persamaan (1) menunjukkan pembaruan nilai Q standar untuk Q-learning. Di sini, </w:t>
      </w:r>
      <m:oMath xmlns:mml="http://www.w3.org/1998/Math/MathML">
        <m:r>
          <m:t>Q(s,a)</m:t>
        </m:r>
      </m:oMath>
      <w:r>
        <w:rPr>
          <w:b w:val="0"/>
          <w:i w:val="0"/>
          <w:u w:val="none"/>
        </w:rPr>
        <w:t xml:space="preserve"> adalah nilai estimasi untuk keadaan </w:t>
      </w:r>
      <m:oMath xmlns:mml="http://www.w3.org/1998/Math/MathML">
        <m:r>
          <m:t>s</m:t>
        </m:r>
      </m:oMath>
      <w:r>
        <w:rPr>
          <w:b w:val="0"/>
          <w:i w:val="0"/>
          <w:u w:val="none"/>
        </w:rPr>
        <w:t xml:space="preserve"> (vektor fitur 14 dimensi) dan aksi </w:t>
      </w:r>
      <m:oMath xmlns:mml="http://www.w3.org/1998/Math/MathML">
        <m:r>
          <m:t>a</m:t>
        </m:r>
      </m:oMath>
      <w:r>
        <w:rPr>
          <w:b w:val="0"/>
          <w:i w:val="0"/>
          <w:u w:val="none"/>
        </w:rPr>
        <w:t xml:space="preserve"> (salah satu dari 4 aksi). </w:t>
      </w:r>
      <m:oMath xmlns:mml="http://www.w3.org/1998/Math/MathML">
        <m:r>
          <m:t>α</m:t>
        </m:r>
      </m:oMath>
      <w:r>
        <w:rPr>
          <w:b w:val="0"/>
          <w:i w:val="0"/>
          <w:u w:val="none"/>
        </w:rPr>
        <w:t xml:space="preserve"> adalah learning rate (dioptimasi dalam rentang </w:t>
      </w:r>
      <m:oMath xmlns:mml="http://www.w3.org/1998/Math/MathML">
        <m:r>
          <m:t>[0.0001,0.01]</m:t>
        </m:r>
      </m:oMath>
      <w:r>
        <w:rPr>
          <w:b w:val="0"/>
          <w:i w:val="0"/>
          <w:u w:val="none"/>
        </w:rPr>
        <w:t xml:space="preserve">), </w:t>
      </w:r>
      <m:oMath xmlns:mml="http://www.w3.org/1998/Math/MathML">
        <m:r>
          <m:t>γ</m:t>
        </m:r>
      </m:oMath>
      <w:r>
        <w:rPr>
          <w:b w:val="0"/>
          <w:i w:val="0"/>
          <w:u w:val="none"/>
        </w:rPr>
        <w:t xml:space="preserve"> faktor diskon (ditetapkan 0.99), dan </w:t>
      </w:r>
      <m:oMath xmlns:mml="http://www.w3.org/1998/Math/MathML">
        <m:r>
          <m:t>r</m:t>
        </m:r>
      </m:oMath>
      <w:r>
        <w:rPr>
          <w:b w:val="0"/>
          <w:i w:val="0"/>
          <w:u w:val="none"/>
        </w:rPr>
        <w:t xml:space="preserve"> reward segera. Persamaan ini digunakan untuk melatih jaringan utama, dengan nilai </w:t>
      </w:r>
      <m:oMath xmlns:mml="http://www.w3.org/1998/Math/MathML">
        <m:r>
          <m:t>maxQ(</m:t>
        </m:r>
        <m:sSup>
          <m:e>
            <m:r>
              <m:t>s</m:t>
            </m:r>
          </m:e>
          <m:sup>
            <m:r>
              <m:t>′</m:t>
            </m:r>
          </m:sup>
        </m:sSup>
        <m:r>
          <m:t>,</m:t>
        </m:r>
        <m:sSup>
          <m:e>
            <m:r>
              <m:t>a</m:t>
            </m:r>
          </m:e>
          <m:sup>
            <m:r>
              <m:t>′</m:t>
            </m:r>
          </m:sup>
        </m:sSup>
        <m:r>
          <m:t>)</m:t>
        </m:r>
      </m:oMath>
      <w:r>
        <w:rPr>
          <w:b w:val="0"/>
          <w:i w:val="0"/>
          <w:u w:val="none"/>
        </w:rPr>
        <w:t xml:space="preserve"> dihitung dari target network untuk mengurangi korelasi.</w:t>
      </w:r>
    </w:p>
    <w:p>
      <w:pPr>
        <w:pStyle w:val="Heading2"/>
      </w:pPr>
      <w:r>
        <w:rPr>
          <w:i/>
        </w:rPr>
        <w:t>A. Reinforcement Learning untuk Navigasi Robot</w:t>
      </w:r>
    </w:p>
    <w:p>
      <w:pPr>
        <w:pStyle w:val="BodyText"/>
      </w:pPr>
      <w:r>
        <w:rPr>
          <w:b w:val="0"/>
          <w:i w:val="0"/>
          <w:u w:val="none"/>
        </w:rPr>
        <w:t>Reinforcement Learning telah menjadi pendekatan dominan untuk navigasi otonom karena kemampuannya belajar dari interaksi tanpa memerlukan model lingkungan yang eksplisit. Algoritma value-based seperti DQN berhasil diterapkan pada robot bergerak dengan ruang keadaan diskrit, misalnya dalam menghindari rintangan statis [10]. Shannon dan rekan [11] mengadaptasi DQN untuk navigasi dinamis dengan input depth camera, mencapai keberhasilan mencapai tujuan sebesar 85% dalam simulasi. Namun, performa menurun drastis saat jumlah rintangan bergerak meningkat. Hal ini disebabkan oleh asumsi lingkungan stasioner yang tidak berlaku ketika ada robot lain. Untuk mengatasi non-stationarity, teknik seperti Hindsight Experience Replay (HER) [12] dan prioritized replay [13] telah diusulkan. HER memungkinkan agen belajar dari kegagalan dengan menetapkan ulang tujuan, sehingga mempercepat pembelajaran. Namun HER belum banyak diterapkan pada multi-robot karena keterbatasan memori dan waktu komputasi.</w:t>
      </w:r>
    </w:p>
    <w:p>
      <w:pPr>
        <w:pStyle w:val="BodyText"/>
      </w:pPr>
      <w:r>
        <w:rPr>
          <w:b w:val="0"/>
          <w:i w:val="0"/>
          <w:u w:val="none"/>
        </w:rPr>
        <w:t>Pada robot non-holonomic seperti AGV, ruang aksi kontinu sering dimodelkan sebagai aksi diskrit (maju, mundur, belok kiri, belok kanan). Penelitian [14] membandingkan Q-learning, SARSA, dan DQN untuk navigasi AGV di koridor sempit. Hasil menunjukkan DQN memiliki konvergensi lebih cepat tetapi rawan terhadap overestimasi nilai Q. Double DQN (DDQN) diperkenalkan untuk mengurangi bias overestimasi [15]. DDQN menggunakan dua jaringan: satu untuk memilih aksi dan satu untuk mengevaluasi. Penerapan DDQN pada navigasi robot terbukti meningkatkan stabilitas. Dalam konteks multi-robot, double estimation belum tentu mengatasi masalah non-stasioneritas. Oleh karena itu, kombinasi shared replay dan DDQN layak dieksplorasi. Secara keseluruhan, metode RL berbasis nilai cukup menjanjikan untuk navigasi tunggal, tetapi ketika diperluas ke multi-robot, perlu mekanisme untuk menjaga konsistensi kebijakan antar agen [16].</w:t>
      </w:r>
    </w:p>
    <w:p>
      <w:pPr>
        <w:pStyle w:val="Heading2"/>
      </w:pPr>
      <w:r>
        <w:rPr>
          <w:i/>
        </w:rPr>
        <w:t>B. Koordinasi Multi-Robot di Lingkungan Pabrik</w:t>
      </w:r>
    </w:p>
    <w:p>
      <w:pPr>
        <w:pStyle w:val="BodyText"/>
      </w:pPr>
      <w:r>
        <w:rPr>
          <w:b w:val="0"/>
          <w:i w:val="0"/>
          <w:u w:val="none"/>
        </w:rPr>
        <w:t>Koordinasi multi-robot dalam lingkungan pabrik membutuhkan strategi untuk menghindari tabrakan dan mengoptimalkan waktu siklus. Metode tradisional seperti traffic management dengan zona eksklusif seringkali tidak efisien ketika jumlah AGV banyak karena menyebabkan waktu tunggu lama. Pendekatan distributed seperti Reciprocal Velocity Obstacles (RVO) [17] memungkinkan robot untuk saling menghindar dengan memprediksi lintasan, tetapi memerlukan komunikasi terus-menerus dan asumsi kecepatan konstan. Di sisi lain, pembelajaran terpusat dengan aksi terdesentralisasi menggunakan Multi-Agent Reinforcement Learning (MARL) telah menunjukkan hasil baik [18]. Algoritma QMIX [19] menggunakan jaringan pencampuran untuk mendekomposisi nilai global menjadi nilai lokal. Namun, kompleksitas komputasi meningkat sebanding dengan jumlah agen. Untuk AGV dengan sumber daya terbatas, pendekatan yang lebih ringan dengan reward kolaboratif lebih disukai.</w:t>
      </w:r>
    </w:p>
    <w:p>
      <w:pPr>
        <w:pStyle w:val="BodyText"/>
      </w:pPr>
      <w:r>
        <w:rPr>
          <w:b w:val="0"/>
          <w:i w:val="0"/>
          <w:u w:val="none"/>
        </w:rPr>
        <w:t>Penelitian [20] mengusulkan reward berbasis jarak untuk menghindari tabrakan di area bongkar muat. Setiap AGV menerima penalti jika jarak antar robot kurang dari threshold. Hasil simulasi menunjukkan pengurangan tabrakan hingga 40% dibandingkan tanpa reward. Namun, reward tersebut bersifat global dan tidak membedakan siapa yang menyebabkan konflik. Hal ini dapat menyebabkan credit assignment problem, di mana robot yang sudah benar ikut dihukum. Penelitian [21] memperkenalkan reward berbasis kontribusi individu dengan menggunakan average reward, tetapi masih membutuhkan pemantauan global. Integrasi shared experience replay dapat memitigasi masalah ini dengan menyediakan keragaman pengalaman. Meskipun belum ada penelitian yang mengintegrasikan shared replay dengan reward kolaboratif untuk AGV, literatur menunjukkan potensinya dalam mempercepat pembelajaran tugas koordinasi [22]. Oleh karena itu, penelitian ini mengisi celah dengan mengusulkan reward komposit yang memberikan sinyal individual dan global.</w:t>
      </w:r>
    </w:p>
    <w:p>
      <w:pPr>
        <w:pStyle w:val="Heading2"/>
      </w:pPr>
      <w:r>
        <w:rPr>
          <w:i/>
        </w:rPr>
        <w:t>C. Integrasi RL dalam Arsitektur Smart Factory</w:t>
      </w:r>
    </w:p>
    <w:p>
      <w:pPr>
        <w:pStyle w:val="BodyText"/>
      </w:pPr>
      <w:r>
        <w:rPr>
          <w:b w:val="0"/>
          <w:i w:val="0"/>
          <w:u w:val="none"/>
        </w:rPr>
        <w:t>Smart factory mengintegrasikan teknologi IoT, cyber-physical systems, dan otomatisasi cerdas. AGV berfungsi sebagai tulang punggung logistik internal yang harus terintegrasi dengan sistem enterprise. Reinforcement Learning menawarkan kemampuan adaptasi terhadap perubahan jadwal produksi dan tata letak. Namun, penerapan RL di pabrik nyata menghadapi kendala seperti keterbatasan data pelatihan dan kebutuhan real-time. Simulasi menjadi jembatan penting untuk pelatihan kebijakan sebelum deployment. Penelitian [23] menggunakan Digital Twin untuk melatih kebijakan RL yang kemudian ditransfer langsung ke AGV fisik. Pendekatan transfer learning dan sim-to-real menjadi topik hangat. Untuk koordinasi, arsitektur hierarchical RL diusulkan di mana level atas mengatur rute dan level bawah menangani navigasi lokal [24]. Meskipun demikian, kendala masih ada pada generalisasi ke tata letak baru dan variasi jumlah robot.</w:t>
      </w:r>
    </w:p>
    <w:p>
      <w:pPr>
        <w:pStyle w:val="BodyText"/>
      </w:pPr>
      <w:r>
        <w:rPr>
          <w:b w:val="0"/>
          <w:i w:val="0"/>
          <w:u w:val="none"/>
        </w:rPr>
        <w:t>Platform simulasi seperti Gazebo dan ROS banyak digunakan untuk pengembangan RL multi-robot. Integrasi dengan framework RL seperti OpenAI Gym memungkinkan pelatihan yang efisien. Penelitian [25] menunjukkan bahwa menggunakan pendekatan centralized training dengan shared neural network dapat mengurangi jumlah parameter yang dilatih. Namun, untuk lingkungan pabrik dengan lebih dari 10 AGV, komunikasi dan komputasi menjadi bottleneck. Penelitian ini menggunakan Gazebo dengan modul pabrik yang dirancang menyerupai industri manufaktur. Lingkungan mencakup area sempit dan zona prioritas. Dengan demikian, pendekatan yang diusulkan diharapkan dapat diuji dalam kondisi realistis sebelum diintegrasikan ke sistem produksi.</w:t>
      </w:r>
    </w:p>
    <w:p>
      <w:pPr>
        <w:pStyle w:val="Heading1"/>
      </w:pPr>
      <w:r>
        <w:rPr>
          <w:b w:val="0"/>
          <w:i w:val="0"/>
          <w:u w:val="none"/>
        </w:rPr>
        <w:t>III. METODOLOGI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flowchart representing the training process for the multi-agent DQN algorithm. Start with 'Initialize all AGV positions and networks'. Then a loop: for each episode, for step t up to 500: select action using epsilon-greedy for each AGV, execute action concurrently in Gazebo, receive reward and next state, store (s, a, r, s', done) in shared replay buffer, then every step: sample batch of 64 experiences from buffer, compute target Q using target network, compute loss (MSE), update main network weights, every 1000 steps: update target network with main network weights. Collect average reward per episode. Termination condition: if all AGV arrived successfully or step&gt;500. Save network weights. The flowchart uses boxes with rounded corners and arrows. Decision diamonds for termination. Colors: process boxes in green, start/end in dark blue, decision in orange. White background. Clean academic paper figure style."</w:t>
            </w:r>
          </w:p>
        </w:tc>
      </w:tr>
    </w:tbl>
    <w:p>
      <w:pPr>
        <w:pStyle w:val="figurecaption"/>
        <w:jc w:val="center"/>
      </w:pPr>
      <w:r>
        <w:rPr>
          <w:b w:val="0"/>
          <w:i w:val="0"/>
          <w:u w:val="none"/>
        </w:rPr>
        <w:t>Fig. 2. Diagram Alur Pelatihan Multi-Agent DQN</w:t>
      </w:r>
    </w:p>
    <w:p>
      <w:pPr>
        <w:pStyle w:val="BodyText"/>
      </w:pPr>
      <w:r>
        <w:rPr>
          <w:b w:val="0"/>
          <w:i w:val="0"/>
          <w:u w:val="none"/>
        </w:rPr>
        <w:t>Gambar 3 (Fig. 3) menyajikan diagram alur pelatihan. Setiap AGV menjalankan kebijakan yang sama secara independen, namun pengalaman dikumpulkan ke buffer bersama. Hal ini memungkinkan setiap AGV belajar dari keberhasilan dan kegagalan AGV lain, mempercepat konvergensi secara keseluruhan. Target network diperbarui secara periodik untuk mengurangi overestimasi. Proses pelatihan diulang hingga 2000 episode atau sampai rata-rata reward stabil.</w:t>
      </w:r>
    </w:p>
    <w:p>
      <w:pPr>
        <w:pStyle w:val="equation"/>
        <w:tabs>
          <w:tab w:pos="2433" w:val="center"/>
          <w:tab w:pos="4866" w:val="right"/>
        </w:tabs>
        <w:jc w:val="left"/>
      </w:pPr>
      <w:r>
        <w:tab/>
      </w:r>
      <m:oMath xmlns:mml="http://www.w3.org/1998/Math/MathML">
        <m:r>
          <m:t>ℒ(θ)=</m:t>
        </m:r>
        <m:sSub>
          <m:e>
            <m:r>
              <m:t>𝔼</m:t>
            </m:r>
          </m:e>
          <m:sub>
            <m:r>
              <m:t>(s,a,r,</m:t>
            </m:r>
            <m:sSup>
              <m:e>
                <m:r>
                  <m:t>s</m:t>
                </m:r>
              </m:e>
              <m:sup>
                <m:r>
                  <m:t>′</m:t>
                </m:r>
              </m:sup>
            </m:sSup>
            <m:r>
              <m:t>)~𝒟</m:t>
            </m:r>
          </m:sub>
        </m:sSub>
        <m:r>
          <m:t>[</m:t>
        </m:r>
        <m:sSup>
          <m:e>
            <m:r>
              <m:t>(r+γ</m:t>
            </m:r>
            <m:sSub>
              <m:e>
                <m:r>
                  <m:t>max</m:t>
                </m:r>
              </m:e>
              <m:sub>
                <m:sSup>
                  <m:e>
                    <m:r>
                      <m:t>a</m:t>
                    </m:r>
                  </m:e>
                  <m:sup>
                    <m:r>
                      <m:t>′</m:t>
                    </m:r>
                  </m:sup>
                </m:sSup>
              </m:sub>
            </m:sSub>
            <m:r>
              <m:t>Q(</m:t>
            </m:r>
            <m:sSup>
              <m:e>
                <m:r>
                  <m:t>s</m:t>
                </m:r>
              </m:e>
              <m:sup>
                <m:r>
                  <m:t>′</m:t>
                </m:r>
              </m:sup>
            </m:sSup>
            <m:r>
              <m:t>,</m:t>
            </m:r>
            <m:sSup>
              <m:e>
                <m:r>
                  <m:t>a</m:t>
                </m:r>
              </m:e>
              <m:sup>
                <m:r>
                  <m:t>′</m:t>
                </m:r>
              </m:sup>
            </m:sSup>
            <m:r>
              <m:t>;</m:t>
            </m:r>
            <m:sSup>
              <m:e>
                <m:r>
                  <m:t>θ</m:t>
                </m:r>
              </m:e>
              <m:sup>
                <m:r>
                  <m:t>−</m:t>
                </m:r>
              </m:sup>
            </m:sSup>
            <m:r>
              <m:t>)−Q(s,a;θ))</m:t>
            </m:r>
          </m:e>
          <m:sup>
            <m:r>
              <m:t>2</m:t>
            </m:r>
          </m:sup>
        </m:sSup>
        <m:r>
          <m:t>]</m:t>
        </m:r>
      </m:oMath>
      <w:r>
        <w:tab/>
        <w:t>(2)</w:t>
      </w:r>
    </w:p>
    <w:p>
      <w:pPr>
        <w:pStyle w:val="BodyText"/>
      </w:pPr>
      <w:r>
        <w:rPr>
          <w:b w:val="0"/>
          <w:i w:val="0"/>
          <w:u w:val="none"/>
        </w:rPr>
        <w:t xml:space="preserve">Persamaan (3) adalah loss function yang digunakan untuk meminimalkan error prediksi Q. Di sini, </w:t>
      </w:r>
      <m:oMath xmlns:mml="http://www.w3.org/1998/Math/MathML">
        <m:r>
          <m:t>heta</m:t>
        </m:r>
      </m:oMath>
      <w:r>
        <w:rPr>
          <w:b w:val="0"/>
          <w:i w:val="0"/>
          <w:u w:val="none"/>
        </w:rPr>
        <w:t xml:space="preserve"> adalah parameter jaringan utama, </w:t>
      </w:r>
      <m:oMath xmlns:mml="http://www.w3.org/1998/Math/MathML">
        <m:r>
          <m:t>het</m:t>
        </m:r>
        <m:sSup>
          <m:e>
            <m:r>
              <m:t>a</m:t>
            </m:r>
          </m:e>
          <m:sup>
            <m:r>
              <m:t>−</m:t>
            </m:r>
          </m:sup>
        </m:sSup>
      </m:oMath>
      <w:r>
        <w:rPr>
          <w:b w:val="0"/>
          <w:i w:val="0"/>
          <w:u w:val="none"/>
        </w:rPr>
        <w:t xml:space="preserve"> adalah parameter target network (tidak diperbarui selama pelatihan), dan </w:t>
      </w:r>
      <m:oMath xmlns:mml="http://www.w3.org/1998/Math/MathML">
        <m:r>
          <m:t>𝒟</m:t>
        </m:r>
      </m:oMath>
      <w:r>
        <w:rPr>
          <w:b w:val="0"/>
          <w:i w:val="0"/>
          <w:u w:val="none"/>
        </w:rPr>
        <w:t xml:space="preserve"> adalah shared replay buffer. Ekspektasi empiris diestimasi dengan mini-batch. Dengan menggunakan target network yang terpisah, gradien menjadi lebih stabil dan konvergensi lebih terjamin.</w:t>
      </w:r>
    </w:p>
    <w:p>
      <w:pPr>
        <w:pStyle w:val="Heading2"/>
      </w:pPr>
      <w:r>
        <w:rPr>
          <w:i/>
        </w:rPr>
        <w:t>A. Desain Sistem dan Arsitektur RL</w:t>
      </w:r>
    </w:p>
    <w:p>
      <w:pPr>
        <w:pStyle w:val="BodyText"/>
      </w:pPr>
      <w:r>
        <w:rPr>
          <w:b w:val="0"/>
          <w:i w:val="0"/>
          <w:u w:val="none"/>
        </w:rPr>
        <w:t xml:space="preserve">Sistem dirancang untuk mengoordinasikan empat AGV dalam lingkungan smart factory seluas </w:t>
      </w:r>
      <m:oMath xmlns:mml="http://www.w3.org/1998/Math/MathML">
        <m:r>
          <m:t>10imes15</m:t>
        </m:r>
      </m:oMath>
      <w:r>
        <w:rPr>
          <w:b w:val="0"/>
          <w:i w:val="0"/>
          <w:u w:val="none"/>
        </w:rPr>
        <w:t xml:space="preserve"> meter persegi. Lingkungan dibagi menjadi tiga zona: produksi (zona A), gudang (zona B), dan jalur transfer (koridor sempit </w:t>
      </w:r>
      <m:oMath xmlns:mml="http://www.w3.org/1998/Math/MathML">
        <m:r>
          <m:t>1.2</m:t>
        </m:r>
      </m:oMath>
      <w:r>
        <w:rPr>
          <w:b w:val="0"/>
          <w:i w:val="0"/>
          <w:u w:val="none"/>
        </w:rPr>
        <w:t xml:space="preserve"> meter). Setiap AGV memiliki sensor lidar 2D dengan jangkauan 5 meter, odometry, dan kamera (tidak digunakan langsung untuk input RL). Keadaan direpresentasikan sebagai vektor 14 dimensi: 10 jarak lidar (disampling setiap 36 derajat), koordinat relatif </w:t>
      </w:r>
      <m:oMath xmlns:mml="http://www.w3.org/1998/Math/MathML">
        <m:r>
          <m:t>(</m:t>
        </m:r>
        <m:sSub>
          <m:e>
            <m:r>
              <m:t>x</m:t>
            </m:r>
          </m:e>
          <m:sub>
            <m:r>
              <m:t>r</m:t>
            </m:r>
          </m:sub>
        </m:sSub>
        <m:r>
          <m:t>,</m:t>
        </m:r>
        <m:sSub>
          <m:e>
            <m:r>
              <m:t>y</m:t>
            </m:r>
          </m:e>
          <m:sub>
            <m:r>
              <m:t>r</m:t>
            </m:r>
          </m:sub>
        </m:sSub>
        <m:r>
          <m:t>)</m:t>
        </m:r>
      </m:oMath>
      <w:r>
        <w:rPr>
          <w:b w:val="0"/>
          <w:i w:val="0"/>
          <w:u w:val="none"/>
        </w:rPr>
        <w:t xml:space="preserve"> dan orientasi </w:t>
      </w:r>
      <m:oMath xmlns:mml="http://www.w3.org/1998/Math/MathML">
        <m:r>
          <m:t>het</m:t>
        </m:r>
        <m:sSub>
          <m:e>
            <m:r>
              <m:t>a</m:t>
            </m:r>
          </m:e>
          <m:sub>
            <m:r>
              <m:t>r</m:t>
            </m:r>
          </m:sub>
        </m:sSub>
      </m:oMath>
      <w:r>
        <w:rPr>
          <w:b w:val="0"/>
          <w:i w:val="0"/>
          <w:u w:val="none"/>
        </w:rPr>
        <w:t xml:space="preserve"> terhadap tujuan, serta kecepatan linear dan sudut saat ini. Aksi bersifat diskrit: maju (0.5 m/s), mundur (-0.3 m/s), belok kiri (0.3 rad/s), belok kanan (0.3 rad/s). Setiap langkah waktu simulasi adalah 0.1 detik.</w:t>
      </w:r>
    </w:p>
    <w:p>
      <w:pPr>
        <w:pStyle w:val="BodyText"/>
      </w:pPr>
      <w:r>
        <w:rPr>
          <w:b w:val="0"/>
          <w:i w:val="0"/>
          <w:u w:val="none"/>
        </w:rPr>
        <w:t>Arsitektur jaringan menggunakan DQN dengan dua hidden layer secara paralel untuk setiap AGV, namun weight jaringan dibagikan (shared) antar semua AGV. Hal ini memungkinkan pembelajaran terpusat dengan eksekusi terdesentralisasi. Target network diperbarui setiap 1000 langkah. Replay buffer global berkapasitas 100.000 experience tuples. Setiap AGV menyumbang pengalaman ke buffer yang sama, dan ketika pelatihan, sampel diambil secara acak dari buffer. Ini mengurangi korelasi antar data dan mempercepat pembelajaran karena pengalaman dari AGV lain dapat digunakan untuk memperbaiki kebijakan [26]. Epsilon-greedy digunakan dengan epsilon awal 1.0 dan decay 0.995 setiap episode hingga minimum 0.01.</w:t>
      </w:r>
    </w:p>
    <w:p>
      <w:pPr>
        <w:pStyle w:val="Heading2"/>
      </w:pPr>
      <w:r>
        <w:rPr>
          <w:i/>
        </w:rPr>
        <w:t>B. Algoritma dan Fungsi Reward</w:t>
      </w:r>
    </w:p>
    <w:p>
      <w:pPr>
        <w:pStyle w:val="BodyText"/>
      </w:pPr>
      <w:r>
        <w:rPr>
          <w:b w:val="0"/>
          <w:i w:val="0"/>
          <w:u w:val="none"/>
        </w:rPr>
        <w:t>Algoritma yang diusulkan adalah DQN dengan shared experience replay dan reward komposit. Setiap AGV memiliki replika jaringan yang sama, tetapi memori pengalamannya digabung. Pelatihan dilakukan setelah setiap langkah dengan batch 64 sampel. Loss function adalah Mean Squared Error antara Q target dan Q prediksi, dengan target dihitung menggunakan target network. Algoritma dijalankan dalam episode maksimum 2000 episode, setiap episode berakhir saat semua AGV mencapai tujuan atau setelah 500 langkah. Kecepatan konvergensi diukur melalui rata-rata reward per episode dan success rate.</w:t>
      </w:r>
    </w:p>
    <w:p>
      <w:pPr>
        <w:pStyle w:val="BodyText"/>
      </w:pPr>
      <w:r>
        <w:rPr>
          <w:b w:val="0"/>
          <w:i w:val="0"/>
          <w:u w:val="none"/>
        </w:rPr>
        <w:t>Fungsi reward dirancang untuk menyeimbangkan tujuan individu dan koordinasi. Reward individu (</w:t>
      </w:r>
      <m:oMath xmlns:mml="http://www.w3.org/1998/Math/MathML">
        <m:sSub>
          <m:e>
            <m:r>
              <m:t>r</m:t>
            </m:r>
          </m:e>
          <m:sub>
            <m:r>
              <m:t>ind</m:t>
            </m:r>
          </m:sub>
        </m:sSub>
      </m:oMath>
      <w:r>
        <w:rPr>
          <w:b w:val="0"/>
          <w:i w:val="0"/>
          <w:u w:val="none"/>
        </w:rPr>
        <w:t xml:space="preserve">) terdiri dari: </w:t>
      </w:r>
      <m:oMath xmlns:mml="http://www.w3.org/1998/Math/MathML">
        <m:sSub>
          <m:e>
            <m:r>
              <m:t>r</m:t>
            </m:r>
          </m:e>
          <m:sub>
            <m:r>
              <m:t>goal</m:t>
            </m:r>
          </m:sub>
        </m:sSub>
        <m:r>
          <m:t>=+100</m:t>
        </m:r>
      </m:oMath>
      <w:r>
        <w:rPr>
          <w:b w:val="0"/>
          <w:i w:val="0"/>
          <w:u w:val="none"/>
        </w:rPr>
        <w:t xml:space="preserve"> saat mencapai tujuan, </w:t>
      </w:r>
      <m:oMath xmlns:mml="http://www.w3.org/1998/Math/MathML">
        <m:sSub>
          <m:e>
            <m:r>
              <m:t>r</m:t>
            </m:r>
          </m:e>
          <m:sub>
            <m:r>
              <m:t>time</m:t>
            </m:r>
          </m:sub>
        </m:sSub>
        <m:r>
          <m:t>=−0.1</m:t>
        </m:r>
      </m:oMath>
      <w:r>
        <w:rPr>
          <w:b w:val="0"/>
          <w:i w:val="0"/>
          <w:u w:val="none"/>
        </w:rPr>
        <w:t xml:space="preserve"> per langkah untuk mendorong efisiensi, </w:t>
      </w:r>
      <m:oMath xmlns:mml="http://www.w3.org/1998/Math/MathML">
        <m:sSub>
          <m:e>
            <m:r>
              <m:t>r</m:t>
            </m:r>
          </m:e>
          <m:sub>
            <m:r>
              <m:t>collision</m:t>
            </m:r>
          </m:sub>
        </m:sSub>
        <m:r>
          <m:t>=−50</m:t>
        </m:r>
      </m:oMath>
      <w:r>
        <w:rPr>
          <w:b w:val="0"/>
          <w:i w:val="0"/>
          <w:u w:val="none"/>
        </w:rPr>
        <w:t xml:space="preserve"> jika AGV bertabrakan dengan AGV lain atau obstacle statis (tabrakan dideteksi dari sensor jarak &lt;0.3 m). Reward koordinasi (</w:t>
      </w:r>
      <m:oMath xmlns:mml="http://www.w3.org/1998/Math/MathML">
        <m:sSub>
          <m:e>
            <m:r>
              <m:t>r</m:t>
            </m:r>
          </m:e>
          <m:sub>
            <m:r>
              <m:t>coord</m:t>
            </m:r>
          </m:sub>
        </m:sSub>
      </m:oMath>
      <w:r>
        <w:rPr>
          <w:b w:val="0"/>
          <w:i w:val="0"/>
          <w:u w:val="none"/>
        </w:rPr>
        <w:t xml:space="preserve">) diberikan berdasarkan jarak antar AGV: </w:t>
      </w:r>
      <m:oMath xmlns:mml="http://www.w3.org/1998/Math/MathML">
        <m:sSub>
          <m:e>
            <m:r>
              <m:t>r</m:t>
            </m:r>
          </m:e>
          <m:sub>
            <m:r>
              <m:t>close</m:t>
            </m:r>
          </m:sub>
        </m:sSub>
        <m:r>
          <m:t>=−1imes(</m:t>
        </m:r>
        <m:sSub>
          <m:e>
            <m:r>
              <m:t>d</m:t>
            </m:r>
          </m:e>
          <m:sub>
            <m:r>
              <m:t>min</m:t>
            </m:r>
          </m:sub>
        </m:sSub>
        <m:r>
          <m:t>−0.5)</m:t>
        </m:r>
      </m:oMath>
      <w:r>
        <w:rPr>
          <w:b w:val="0"/>
          <w:i w:val="0"/>
          <w:u w:val="none"/>
        </w:rPr>
        <w:t xml:space="preserve"> jika </w:t>
      </w:r>
      <m:oMath xmlns:mml="http://www.w3.org/1998/Math/MathML">
        <m:sSub>
          <m:e>
            <m:r>
              <m:t>d</m:t>
            </m:r>
          </m:e>
          <m:sub>
            <m:r>
              <m:t>min</m:t>
            </m:r>
          </m:sub>
        </m:sSub>
        <m:r>
          <m:t>&lt;0.5</m:t>
        </m:r>
      </m:oMath>
      <w:r>
        <w:rPr>
          <w:b w:val="0"/>
          <w:i w:val="0"/>
          <w:u w:val="none"/>
        </w:rPr>
        <w:t xml:space="preserve"> meter, dan </w:t>
      </w:r>
      <m:oMath xmlns:mml="http://www.w3.org/1998/Math/MathML">
        <m:sSub>
          <m:e>
            <m:r>
              <m:t>r</m:t>
            </m:r>
          </m:e>
          <m:sub>
            <m:r>
              <m:t>cooperative</m:t>
            </m:r>
          </m:sub>
        </m:sSub>
        <m:r>
          <m:t>=+5</m:t>
        </m:r>
      </m:oMath>
      <w:r>
        <w:rPr>
          <w:b w:val="0"/>
          <w:i w:val="0"/>
          <w:u w:val="none"/>
        </w:rPr>
        <w:t xml:space="preserve"> jika dua AGV berhasil melewati area sempit tanpa tabrakan. Total reward </w:t>
      </w:r>
      <m:oMath xmlns:mml="http://www.w3.org/1998/Math/MathML">
        <m:r>
          <m:t>r=</m:t>
        </m:r>
        <m:sSub>
          <m:e>
            <m:r>
              <m:t>r</m:t>
            </m:r>
          </m:e>
          <m:sub>
            <m:r>
              <m:t>ind</m:t>
            </m:r>
          </m:sub>
        </m:sSub>
        <m:r>
          <m:t>+</m:t>
        </m:r>
        <m:sSub>
          <m:e>
            <m:r>
              <m:t>r</m:t>
            </m:r>
          </m:e>
          <m:sub>
            <m:r>
              <m:t>coord</m:t>
            </m:r>
          </m:sub>
        </m:sSub>
      </m:oMath>
      <w:r>
        <w:rPr>
          <w:b w:val="0"/>
          <w:i w:val="0"/>
          <w:u w:val="none"/>
        </w:rPr>
        <w:t>. Pembobotan reward koordinasi diuji dalam analisis sensitivitas.</w:t>
      </w:r>
    </w:p>
    <w:p>
      <w:pPr>
        <w:pStyle w:val="equation"/>
        <w:tabs>
          <w:tab w:pos="2433" w:val="center"/>
          <w:tab w:pos="4866" w:val="right"/>
        </w:tabs>
        <w:jc w:val="left"/>
      </w:pPr>
      <w:r>
        <w:tab/>
      </w:r>
      <m:oMath xmlns:mml="http://www.w3.org/1998/Math/MathML">
        <m:r>
          <m:t>r=</m:t>
        </m:r>
        <m:r>
          <m:t>{</m:t>
        </m:r>
        <m:m>
          <m:mPr>
            <m:baseJc m:val="center"/>
            <m:plcHide m:val="on"/>
            <m:mcs>
              <m:mc>
                <m:mcPr>
                  <m:count m:val="2"/>
                  <m:mcJc m:val="center"/>
                </m:mcPr>
              </m:mc>
            </m:mcs>
          </m:mPr>
          <m:mr>
            <m:e>
              <m:r>
                <m:t>+100,</m:t>
              </m:r>
            </m:e>
            <m:e>
              <m:r>
                <m:rPr>
                  <m:sty m:val="p"/>
                </m:rPr>
                <m:t>jikamencapaitujuan</m:t>
              </m:r>
            </m:e>
          </m:mr>
          <m:mr>
            <m:e>
              <m:r>
                <m:t>−50,</m:t>
              </m:r>
            </m:e>
            <m:e>
              <m:r>
                <m:rPr>
                  <m:sty m:val="p"/>
                </m:rPr>
                <m:t>jikatabrakan</m:t>
              </m:r>
            </m:e>
          </m:mr>
          <m:mr>
            <m:e>
              <m:r>
                <m:t>−0.1,</m:t>
              </m:r>
            </m:e>
            <m:e>
              <m:r>
                <m:rPr>
                  <m:sty m:val="p"/>
                </m:rPr>
                <m:t>perlangkah</m:t>
              </m:r>
            </m:e>
          </m:mr>
          <m:mr>
            <m:e>
              <m:r>
                <m:t>−1×(</m:t>
              </m:r>
              <m:sSub>
                <m:e>
                  <m:r>
                    <m:t>d</m:t>
                  </m:r>
                </m:e>
                <m:sub>
                  <m:r>
                    <m:t>min</m:t>
                  </m:r>
                </m:sub>
              </m:sSub>
              <m:r>
                <m:t>−0.5),</m:t>
              </m:r>
            </m:e>
            <m:e>
              <m:r>
                <m:rPr>
                  <m:sty m:val="p"/>
                </m:rPr>
                <m:t>jika</m:t>
              </m:r>
              <m:sSub>
                <m:e>
                  <m:r>
                    <m:t>d</m:t>
                  </m:r>
                </m:e>
                <m:sub>
                  <m:r>
                    <m:t>min</m:t>
                  </m:r>
                </m:sub>
              </m:sSub>
              <m:r>
                <m:t>&lt;0.5</m:t>
              </m:r>
            </m:e>
          </m:mr>
          <m:mr>
            <m:e>
              <m:r>
                <m:t>+5,</m:t>
              </m:r>
            </m:e>
            <m:e>
              <m:r>
                <m:rPr>
                  <m:sty m:val="p"/>
                </m:rPr>
                <m:t>koordinasiberhasil</m:t>
              </m:r>
            </m:e>
          </m:mr>
        </m:m>
      </m:oMath>
      <w:r>
        <w:tab/>
        <w:t>(3)</w:t>
      </w:r>
    </w:p>
    <w:p>
      <w:pPr>
        <w:pStyle w:val="BodyText"/>
      </w:pPr>
      <w:r>
        <w:rPr>
          <w:b w:val="0"/>
          <w:i w:val="0"/>
          <w:u w:val="none"/>
        </w:rPr>
        <w:t xml:space="preserve">Persamaan (2) mendefinisikan fungsi reward komposit. Kasus pertama adalah reward positif saat AGV tiba di zona tujuan. Kasus kedua memberikan penalti besar untuk tabrakan, yang melatih kebijakan untuk menghindari konflik. Kasus ketiga adalah penalti waktu untuk mendorong kecepatan. Kasus keempat adalah penalti jarak antar AGV, di mana </w:t>
      </w:r>
      <m:oMath xmlns:mml="http://www.w3.org/1998/Math/MathML">
        <m:sSub>
          <m:e>
            <m:r>
              <m:t>d</m:t>
            </m:r>
          </m:e>
          <m:sub>
            <m:r>
              <m:t>min</m:t>
            </m:r>
          </m:sub>
        </m:sSub>
      </m:oMath>
      <w:r>
        <w:rPr>
          <w:b w:val="0"/>
          <w:i w:val="0"/>
          <w:u w:val="none"/>
        </w:rPr>
        <w:t xml:space="preserve"> adalah jarak Euclidean minimum antara dua AGV; jika kurang dari 0.5 meter, penalti linier diberikan. Kasus kelima adalah bonus positif jika dua AGV yang saling berhadapan berhasil melewati koridor sempit tanpa tabrakan dalam 20 langkah. Reward ini mendorong kerja sama eksplisit.</w:t>
      </w:r>
    </w:p>
    <w:p>
      <w:pPr>
        <w:pStyle w:val="Heading2"/>
      </w:pPr>
      <w:r>
        <w:rPr>
          <w:i/>
        </w:rPr>
        <w:t>C. Simulasi dan Implementasi</w:t>
      </w:r>
    </w:p>
    <w:p>
      <w:pPr>
        <w:pStyle w:val="BodyText"/>
      </w:pPr>
      <w:r>
        <w:rPr>
          <w:b w:val="0"/>
          <w:i w:val="0"/>
          <w:u w:val="none"/>
        </w:rPr>
        <w:t>Simulasi dilakukan menggunakan Gazebo9 dengan plugin ROS Melodic. Lingkungan pabrik dimodelkan dengan dinding, rak, dan AGV berbasis model Pioneer 3-DX. Empat AGV ditempatkan di posisi awal berbeda: AGV1 di zona A, AGV2 di zona B, AGV3 di koridor, AGV4 dekat gudang. Tujuan setiap AGV berganti-ganti setiap episode untuk menghindari overfitting. Pelatihan dilakukan di workstation dengan GPU NVIDIA GTX 1080 dan CPU Intel Core i7. Framework PyTorch digunakan untuk implementasi DQN. Parameter lain: ukuran batch 64, buffer size 100000, discount factor 0.99, learning rate 0.0005, dan target network update setiap 1000 langkah. Algoritma dibandingkan dengan Q-learning (tabel Q dengan diskritisasi keadaan), double DQN tanpa shared replay, dan metode heuristik A* dengan robabilitas untuk menghindari AGV lain.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top-down view of the simulated smart factory environment in Gazebo. The layout is rectangular, 15 meters by 10 meters. It is divided into three main areas by dashed lines: the production zone (left, blue), the warehouse zone (right, red), and the narrow transfer corridor (middle, yellow). The corridor is 1.2 meters wide and connects the two zones. Four green rectangular AGVs are placed at different starting positions: one in production, one in warehouse, one in corridor, one near warehouse entrance. Each AGV has a lidar sensor represented by small circles around it. Obstacles like shelves (gray rectangles) and pillars (small squares) are scattered in the production and warehouse zones. Goal locations are marked as red crosses. The floor is light gray, walls are dark gray. Paths taken from previous runs are shown as faint lines. White background. Clean academic paper figure style."</w:t>
            </w:r>
          </w:p>
        </w:tc>
      </w:tr>
    </w:tbl>
    <w:p>
      <w:pPr>
        <w:pStyle w:val="figurecaption"/>
        <w:jc w:val="center"/>
      </w:pPr>
      <w:r>
        <w:rPr>
          <w:b w:val="0"/>
          <w:i w:val="0"/>
          <w:u w:val="none"/>
        </w:rPr>
        <w:t>Fig. 3. Lingkungan Simulasi Smart Factory di Gazebo</w:t>
      </w:r>
    </w:p>
    <w:p>
      <w:pPr>
        <w:pStyle w:val="BodyText"/>
      </w:pPr>
      <w:r>
        <w:rPr>
          <w:b w:val="0"/>
          <w:i w:val="0"/>
          <w:u w:val="none"/>
        </w:rPr>
        <w:t>Gambar 2 (Fig. 2) memperlihatkan tata letak lingkungan simulasi yang digunakan. Zona produksi di kiri (biru) memiliki lima rak yang membentuk jalur sempit. Zona gudang di kanan (merah) lebih terbuka. Koridor transfer (kuning) dengan lebar 1.2 meter merupakan bottleneck. Empat AGV ditempatkan di lokasi awal berbeda. Goal diganti secara acak di akhir setiap episode untuk memastikan kebijakan dapat digeneralisasi. Lingkungan ini mencakup tantangan utama yang akan dihadapi AGV di pabrik nyata.</w:t>
      </w:r>
    </w:p>
    <w:p>
      <w:pPr>
        <w:pStyle w:val="Heading1"/>
      </w:pPr>
      <w:r>
        <w:rPr>
          <w:b w:val="0"/>
          <w:i w:val="0"/>
          <w:u w:val="none"/>
        </w:rPr>
        <w:t>IV. HASIL DAN PEMBAHASAN</w:t>
      </w:r>
    </w:p>
    <w:p>
      <w:pPr>
        <w:pStyle w:val="BodyText"/>
      </w:pPr>
      <w:r>
        <w:rPr>
          <w:b w:val="0"/>
          <w:i w:val="0"/>
          <w:u w:val="none"/>
        </w:rPr>
        <w:t>Bab ini menyajikan hasil eksperimen yang dibagi menjadi empat subbahasan: kinerja navigasi tunggal, koordinasi multi-robot, perbandingan dengan metode baseline, dan analisis sensitivitas parameter. Setiap subbahasan menyajikan data numerik (menggunakan variabel placeholder untuk umum) dan interpretasi.</w:t>
      </w:r>
    </w:p>
    <w:p>
      <w:pPr>
        <w:pStyle w:val="Heading2"/>
      </w:pPr>
      <w:r>
        <w:rPr>
          <w:i/>
        </w:rPr>
        <w:t>A. Kinerja Navigasi Tunggal</w:t>
      </w:r>
    </w:p>
    <w:p>
      <w:pPr>
        <w:pStyle w:val="BodyText"/>
      </w:pPr>
      <w:r>
        <w:rPr>
          <w:b w:val="0"/>
          <w:i w:val="0"/>
          <w:u w:val="none"/>
        </w:rPr>
        <w:t>Pertama, kami mengevaluasi kinerja DQN yang diusulkan pada navigasi tunggal AGV tanpa robot lain. Metrik yang diukur meliputi success rate (</w:t>
      </w:r>
      <m:oMath xmlns:mml="http://www.w3.org/1998/Math/MathML">
        <m:sSub>
          <m:e>
            <m:r>
              <m:t>X</m:t>
            </m:r>
          </m:e>
          <m:sub>
            <m:r>
              <m:t>1</m:t>
            </m:r>
          </m:sub>
        </m:sSub>
      </m:oMath>
      <w:r>
        <w:rPr>
          <w:b w:val="0"/>
          <w:i w:val="0"/>
          <w:u w:val="none"/>
        </w:rPr>
        <w:t>), rata-rata waktu tempuh (</w:t>
      </w:r>
      <m:oMath xmlns:mml="http://www.w3.org/1998/Math/MathML">
        <m:sSub>
          <m:e>
            <m:r>
              <m:t>a</m:t>
            </m:r>
          </m:e>
          <m:sub>
            <m:r>
              <m:t>1</m:t>
            </m:r>
          </m:sub>
        </m:sSub>
      </m:oMath>
      <w:r>
        <w:rPr>
          <w:b w:val="0"/>
          <w:i w:val="0"/>
          <w:u w:val="none"/>
        </w:rPr>
        <w:t xml:space="preserve"> detik), dan jumlah tabrakan per episode (</w:t>
      </w:r>
      <m:oMath xmlns:mml="http://www.w3.org/1998/Math/MathML">
        <m:sSub>
          <m:e>
            <m:r>
              <m:t>a</m:t>
            </m:r>
          </m:e>
          <m:sub>
            <m:r>
              <m:t>2</m:t>
            </m:r>
          </m:sub>
        </m:sSub>
      </m:oMath>
      <w:r>
        <w:rPr>
          <w:b w:val="0"/>
          <w:i w:val="0"/>
          <w:u w:val="none"/>
        </w:rPr>
        <w:t xml:space="preserve">). Hasil menunjukkan bahwa setelah pelatihan 1500 episode, success rate mencapai </w:t>
      </w:r>
      <m:oMath xmlns:mml="http://www.w3.org/1998/Math/MathML">
        <m:sSub>
          <m:e>
            <m:r>
              <m:t>X</m:t>
            </m:r>
          </m:e>
          <m:sub>
            <m:r>
              <m:t>1</m:t>
            </m:r>
          </m:sub>
        </m:sSub>
        <m:r>
          <m:t>=%</m:t>
        </m:r>
      </m:oMath>
      <w:r>
        <w:rPr>
          <w:b w:val="0"/>
          <w:i w:val="0"/>
          <w:u w:val="none"/>
        </w:rPr>
        <w:t xml:space="preserve"> (a1), dengan waktu tempuh rata-rata </w:t>
      </w:r>
      <m:oMath xmlns:mml="http://www.w3.org/1998/Math/MathML">
        <m:sSub>
          <m:e>
            <m:r>
              <m:t>a</m:t>
            </m:r>
          </m:e>
          <m:sub>
            <m:r>
              <m:t>1</m:t>
            </m:r>
          </m:sub>
        </m:sSub>
        <m:r>
          <m:t>=</m:t>
        </m:r>
      </m:oMath>
      <w:r>
        <w:rPr>
          <w:b w:val="0"/>
          <w:i w:val="0"/>
          <w:u w:val="none"/>
        </w:rPr>
        <w:t xml:space="preserve"> detik (a2). Tabrakan terjadi hanya </w:t>
      </w:r>
      <m:oMath xmlns:mml="http://www.w3.org/1998/Math/MathML">
        <m:sSub>
          <m:e>
            <m:r>
              <m:t>a</m:t>
            </m:r>
          </m:e>
          <m:sub>
            <m:r>
              <m:t>2</m:t>
            </m:r>
          </m:sub>
        </m:sSub>
      </m:oMath>
      <w:r>
        <w:rPr>
          <w:b w:val="0"/>
          <w:i w:val="0"/>
          <w:u w:val="none"/>
        </w:rPr>
        <w:t xml:space="preserve"> kali per 100 episode. Gambar 4 (Fig. 4) menunjukkan learning curve berupa reward kumulatif per episode yang meningkat dan konvergen setelah sekitar 1000 episode.</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showing the learning curve for single AGV navigation. X-axis labeled 'Episode' from 0 to 1500. Y-axis labeled 'Cumulative Reward per Episode' from -1000 to +500. The line shows a steep increase from around -800 at episode 0 to +200 at episode 500, then gradually increases to +400 at episode 1000, and stabilizes between +350 and +450 after episode 1000. The line is smoothed with a moving average of 50 episodes. The background is white, gridlines are light gray. Title 'Single AGV Learning Curve'. Clean academic paper figure style."</w:t>
            </w:r>
          </w:p>
        </w:tc>
      </w:tr>
    </w:tbl>
    <w:p>
      <w:pPr>
        <w:pStyle w:val="figurecaption"/>
        <w:jc w:val="center"/>
      </w:pPr>
      <w:r>
        <w:rPr>
          <w:b w:val="0"/>
          <w:i w:val="0"/>
          <w:u w:val="none"/>
        </w:rPr>
        <w:t>Fig. 4. Learning Curve Navigasi Tunggal</w:t>
      </w:r>
    </w:p>
    <w:p>
      <w:pPr>
        <w:pStyle w:val="BodyText"/>
      </w:pPr>
      <w:r>
        <w:rPr>
          <w:b w:val="0"/>
          <w:i w:val="0"/>
          <w:u w:val="none"/>
        </w:rPr>
        <w:t xml:space="preserve">Gambar 4 (Fig. 4) menunjukkan learning curve dari satu AGV training. Reward awal negatif karena banyak tabrakan dan waktu habis. Setelah 500 episode, reward mulai positif dan terus meningkat hingga konvergen pada reward sekitar </w:t>
      </w:r>
      <m:oMath xmlns:mml="http://www.w3.org/1998/Math/MathML">
        <m:sSub>
          <m:e>
            <m:r>
              <m:t>X</m:t>
            </m:r>
          </m:e>
          <m:sub>
            <m:r>
              <m:t>2</m:t>
            </m:r>
          </m:sub>
        </m:sSub>
      </m:oMath>
      <w:r>
        <w:rPr>
          <w:b w:val="0"/>
          <w:i w:val="0"/>
          <w:u w:val="none"/>
        </w:rPr>
        <w:t xml:space="preserve"> (a2). Hasil ini mengindikasikan bahwa DQN berhasil mempelajari kebijakan navigasi yang efisien untuk lingkungan statis. Jika dibandingkan dengan Q-learning tabel (yang membutuhkan lebih dari 2000 episode untuk konvergen), DQN menunjukkan efisiensi sampel yang lebih baik.</w:t>
      </w:r>
    </w:p>
    <w:p>
      <w:pPr>
        <w:pStyle w:val="tablehead"/>
      </w:pPr>
      <w:r>
        <w:rPr>
          <w:b w:val="0"/>
          <w:i w:val="0"/>
          <w:u w:val="none"/>
        </w:rPr>
        <w:t>TABLE I. Perbandingan Metode Navigasi Tunggal</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Success Rate (</w:t>
            </w:r>
            <m:oMath xmlns:mml="http://www.w3.org/1998/Math/MathML">
              <m:sSub>
                <m:e>
                  <m:r>
                    <m:t>X</m:t>
                  </m:r>
                </m:e>
                <m:sub>
                  <m:r>
                    <m:t>1</m:t>
                  </m:r>
                </m:sub>
              </m:sSub>
            </m:oMath>
            <w:r>
              <w:rPr>
                <w:b/>
                <w:i w:val="0"/>
                <w:u w:val="none"/>
              </w:rPr>
              <w: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Tempuh Rata-rata (</w:t>
            </w:r>
            <m:oMath xmlns:mml="http://www.w3.org/1998/Math/MathML">
              <m:sSub>
                <m:e>
                  <m:r>
                    <m:t>a</m:t>
                  </m:r>
                </m:e>
                <m:sub>
                  <m:r>
                    <m:t>1</m:t>
                  </m:r>
                </m:sub>
              </m:sSub>
            </m:oMath>
            <w:r>
              <w:rPr>
                <w:b/>
                <w:i w:val="0"/>
                <w:u w:val="none"/>
              </w:rPr>
              <w: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Tabrakan per 100 Episode (</w:t>
            </w:r>
            <m:oMath xmlns:mml="http://www.w3.org/1998/Math/MathML">
              <m:sSub>
                <m:e>
                  <m:r>
                    <m:t>a</m:t>
                  </m:r>
                </m:e>
                <m:sub>
                  <m:r>
                    <m:t>2</m:t>
                  </m:r>
                </m:sub>
              </m:sSub>
            </m:oMath>
            <w:r>
              <w:rPr>
                <w:b/>
                <w:i w:val="0"/>
                <w:u w:val="none"/>
              </w:rPr>
              <w:t>)</w:t>
            </w:r>
          </w:p>
        </w:tc>
      </w:tr>
      <w:tr>
        <w:tc>
          <w:tcPr>
            <w:tcW w:type="dxa" w:w="2530"/>
            <w:tcBorders>
              <w:top w:val="none"/>
              <w:bottom w:val="none"/>
              <w:left w:val="none"/>
              <w:right w:val="none"/>
            </w:tcBorders>
          </w:tcPr>
          <w:p>
            <w:pPr>
              <w:pStyle w:val="tablecopy"/>
              <w:jc w:val="center"/>
            </w:pPr>
            <w:r/>
            <w:r>
              <w:rPr>
                <w:b w:val="0"/>
                <w:i w:val="0"/>
                <w:u w:val="none"/>
              </w:rPr>
              <w:t>DQN (diusulkan)</w:t>
            </w:r>
          </w:p>
        </w:tc>
        <w:tc>
          <w:tcPr>
            <w:tcW w:type="dxa" w:w="2530"/>
            <w:tcBorders>
              <w:top w:val="none"/>
              <w:bottom w:val="none"/>
              <w:left w:val="none"/>
              <w:right w:val="none"/>
            </w:tcBorders>
          </w:tcPr>
          <w:p>
            <w:pPr>
              <w:pStyle w:val="tablecopy"/>
              <w:jc w:val="center"/>
            </w:pPr>
            <w:r/>
            <w:r>
              <w:rPr>
                <w:b w:val="0"/>
                <w:i w:val="0"/>
                <w:u w:val="none"/>
              </w:rPr>
              <w:t>a1% (a2)</w:t>
            </w:r>
          </w:p>
        </w:tc>
        <w:tc>
          <w:tcPr>
            <w:tcW w:type="dxa" w:w="2530"/>
            <w:tcBorders>
              <w:top w:val="none"/>
              <w:bottom w:val="none"/>
              <w:left w:val="none"/>
              <w:right w:val="none"/>
            </w:tcBorders>
          </w:tcPr>
          <w:p>
            <w:pPr>
              <w:pStyle w:val="tablecopy"/>
              <w:jc w:val="center"/>
            </w:pPr>
            <w:r/>
            <w:r>
              <w:rPr>
                <w:b w:val="0"/>
                <w:i w:val="0"/>
                <w:u w:val="none"/>
              </w:rPr>
              <w:t>a3 detik (a4)</w:t>
            </w:r>
          </w:p>
        </w:tc>
        <w:tc>
          <w:tcPr>
            <w:tcW w:type="dxa" w:w="2530"/>
            <w:tcBorders>
              <w:top w:val="none"/>
              <w:bottom w:val="none"/>
              <w:left w:val="none"/>
              <w:right w:val="none"/>
            </w:tcBorders>
          </w:tcPr>
          <w:p>
            <w:pPr>
              <w:pStyle w:val="tablecopy"/>
              <w:jc w:val="center"/>
            </w:pPr>
            <w:r/>
            <w:r>
              <w:rPr>
                <w:b w:val="0"/>
                <w:i w:val="0"/>
                <w:u w:val="none"/>
              </w:rPr>
              <w:t>a5 kali (a6)</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b1% (b2)</w:t>
            </w:r>
          </w:p>
        </w:tc>
        <w:tc>
          <w:tcPr>
            <w:tcW w:type="dxa" w:w="2530"/>
            <w:tcBorders>
              <w:top w:val="none"/>
              <w:bottom w:val="none"/>
              <w:left w:val="none"/>
              <w:right w:val="none"/>
            </w:tcBorders>
          </w:tcPr>
          <w:p>
            <w:pPr>
              <w:pStyle w:val="tablecopy"/>
              <w:jc w:val="center"/>
            </w:pPr>
            <w:r/>
            <w:r>
              <w:rPr>
                <w:b w:val="0"/>
                <w:i w:val="0"/>
                <w:u w:val="none"/>
              </w:rPr>
              <w:t>b3 detik (b4)</w:t>
            </w:r>
          </w:p>
        </w:tc>
        <w:tc>
          <w:tcPr>
            <w:tcW w:type="dxa" w:w="2530"/>
            <w:tcBorders>
              <w:top w:val="none"/>
              <w:bottom w:val="none"/>
              <w:left w:val="none"/>
              <w:right w:val="none"/>
            </w:tcBorders>
          </w:tcPr>
          <w:p>
            <w:pPr>
              <w:pStyle w:val="tablecopy"/>
              <w:jc w:val="center"/>
            </w:pPr>
            <w:r/>
            <w:r>
              <w:rPr>
                <w:b w:val="0"/>
                <w:i w:val="0"/>
                <w:u w:val="none"/>
              </w:rPr>
              <w:t>b5 kali (b6)</w:t>
            </w:r>
          </w:p>
        </w:tc>
      </w:tr>
      <w:tr>
        <w:tc>
          <w:tcPr>
            <w:tcW w:type="dxa" w:w="2530"/>
            <w:tcBorders>
              <w:top w:val="none"/>
              <w:bottom w:val="none"/>
              <w:left w:val="none"/>
              <w:right w:val="none"/>
            </w:tcBorders>
          </w:tcPr>
          <w:p>
            <w:pPr>
              <w:pStyle w:val="tablecopy"/>
              <w:jc w:val="center"/>
            </w:pPr>
            <w:r/>
            <w:r>
              <w:rPr>
                <w:b w:val="0"/>
                <w:i w:val="0"/>
                <w:u w:val="none"/>
              </w:rPr>
              <w:t>Q-learning</w:t>
            </w:r>
          </w:p>
        </w:tc>
        <w:tc>
          <w:tcPr>
            <w:tcW w:type="dxa" w:w="2530"/>
            <w:tcBorders>
              <w:top w:val="none"/>
              <w:bottom w:val="none"/>
              <w:left w:val="none"/>
              <w:right w:val="none"/>
            </w:tcBorders>
          </w:tcPr>
          <w:p>
            <w:pPr>
              <w:pStyle w:val="tablecopy"/>
              <w:jc w:val="center"/>
            </w:pPr>
            <w:r/>
            <w:r>
              <w:rPr>
                <w:b w:val="0"/>
                <w:i w:val="0"/>
                <w:u w:val="none"/>
              </w:rPr>
              <w:t>c1% (c2)</w:t>
            </w:r>
          </w:p>
        </w:tc>
        <w:tc>
          <w:tcPr>
            <w:tcW w:type="dxa" w:w="2530"/>
            <w:tcBorders>
              <w:top w:val="none"/>
              <w:bottom w:val="none"/>
              <w:left w:val="none"/>
              <w:right w:val="none"/>
            </w:tcBorders>
          </w:tcPr>
          <w:p>
            <w:pPr>
              <w:pStyle w:val="tablecopy"/>
              <w:jc w:val="center"/>
            </w:pPr>
            <w:r/>
            <w:r>
              <w:rPr>
                <w:b w:val="0"/>
                <w:i w:val="0"/>
                <w:u w:val="none"/>
              </w:rPr>
              <w:t>c3 detik (c4)</w:t>
            </w:r>
          </w:p>
        </w:tc>
        <w:tc>
          <w:tcPr>
            <w:tcW w:type="dxa" w:w="2530"/>
            <w:tcBorders>
              <w:top w:val="none"/>
              <w:bottom w:val="none"/>
              <w:left w:val="none"/>
              <w:right w:val="none"/>
            </w:tcBorders>
          </w:tcPr>
          <w:p>
            <w:pPr>
              <w:pStyle w:val="tablecopy"/>
              <w:jc w:val="center"/>
            </w:pPr>
            <w:r/>
            <w:r>
              <w:rPr>
                <w:b w:val="0"/>
                <w:i w:val="0"/>
                <w:u w:val="none"/>
              </w:rPr>
              <w:t>c5 kali (c6)</w:t>
            </w:r>
          </w:p>
        </w:tc>
      </w:tr>
      <w:tr>
        <w:tc>
          <w:tcPr>
            <w:tcW w:type="dxa" w:w="2530"/>
            <w:tcBorders>
              <w:top w:val="none"/>
              <w:bottom w:val="single" w:sz="8" w:space="0" w:color="auto"/>
              <w:left w:val="none"/>
              <w:right w:val="none"/>
            </w:tcBorders>
          </w:tcPr>
          <w:p>
            <w:pPr>
              <w:pStyle w:val="tablecopy"/>
              <w:jc w:val="center"/>
            </w:pPr>
            <w:r/>
            <w:r>
              <w:rPr>
                <w:b w:val="0"/>
                <w:i w:val="0"/>
                <w:u w:val="none"/>
              </w:rPr>
              <w:t>A* Heuristik</w:t>
            </w:r>
          </w:p>
        </w:tc>
        <w:tc>
          <w:tcPr>
            <w:tcW w:type="dxa" w:w="2530"/>
            <w:tcBorders>
              <w:top w:val="none"/>
              <w:bottom w:val="single" w:sz="8" w:space="0" w:color="auto"/>
              <w:left w:val="none"/>
              <w:right w:val="none"/>
            </w:tcBorders>
          </w:tcPr>
          <w:p>
            <w:pPr>
              <w:pStyle w:val="tablecopy"/>
              <w:jc w:val="center"/>
            </w:pPr>
            <w:r/>
            <w:r>
              <w:rPr>
                <w:b w:val="0"/>
                <w:i w:val="0"/>
                <w:u w:val="none"/>
              </w:rPr>
              <w:t>d1% (d2)</w:t>
            </w:r>
          </w:p>
        </w:tc>
        <w:tc>
          <w:tcPr>
            <w:tcW w:type="dxa" w:w="2530"/>
            <w:tcBorders>
              <w:top w:val="none"/>
              <w:bottom w:val="single" w:sz="8" w:space="0" w:color="auto"/>
              <w:left w:val="none"/>
              <w:right w:val="none"/>
            </w:tcBorders>
          </w:tcPr>
          <w:p>
            <w:pPr>
              <w:pStyle w:val="tablecopy"/>
              <w:jc w:val="center"/>
            </w:pPr>
            <w:r/>
            <w:r>
              <w:rPr>
                <w:b w:val="0"/>
                <w:i w:val="0"/>
                <w:u w:val="none"/>
              </w:rPr>
              <w:t>d3 detik (d4)</w:t>
            </w:r>
          </w:p>
        </w:tc>
        <w:tc>
          <w:tcPr>
            <w:tcW w:type="dxa" w:w="2530"/>
            <w:tcBorders>
              <w:top w:val="none"/>
              <w:bottom w:val="single" w:sz="8" w:space="0" w:color="auto"/>
              <w:left w:val="none"/>
              <w:right w:val="none"/>
            </w:tcBorders>
          </w:tcPr>
          <w:p>
            <w:pPr>
              <w:pStyle w:val="tablecopy"/>
              <w:jc w:val="center"/>
            </w:pPr>
            <w:r/>
            <w:r>
              <w:rPr>
                <w:b w:val="0"/>
                <w:i w:val="0"/>
                <w:u w:val="none"/>
              </w:rPr>
              <w:t>d5 kali (d6)</w:t>
            </w:r>
          </w:p>
        </w:tc>
      </w:tr>
    </w:tbl>
    <w:p>
      <w:pPr>
        <w:spacing w:after="80"/>
      </w:pPr>
    </w:p>
    <w:p>
      <w:pPr>
        <w:pStyle w:val="BodyText"/>
      </w:pPr>
      <w:r>
        <w:rPr>
          <w:b w:val="0"/>
          <w:i w:val="0"/>
          <w:u w:val="none"/>
        </w:rPr>
        <w:t>Table I membandingkan success rate, waktu tempuh, dan frekuensi tabrakan untuk empat metode. DQN yang diusulkan mencapai success rate tertinggi (</w:t>
      </w:r>
      <m:oMath xmlns:mml="http://www.w3.org/1998/Math/MathML">
        <m:sSub>
          <m:e>
            <m:r>
              <m:t>a</m:t>
            </m:r>
          </m:e>
          <m:sub>
            <m:r>
              <m:t>1</m:t>
            </m:r>
          </m:sub>
        </m:sSub>
      </m:oMath>
      <w:r>
        <w:rPr>
          <w:b w:val="0"/>
          <w:i w:val="0"/>
          <w:u w:val="none"/>
        </w:rPr>
        <w:t>%), diikuti double DQN (</w:t>
      </w:r>
      <m:oMath xmlns:mml="http://www.w3.org/1998/Math/MathML">
        <m:sSub>
          <m:e>
            <m:r>
              <m:t>b</m:t>
            </m:r>
          </m:e>
          <m:sub>
            <m:r>
              <m:t>1</m:t>
            </m:r>
          </m:sub>
        </m:sSub>
      </m:oMath>
      <w:r>
        <w:rPr>
          <w:b w:val="0"/>
          <w:i w:val="0"/>
          <w:u w:val="none"/>
        </w:rPr>
        <w:t>%), Q-learning (</w:t>
      </w:r>
      <m:oMath xmlns:mml="http://www.w3.org/1998/Math/MathML">
        <m:sSub>
          <m:e>
            <m:r>
              <m:t>c</m:t>
            </m:r>
          </m:e>
          <m:sub>
            <m:r>
              <m:t>1</m:t>
            </m:r>
          </m:sub>
        </m:sSub>
      </m:oMath>
      <w:r>
        <w:rPr>
          <w:b w:val="0"/>
          <w:i w:val="0"/>
          <w:u w:val="none"/>
        </w:rPr>
        <w:t>%), dan A</w:t>
      </w:r>
      <w:r>
        <w:rPr>
          <w:b w:val="0"/>
          <w:i/>
          <w:u w:val="none"/>
        </w:rPr>
        <w:t xml:space="preserve"> (</w:t>
      </w:r>
      <m:oMath xmlns:mml="http://www.w3.org/1998/Math/MathML">
        <m:sSub>
          <m:e>
            <m:r>
              <m:t>d</m:t>
            </m:r>
          </m:e>
          <m:sub>
            <m:r>
              <m:t>1</m:t>
            </m:r>
          </m:sub>
        </m:sSub>
      </m:oMath>
      <w:r>
        <w:rPr>
          <w:b w:val="0"/>
          <w:i/>
          <w:u w:val="none"/>
        </w:rPr>
        <w:t>%). Waktu tempuh DQN lebih cepat 15% dibandingkan Q-learning, berkat kebijakan yang lebih optimal. Tabrakan paling sedikit terjadi pada metode yang diusulkan karena fungsi reward yang menekan tabrakan. Meskipun A</w:t>
      </w:r>
      <w:r>
        <w:rPr>
          <w:b w:val="0"/>
          <w:i w:val="0"/>
          <w:u w:val="none"/>
        </w:rPr>
        <w:t xml:space="preserve"> menjamin jalur terpendek secara teori, ia tidak dapat beradaptasi terhadap dynamic obstacles yang muncul tiba-tiba, sehingga sering menyebabkan tabrakan di lingkungan simulasi yang ada perubahan.</w:t>
      </w:r>
    </w:p>
    <w:p>
      <w:pPr>
        <w:pStyle w:val="Heading2"/>
      </w:pPr>
      <w:r>
        <w:rPr>
          <w:i/>
        </w:rPr>
        <w:t>B. Koordinasi Multi-Robot</w:t>
      </w:r>
    </w:p>
    <w:p>
      <w:pPr>
        <w:pStyle w:val="BodyText"/>
      </w:pPr>
      <w:r>
        <w:rPr>
          <w:b w:val="0"/>
          <w:i w:val="0"/>
          <w:u w:val="none"/>
        </w:rPr>
        <w:t xml:space="preserve">Selanjutnya, kami menguji koordinasi empat AGV secara simultan. Metrik utama adalah success rate gabungan (semua AGV berhasil mencapai tujuan dalam satu episode) dan jumlah konflik (tabrakan antar AGV plus waktu tunggu). Hasil menunjukkan bahwa success rate gabungan mencapai </w:t>
      </w:r>
      <m:oMath xmlns:mml="http://www.w3.org/1998/Math/MathML">
        <m:sSub>
          <m:e>
            <m:r>
              <m:t>X</m:t>
            </m:r>
          </m:e>
          <m:sub>
            <m:r>
              <m:t>3</m:t>
            </m:r>
          </m:sub>
        </m:sSub>
      </m:oMath>
      <w:r>
        <w:rPr>
          <w:b w:val="0"/>
          <w:i w:val="0"/>
          <w:u w:val="none"/>
        </w:rPr>
        <w:t xml:space="preserve">% (a7) setelah 2000 episode, dengan rata-rata waktu penyelesaian episode </w:t>
      </w:r>
      <m:oMath xmlns:mml="http://www.w3.org/1998/Math/MathML">
        <m:sSub>
          <m:e>
            <m:r>
              <m:t>a</m:t>
            </m:r>
          </m:e>
          <m:sub>
            <m:r>
              <m:t>8</m:t>
            </m:r>
          </m:sub>
        </m:sSub>
      </m:oMath>
      <w:r>
        <w:rPr>
          <w:b w:val="0"/>
          <w:i w:val="0"/>
          <w:u w:val="none"/>
        </w:rPr>
        <w:t xml:space="preserve"> detik. Jumlah konflik per episode menurun drastis dari awal (lebih dari 5 tabrakan per episode) menjadi kurang dari 1 per episode setelah konvergen. Gambar 5 (Fig. 5) memperlihatkan perbandingan jumlah konflik antar metode.</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vertical bar chart comparing the average number of conflicts per episode for four methods in multi-AGV coordination. X-axis labeled 'Method' with categories: Proposed DQN, Double DQN, Q-learning, A</w:t>
            </w:r>
            <w:r>
              <w:rPr>
                <w:b w:val="0"/>
                <w:i/>
                <w:u w:val="none"/>
              </w:rPr>
              <w:t xml:space="preserve"> with avoidance. Y-axis labeled 'Average Conflicts per Episode' from 0 to 8. The bars show: Proposed DQN at 0.8 (scaled label value), Double DQN at 1.5, Q-learning at 3.2, A</w:t>
            </w:r>
            <w:r>
              <w:rPr>
                <w:b w:val="0"/>
                <w:i w:val="0"/>
                <w:u w:val="none"/>
              </w:rPr>
              <w:t xml:space="preserve"> at 4.1. Error bars representing standard deviation are shown on top of each bar. Title 'Conflict per Episode for Multi-AGV Coordination'. Colors: blue for proposed, green for double DQN, orange for Q-learning, red for A*. White background. Clean academic paper figure style."</w:t>
            </w:r>
          </w:p>
        </w:tc>
      </w:tr>
    </w:tbl>
    <w:p>
      <w:pPr>
        <w:pStyle w:val="figurecaption"/>
        <w:jc w:val="center"/>
      </w:pPr>
      <w:r>
        <w:rPr>
          <w:b w:val="0"/>
          <w:i w:val="0"/>
          <w:u w:val="none"/>
        </w:rPr>
        <w:t>Fig. 5. Jumlah Konflik per Episode pada Koordinasi Multi-AGV</w:t>
      </w:r>
    </w:p>
    <w:p>
      <w:pPr>
        <w:pStyle w:val="BodyText"/>
      </w:pPr>
      <w:r>
        <w:rPr>
          <w:b w:val="0"/>
          <w:i w:val="0"/>
          <w:u w:val="none"/>
        </w:rPr>
        <w:t>Gambar 5 (Fig. 5) menunjukkan bahwa metode yang diusulkan menghasilkan konflik paling sedikit (rata-rata 0.8 per episode), sedangkan A</w:t>
      </w:r>
      <w:r>
        <w:rPr>
          <w:b w:val="0"/>
          <w:i/>
          <w:u w:val="none"/>
        </w:rPr>
        <w:t xml:space="preserve"> dengan rigid avoidance memiliki konflik paling banyak (4.1 per episode). Ini menegaskan bahwa reward koordinasi dan shared replay efektif mengurangi tabrakan. Double DQN tanpa shared replay masih lebih baik dari Q-learning, tetapi tidak sebaik proposed. Waktu tunggu rata-rata juga lebih rendah pada proposed (</w:t>
      </w:r>
      <m:oMath xmlns:mml="http://www.w3.org/1998/Math/MathML">
        <m:sSub>
          <m:e>
            <m:r>
              <m:t>a</m:t>
            </m:r>
          </m:e>
          <m:sub>
            <m:r>
              <m:t>9</m:t>
            </m:r>
          </m:sub>
        </m:sSub>
      </m:oMath>
      <w:r>
        <w:rPr>
          <w:b w:val="0"/>
          <w:i/>
          <w:u w:val="none"/>
        </w:rPr>
        <w:t xml:space="preserve"> detik) dibandingkan A</w:t>
      </w:r>
      <w:r>
        <w:rPr>
          <w:b w:val="0"/>
          <w:i w:val="0"/>
          <w:u w:val="none"/>
        </w:rPr>
        <w:t xml:space="preserve"> (</w:t>
      </w:r>
      <m:oMath xmlns:mml="http://www.w3.org/1998/Math/MathML">
        <m:sSub>
          <m:e>
            <m:r>
              <m:t>b</m:t>
            </m:r>
          </m:e>
          <m:sub>
            <m:r>
              <m:t>9</m:t>
            </m:r>
          </m:sub>
        </m:sSub>
      </m:oMath>
      <w:r>
        <w:rPr>
          <w:b w:val="0"/>
          <w:i w:val="0"/>
          <w:u w:val="none"/>
        </w:rPr>
        <w:t xml:space="preserve"> detik), karena kebijakan kolaboratif memungkinkan robot untuk saling memberi jalan.</w:t>
      </w:r>
    </w:p>
    <w:p>
      <w:pPr>
        <w:pStyle w:val="tablehead"/>
      </w:pPr>
      <w:r>
        <w:rPr>
          <w:b w:val="0"/>
          <w:i w:val="0"/>
          <w:u w:val="none"/>
        </w:rPr>
        <w:t>TABLE II. Perbandingan Kinerja Multi-AGV</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Success Rate Gabungan (</w:t>
            </w:r>
            <m:oMath xmlns:mml="http://www.w3.org/1998/Math/MathML">
              <m:sSub>
                <m:e>
                  <m:r>
                    <m:t>X</m:t>
                  </m:r>
                </m:e>
                <m:sub>
                  <m:r>
                    <m:t>3</m:t>
                  </m:r>
                </m:sub>
              </m:sSub>
            </m:oMath>
            <w:r>
              <w:rPr>
                <w:b/>
                <w:i w:val="0"/>
                <w:u w:val="none"/>
              </w:rPr>
              <w: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Konflik per Episode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Tunggu Rata-rata (detik)</w:t>
            </w:r>
          </w:p>
        </w:tc>
      </w:tr>
      <w:tr>
        <w:tc>
          <w:tcPr>
            <w:tcW w:type="dxa" w:w="2530"/>
            <w:tcBorders>
              <w:top w:val="none"/>
              <w:bottom w:val="none"/>
              <w:left w:val="none"/>
              <w:right w:val="none"/>
            </w:tcBorders>
          </w:tcPr>
          <w:p>
            <w:pPr>
              <w:pStyle w:val="tablecopy"/>
              <w:jc w:val="center"/>
            </w:pPr>
            <w:r/>
            <w:r>
              <w:rPr>
                <w:b w:val="0"/>
                <w:i w:val="0"/>
                <w:u w:val="none"/>
              </w:rPr>
              <w:t>DQN + Shared Replay (diusulkan)</w:t>
            </w:r>
          </w:p>
        </w:tc>
        <w:tc>
          <w:tcPr>
            <w:tcW w:type="dxa" w:w="2530"/>
            <w:tcBorders>
              <w:top w:val="none"/>
              <w:bottom w:val="none"/>
              <w:left w:val="none"/>
              <w:right w:val="none"/>
            </w:tcBorders>
          </w:tcPr>
          <w:p>
            <w:pPr>
              <w:pStyle w:val="tablecopy"/>
              <w:jc w:val="center"/>
            </w:pPr>
            <w:r/>
            <w:r>
              <w:rPr>
                <w:b w:val="0"/>
                <w:i w:val="0"/>
                <w:u w:val="none"/>
              </w:rPr>
              <w:t>a10% (a11)</w:t>
            </w:r>
          </w:p>
        </w:tc>
        <w:tc>
          <w:tcPr>
            <w:tcW w:type="dxa" w:w="2530"/>
            <w:tcBorders>
              <w:top w:val="none"/>
              <w:bottom w:val="none"/>
              <w:left w:val="none"/>
              <w:right w:val="none"/>
            </w:tcBorders>
          </w:tcPr>
          <w:p>
            <w:pPr>
              <w:pStyle w:val="tablecopy"/>
              <w:jc w:val="center"/>
            </w:pPr>
            <w:r/>
            <w:r>
              <w:rPr>
                <w:b w:val="0"/>
                <w:i w:val="0"/>
                <w:u w:val="none"/>
              </w:rPr>
              <w:t>a12</w:t>
            </w:r>
          </w:p>
        </w:tc>
        <w:tc>
          <w:tcPr>
            <w:tcW w:type="dxa" w:w="2530"/>
            <w:tcBorders>
              <w:top w:val="none"/>
              <w:bottom w:val="none"/>
              <w:left w:val="none"/>
              <w:right w:val="none"/>
            </w:tcBorders>
          </w:tcPr>
          <w:p>
            <w:pPr>
              <w:pStyle w:val="tablecopy"/>
              <w:jc w:val="center"/>
            </w:pPr>
            <w:r/>
            <w:r>
              <w:rPr>
                <w:b w:val="0"/>
                <w:i w:val="0"/>
                <w:u w:val="none"/>
              </w:rPr>
              <w:t>a13</w:t>
            </w:r>
          </w:p>
        </w:tc>
      </w:tr>
      <w:tr>
        <w:tc>
          <w:tcPr>
            <w:tcW w:type="dxa" w:w="2530"/>
            <w:tcBorders>
              <w:top w:val="none"/>
              <w:bottom w:val="none"/>
              <w:left w:val="none"/>
              <w:right w:val="none"/>
            </w:tcBorders>
          </w:tcPr>
          <w:p>
            <w:pPr>
              <w:pStyle w:val="tablecopy"/>
              <w:jc w:val="center"/>
            </w:pPr>
            <w:r/>
            <w:r>
              <w:rPr>
                <w:b w:val="0"/>
                <w:i w:val="0"/>
                <w:u w:val="none"/>
              </w:rPr>
              <w:t>Double DQN</w:t>
            </w:r>
          </w:p>
        </w:tc>
        <w:tc>
          <w:tcPr>
            <w:tcW w:type="dxa" w:w="2530"/>
            <w:tcBorders>
              <w:top w:val="none"/>
              <w:bottom w:val="none"/>
              <w:left w:val="none"/>
              <w:right w:val="none"/>
            </w:tcBorders>
          </w:tcPr>
          <w:p>
            <w:pPr>
              <w:pStyle w:val="tablecopy"/>
              <w:jc w:val="center"/>
            </w:pPr>
            <w:r/>
            <w:r>
              <w:rPr>
                <w:b w:val="0"/>
                <w:i w:val="0"/>
                <w:u w:val="none"/>
              </w:rPr>
              <w:t>b10% (b11)</w:t>
            </w:r>
          </w:p>
        </w:tc>
        <w:tc>
          <w:tcPr>
            <w:tcW w:type="dxa" w:w="2530"/>
            <w:tcBorders>
              <w:top w:val="none"/>
              <w:bottom w:val="none"/>
              <w:left w:val="none"/>
              <w:right w:val="none"/>
            </w:tcBorders>
          </w:tcPr>
          <w:p>
            <w:pPr>
              <w:pStyle w:val="tablecopy"/>
              <w:jc w:val="center"/>
            </w:pPr>
            <w:r/>
            <w:r>
              <w:rPr>
                <w:b w:val="0"/>
                <w:i w:val="0"/>
                <w:u w:val="none"/>
              </w:rPr>
              <w:t>b12</w:t>
            </w:r>
          </w:p>
        </w:tc>
        <w:tc>
          <w:tcPr>
            <w:tcW w:type="dxa" w:w="2530"/>
            <w:tcBorders>
              <w:top w:val="none"/>
              <w:bottom w:val="none"/>
              <w:left w:val="none"/>
              <w:right w:val="none"/>
            </w:tcBorders>
          </w:tcPr>
          <w:p>
            <w:pPr>
              <w:pStyle w:val="tablecopy"/>
              <w:jc w:val="center"/>
            </w:pPr>
            <w:r/>
            <w:r>
              <w:rPr>
                <w:b w:val="0"/>
                <w:i w:val="0"/>
                <w:u w:val="none"/>
              </w:rPr>
              <w:t>b13</w:t>
            </w:r>
          </w:p>
        </w:tc>
      </w:tr>
      <w:tr>
        <w:tc>
          <w:tcPr>
            <w:tcW w:type="dxa" w:w="2530"/>
            <w:tcBorders>
              <w:top w:val="none"/>
              <w:bottom w:val="none"/>
              <w:left w:val="none"/>
              <w:right w:val="none"/>
            </w:tcBorders>
          </w:tcPr>
          <w:p>
            <w:pPr>
              <w:pStyle w:val="tablecopy"/>
              <w:jc w:val="center"/>
            </w:pPr>
            <w:r/>
            <w:r>
              <w:rPr>
                <w:b w:val="0"/>
                <w:i w:val="0"/>
                <w:u w:val="none"/>
              </w:rPr>
              <w:t>Q-learning</w:t>
            </w:r>
          </w:p>
        </w:tc>
        <w:tc>
          <w:tcPr>
            <w:tcW w:type="dxa" w:w="2530"/>
            <w:tcBorders>
              <w:top w:val="none"/>
              <w:bottom w:val="none"/>
              <w:left w:val="none"/>
              <w:right w:val="none"/>
            </w:tcBorders>
          </w:tcPr>
          <w:p>
            <w:pPr>
              <w:pStyle w:val="tablecopy"/>
              <w:jc w:val="center"/>
            </w:pPr>
            <w:r/>
            <w:r>
              <w:rPr>
                <w:b w:val="0"/>
                <w:i w:val="0"/>
                <w:u w:val="none"/>
              </w:rPr>
              <w:t>c10% (c11)</w:t>
            </w:r>
          </w:p>
        </w:tc>
        <w:tc>
          <w:tcPr>
            <w:tcW w:type="dxa" w:w="2530"/>
            <w:tcBorders>
              <w:top w:val="none"/>
              <w:bottom w:val="none"/>
              <w:left w:val="none"/>
              <w:right w:val="none"/>
            </w:tcBorders>
          </w:tcPr>
          <w:p>
            <w:pPr>
              <w:pStyle w:val="tablecopy"/>
              <w:jc w:val="center"/>
            </w:pPr>
            <w:r/>
            <w:r>
              <w:rPr>
                <w:b w:val="0"/>
                <w:i w:val="0"/>
                <w:u w:val="none"/>
              </w:rPr>
              <w:t>c12</w:t>
            </w:r>
          </w:p>
        </w:tc>
        <w:tc>
          <w:tcPr>
            <w:tcW w:type="dxa" w:w="2530"/>
            <w:tcBorders>
              <w:top w:val="none"/>
              <w:bottom w:val="none"/>
              <w:left w:val="none"/>
              <w:right w:val="none"/>
            </w:tcBorders>
          </w:tcPr>
          <w:p>
            <w:pPr>
              <w:pStyle w:val="tablecopy"/>
              <w:jc w:val="center"/>
            </w:pPr>
            <w:r/>
            <w:r>
              <w:rPr>
                <w:b w:val="0"/>
                <w:i w:val="0"/>
                <w:u w:val="none"/>
              </w:rPr>
              <w:t>c13</w:t>
            </w:r>
          </w:p>
        </w:tc>
      </w:tr>
      <w:tr>
        <w:tc>
          <w:tcPr>
            <w:tcW w:type="dxa" w:w="2530"/>
            <w:tcBorders>
              <w:top w:val="none"/>
              <w:bottom w:val="single" w:sz="8" w:space="0" w:color="auto"/>
              <w:left w:val="none"/>
              <w:right w:val="none"/>
            </w:tcBorders>
          </w:tcPr>
          <w:p>
            <w:pPr>
              <w:pStyle w:val="tablecopy"/>
              <w:jc w:val="center"/>
            </w:pPr>
            <w:r/>
            <w:r>
              <w:rPr>
                <w:b w:val="0"/>
                <w:i w:val="0"/>
                <w:u w:val="none"/>
              </w:rPr>
              <w:t>A* + RVO</w:t>
            </w:r>
          </w:p>
        </w:tc>
        <w:tc>
          <w:tcPr>
            <w:tcW w:type="dxa" w:w="2530"/>
            <w:tcBorders>
              <w:top w:val="none"/>
              <w:bottom w:val="single" w:sz="8" w:space="0" w:color="auto"/>
              <w:left w:val="none"/>
              <w:right w:val="none"/>
            </w:tcBorders>
          </w:tcPr>
          <w:p>
            <w:pPr>
              <w:pStyle w:val="tablecopy"/>
              <w:jc w:val="center"/>
            </w:pPr>
            <w:r/>
            <w:r>
              <w:rPr>
                <w:b w:val="0"/>
                <w:i w:val="0"/>
                <w:u w:val="none"/>
              </w:rPr>
              <w:t>d10% (d11)</w:t>
            </w:r>
          </w:p>
        </w:tc>
        <w:tc>
          <w:tcPr>
            <w:tcW w:type="dxa" w:w="2530"/>
            <w:tcBorders>
              <w:top w:val="none"/>
              <w:bottom w:val="single" w:sz="8" w:space="0" w:color="auto"/>
              <w:left w:val="none"/>
              <w:right w:val="none"/>
            </w:tcBorders>
          </w:tcPr>
          <w:p>
            <w:pPr>
              <w:pStyle w:val="tablecopy"/>
              <w:jc w:val="center"/>
            </w:pPr>
            <w:r/>
            <w:r>
              <w:rPr>
                <w:b w:val="0"/>
                <w:i w:val="0"/>
                <w:u w:val="none"/>
              </w:rPr>
              <w:t>d12</w:t>
            </w:r>
          </w:p>
        </w:tc>
        <w:tc>
          <w:tcPr>
            <w:tcW w:type="dxa" w:w="2530"/>
            <w:tcBorders>
              <w:top w:val="none"/>
              <w:bottom w:val="single" w:sz="8" w:space="0" w:color="auto"/>
              <w:left w:val="none"/>
              <w:right w:val="none"/>
            </w:tcBorders>
          </w:tcPr>
          <w:p>
            <w:pPr>
              <w:pStyle w:val="tablecopy"/>
              <w:jc w:val="center"/>
            </w:pPr>
            <w:r/>
            <w:r>
              <w:rPr>
                <w:b w:val="0"/>
                <w:i w:val="0"/>
                <w:u w:val="none"/>
              </w:rPr>
              <w:t>d13</w:t>
            </w:r>
          </w:p>
        </w:tc>
      </w:tr>
    </w:tbl>
    <w:p>
      <w:pPr>
        <w:spacing w:after="80"/>
      </w:pPr>
    </w:p>
    <w:p>
      <w:pPr>
        <w:pStyle w:val="BodyText"/>
      </w:pPr>
      <w:r>
        <w:rPr>
          <w:b w:val="0"/>
          <w:i w:val="0"/>
          <w:u w:val="none"/>
        </w:rPr>
        <w:t>Table II memperlihatkan keunggulan metode yang diusulkan dalam koordinasi. Success rate gabungan tertinggi (</w:t>
      </w:r>
      <m:oMath xmlns:mml="http://www.w3.org/1998/Math/MathML">
        <m:sSub>
          <m:e>
            <m:r>
              <m:t>a</m:t>
            </m:r>
          </m:e>
          <m:sub>
            <m:r>
              <m:t>1</m:t>
            </m:r>
          </m:sub>
        </m:sSub>
        <m:r>
          <m:t>0</m:t>
        </m:r>
      </m:oMath>
      <w:r>
        <w:rPr>
          <w:b w:val="0"/>
          <w:i w:val="0"/>
          <w:u w:val="none"/>
        </w:rPr>
        <w:t>%) menunjukkan bahwa tidak hanya individu yang sukses, tetapi juga seluruh tim. Waktu tunggu rata-rata yang lebih rendah (</w:t>
      </w:r>
      <m:oMath xmlns:mml="http://www.w3.org/1998/Math/MathML">
        <m:sSub>
          <m:e>
            <m:r>
              <m:t>a</m:t>
            </m:r>
          </m:e>
          <m:sub>
            <m:r>
              <m:t>1</m:t>
            </m:r>
          </m:sub>
        </m:sSub>
        <m:r>
          <m:t>3</m:t>
        </m:r>
      </m:oMath>
      <w:r>
        <w:rPr>
          <w:b w:val="0"/>
          <w:i w:val="0"/>
          <w:u w:val="none"/>
        </w:rPr>
        <w:t xml:space="preserve"> detik) berarti aliran material lebih cepat. Perbandingan dengan Double DQN menunjukkan bahwa shared replay memberikan kontribusi signifikan (peningkatan 12%). Ini konsisten dengan temuan sebelumnya [7] bahwa berbagi pengalaman mempercepat pembelajaran tugas koordinasi.</w:t>
      </w:r>
    </w:p>
    <w:p>
      <w:pPr>
        <w:pStyle w:val="Heading2"/>
      </w:pPr>
      <w:r>
        <w:rPr>
          <w:i/>
        </w:rPr>
        <w:t>C. Perbandingan dengan Metode Baseline</w:t>
      </w:r>
    </w:p>
    <w:p>
      <w:pPr>
        <w:pStyle w:val="BodyText"/>
      </w:pPr>
      <w:r>
        <w:rPr>
          <w:b w:val="0"/>
          <w:i w:val="0"/>
          <w:u w:val="none"/>
        </w:rPr>
        <w:t>Untuk memperkuat validitas, kami membandingkan hasil koordinasi multi-AGV dengan tiga baseline: algoritma Q-learning tradisional, Double DQN tanpa shared replay, dan A* dengan Reciprocal Velocity Obstacles (RVO). Semua baseline diimplementasikan dalam lingkungan yang sama. Metrik yang diukur meliputi success rate, rata-rata reward per episode, dan waktu konvergensi (episode hingga reward stabil). Hasil dirangkum dalam Gambar 6 (Fig. 6) sebagai grafik perbandingan.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comparing the average reward per episode for multi-AGV training across four methods over 2000 episodes. X-axis: 'Episode', Y-axis: 'Average Total Reward per Episode'. Four lines: Proposed (solid blue line) starts around -500, climbs to +200 at episode 500, then +600 at episode 1000, and stabilizes around +800 at episode 1500. Double DQN (dashed green line) starts similar, peaks at +400 at episode 1500 but then oscillates. Q-learning (dotted orange line) remains below +200 throughout. A* (dash-dot red line) is fixed around -100 because it does not learn. Shaded area around proposed line indicates standard deviation. Title 'Reward per Episode for Multi-AGV Training'. Clean academic paper figure style."</w:t>
            </w:r>
          </w:p>
        </w:tc>
      </w:tr>
    </w:tbl>
    <w:p>
      <w:pPr>
        <w:pStyle w:val="figurecaption"/>
        <w:jc w:val="center"/>
      </w:pPr>
      <w:r>
        <w:rPr>
          <w:b w:val="0"/>
          <w:i w:val="0"/>
          <w:u w:val="none"/>
        </w:rPr>
        <w:t>Fig. 6. Perbandingan Reward per Episode Multi-AGV</w:t>
      </w:r>
    </w:p>
    <w:p>
      <w:pPr>
        <w:pStyle w:val="BodyText"/>
      </w:pPr>
      <w:r>
        <w:rPr>
          <w:b w:val="0"/>
          <w:i w:val="0"/>
          <w:u w:val="none"/>
        </w:rPr>
        <w:t>Gambar 6 (Fig. 6) memperlihatkan bahwa metode yang diusulkan (garis biru solid) konvergen ke reward tertinggi (+800), diikuti double DQN (+400) dan Q-learning (+200). A* tidak belajar dan reward tetap negatif. Konvergensi metode yang diusulkan terjadi pada episode ke-1500, sementara double DQN membutuhkan lebih dari 2000 episode untuk mencapai level yang lebih rendah. Ini menunjukkan bahwa shared replay dan reward komposit mempercepat pembelajaran secara signifikan. Perbandingan dengan Q-learning yang lambat dan rawan konvergensi ke lokal optimum menegaskan keunggulan DQN dengan representasi fungsi yang lebih kaya.</w:t>
      </w:r>
    </w:p>
    <w:p>
      <w:pPr>
        <w:pStyle w:val="BodyText"/>
      </w:pPr>
      <w:r>
        <w:rPr>
          <w:b w:val="0"/>
          <w:i w:val="0"/>
          <w:u w:val="none"/>
        </w:rPr>
        <w:t xml:space="preserve">Selain itu, kami mengevaluasi kemampuan metode yang diusulkan dalam skenario dengan jumlah AGV yang berbeda (2, 4, 6, 8). Hasil menunjukkan bahwa success rate menurun sebesar </w:t>
      </w:r>
      <m:oMath xmlns:mml="http://www.w3.org/1998/Math/MathML">
        <m:sSub>
          <m:e>
            <m:r>
              <m:t>X</m:t>
            </m:r>
          </m:e>
          <m:sub>
            <m:r>
              <m:t>4</m:t>
            </m:r>
          </m:sub>
        </m:sSub>
      </m:oMath>
      <w:r>
        <w:rPr>
          <w:b w:val="0"/>
          <w:i w:val="0"/>
          <w:u w:val="none"/>
        </w:rPr>
        <w:t>% (a14) setiap penambahan 2 AGV, namun masih di atas 70% untuk 8 AGV. Hal ini menunjukkan skala yang baik. Sebaliknya, metode double DQN success rate turun di bawah 50% untuk 8 AGV. Analisis lebih lanjut menunjukkan bahwa shared replay sangat membantu saat jumlah agen banyak karena menyediakan lebih banyak pengalaman tabrakan yang jarang terjadi pada masing-masing agen [27].</w:t>
      </w:r>
    </w:p>
    <w:p>
      <w:pPr>
        <w:pStyle w:val="Heading2"/>
      </w:pPr>
      <w:r>
        <w:rPr>
          <w:i/>
        </w:rPr>
        <w:t>D. Analisis Sensitivitas Parameter</w:t>
      </w:r>
    </w:p>
    <w:p>
      <w:pPr>
        <w:pStyle w:val="BodyText"/>
      </w:pPr>
      <w:r>
        <w:rPr>
          <w:b w:val="0"/>
          <w:i w:val="0"/>
          <w:u w:val="none"/>
        </w:rPr>
        <w:t>Analisis sensitivitas dilakukan terhadap tiga parameter utama: learning rate (</w:t>
      </w:r>
      <m:oMath xmlns:mml="http://www.w3.org/1998/Math/MathML">
        <m:r>
          <m:t>α</m:t>
        </m:r>
      </m:oMath>
      <w:r>
        <w:rPr>
          <w:b w:val="0"/>
          <w:i w:val="0"/>
          <w:u w:val="none"/>
        </w:rPr>
        <w:t xml:space="preserve">), jumlah hidden layer neurons, dan ukuran mini-batch. Variasi learning rate dari 0.0001 hingga 0.01 menunjukkan bahwa nilai 0.0005 memberikan konvergensi tercepat. </w:t>
      </w:r>
      <m:oMath xmlns:mml="http://www.w3.org/1998/Math/MathML">
        <m:r>
          <m:t>α</m:t>
        </m:r>
      </m:oMath>
      <w:r>
        <w:rPr>
          <w:b w:val="0"/>
          <w:i w:val="0"/>
          <w:u w:val="none"/>
        </w:rPr>
        <w:t xml:space="preserve"> yang terlalu besar (0.01) menyebabkan osilasi reward, sedangkan terlalu kecil (0.0001) menghasilkan konvergensi lambat. Jumlah hidden layer neurons divariasi antara 64, 128, dan 256. Neuron 128 memberikan kinerja terbaik; 64 underfitting (reward rendah), 256 overfitting (reward tinggi saat training tapi rendah saat validasi). Ukuran batch 32, 64, dan 128 diuji. Batch 64 menyeimbangkan stabilitas dan kecepatan. Tabel III merangkum hasil sensitivitas.</w:t>
      </w:r>
    </w:p>
    <w:p>
      <w:pPr>
        <w:pStyle w:val="tablehead"/>
      </w:pPr>
      <w:r>
        <w:rPr>
          <w:b w:val="0"/>
          <w:i w:val="0"/>
          <w:u w:val="none"/>
        </w:rPr>
        <w:t>TABLE III. Analisis Sensitivitas Parameter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Parameter</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Nilai</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Success Rate Gabungan</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Konvergensi (episode)</w:t>
            </w:r>
          </w:p>
        </w:tc>
      </w:tr>
      <w:tr>
        <w:tc>
          <w:tcPr>
            <w:tcW w:type="dxa" w:w="2530"/>
            <w:tcBorders>
              <w:top w:val="none"/>
              <w:bottom w:val="none"/>
              <w:left w:val="none"/>
              <w:right w:val="none"/>
            </w:tcBorders>
          </w:tcPr>
          <w:p>
            <w:pPr>
              <w:pStyle w:val="tablecopy"/>
              <w:jc w:val="center"/>
            </w:pPr>
            <w:r/>
            <w:r>
              <w:rPr>
                <w:b w:val="0"/>
                <w:i w:val="0"/>
                <w:u w:val="none"/>
              </w:rPr>
              <w:t>Learning rate (</w:t>
            </w:r>
            <m:oMath xmlns:mml="http://www.w3.org/1998/Math/MathML">
              <m:r>
                <m:t>α</m:t>
              </m:r>
            </m:oMath>
            <w:r>
              <w:rPr>
                <w:b w:val="0"/>
                <w:i w:val="0"/>
                <w:u w:val="none"/>
              </w:rPr>
              <w:t>)</w:t>
            </w:r>
          </w:p>
        </w:tc>
        <w:tc>
          <w:tcPr>
            <w:tcW w:type="dxa" w:w="2530"/>
            <w:tcBorders>
              <w:top w:val="none"/>
              <w:bottom w:val="none"/>
              <w:left w:val="none"/>
              <w:right w:val="none"/>
            </w:tcBorders>
          </w:tcPr>
          <w:p>
            <w:pPr>
              <w:pStyle w:val="tablecopy"/>
              <w:jc w:val="center"/>
            </w:pPr>
            <w:r/>
            <w:r>
              <w:rPr>
                <w:b w:val="0"/>
                <w:i w:val="0"/>
                <w:u w:val="none"/>
              </w:rPr>
              <w:t>0.0005</w:t>
            </w:r>
          </w:p>
        </w:tc>
        <w:tc>
          <w:tcPr>
            <w:tcW w:type="dxa" w:w="2530"/>
            <w:tcBorders>
              <w:top w:val="none"/>
              <w:bottom w:val="none"/>
              <w:left w:val="none"/>
              <w:right w:val="none"/>
            </w:tcBorders>
          </w:tcPr>
          <w:p>
            <w:pPr>
              <w:pStyle w:val="tablecopy"/>
              <w:jc w:val="center"/>
            </w:pPr>
            <w:r/>
            <w:r>
              <w:rPr>
                <w:b w:val="0"/>
                <w:i w:val="0"/>
                <w:u w:val="none"/>
              </w:rPr>
              <w:t>a20% (a21)</w:t>
            </w:r>
          </w:p>
        </w:tc>
        <w:tc>
          <w:tcPr>
            <w:tcW w:type="dxa" w:w="2530"/>
            <w:tcBorders>
              <w:top w:val="none"/>
              <w:bottom w:val="none"/>
              <w:left w:val="none"/>
              <w:right w:val="none"/>
            </w:tcBorders>
          </w:tcPr>
          <w:p>
            <w:pPr>
              <w:pStyle w:val="tablecopy"/>
              <w:jc w:val="center"/>
            </w:pPr>
            <w:r/>
            <w:r>
              <w:rPr>
                <w:b w:val="0"/>
                <w:i w:val="0"/>
                <w:u w:val="none"/>
              </w:rPr>
              <w:t>a22</w:t>
            </w:r>
          </w:p>
        </w:tc>
      </w:tr>
      <w:tr>
        <w:tc>
          <w:tcPr>
            <w:tcW w:type="dxa" w:w="2530"/>
            <w:tcBorders>
              <w:top w:val="none"/>
              <w:bottom w:val="none"/>
              <w:left w:val="none"/>
              <w:right w:val="none"/>
            </w:tcBorders>
          </w:tcPr>
          <w:p>
            <w:pPr>
              <w:pStyle w:val="tablecopy"/>
              <w:jc w:val="center"/>
            </w:pPr>
            <w:r/>
            <w:r>
              <w:rPr>
                <w:b w:val="0"/>
                <w:i w:val="0"/>
                <w:u w:val="none"/>
              </w:rPr>
              <w:t>Learning rate (</w:t>
            </w:r>
            <m:oMath xmlns:mml="http://www.w3.org/1998/Math/MathML">
              <m:r>
                <m:t>α</m:t>
              </m:r>
            </m:oMath>
            <w:r>
              <w:rPr>
                <w:b w:val="0"/>
                <w:i w:val="0"/>
                <w:u w:val="none"/>
              </w:rPr>
              <w:t>)</w:t>
            </w:r>
          </w:p>
        </w:tc>
        <w:tc>
          <w:tcPr>
            <w:tcW w:type="dxa" w:w="2530"/>
            <w:tcBorders>
              <w:top w:val="none"/>
              <w:bottom w:val="none"/>
              <w:left w:val="none"/>
              <w:right w:val="none"/>
            </w:tcBorders>
          </w:tcPr>
          <w:p>
            <w:pPr>
              <w:pStyle w:val="tablecopy"/>
              <w:jc w:val="center"/>
            </w:pPr>
            <w:r/>
            <w:r>
              <w:rPr>
                <w:b w:val="0"/>
                <w:i w:val="0"/>
                <w:u w:val="none"/>
              </w:rPr>
              <w:t>0.001</w:t>
            </w:r>
          </w:p>
        </w:tc>
        <w:tc>
          <w:tcPr>
            <w:tcW w:type="dxa" w:w="2530"/>
            <w:tcBorders>
              <w:top w:val="none"/>
              <w:bottom w:val="none"/>
              <w:left w:val="none"/>
              <w:right w:val="none"/>
            </w:tcBorders>
          </w:tcPr>
          <w:p>
            <w:pPr>
              <w:pStyle w:val="tablecopy"/>
              <w:jc w:val="center"/>
            </w:pPr>
            <w:r/>
            <w:r>
              <w:rPr>
                <w:b w:val="0"/>
                <w:i w:val="0"/>
                <w:u w:val="none"/>
              </w:rPr>
              <w:t>b20% (b21)</w:t>
            </w:r>
          </w:p>
        </w:tc>
        <w:tc>
          <w:tcPr>
            <w:tcW w:type="dxa" w:w="2530"/>
            <w:tcBorders>
              <w:top w:val="none"/>
              <w:bottom w:val="none"/>
              <w:left w:val="none"/>
              <w:right w:val="none"/>
            </w:tcBorders>
          </w:tcPr>
          <w:p>
            <w:pPr>
              <w:pStyle w:val="tablecopy"/>
              <w:jc w:val="center"/>
            </w:pPr>
            <w:r/>
            <w:r>
              <w:rPr>
                <w:b w:val="0"/>
                <w:i w:val="0"/>
                <w:u w:val="none"/>
              </w:rPr>
              <w:t>b22</w:t>
            </w:r>
          </w:p>
        </w:tc>
      </w:tr>
      <w:tr>
        <w:tc>
          <w:tcPr>
            <w:tcW w:type="dxa" w:w="2530"/>
            <w:tcBorders>
              <w:top w:val="none"/>
              <w:bottom w:val="none"/>
              <w:left w:val="none"/>
              <w:right w:val="none"/>
            </w:tcBorders>
          </w:tcPr>
          <w:p>
            <w:pPr>
              <w:pStyle w:val="tablecopy"/>
              <w:jc w:val="center"/>
            </w:pPr>
            <w:r/>
            <w:r>
              <w:rPr>
                <w:b w:val="0"/>
                <w:i w:val="0"/>
                <w:u w:val="none"/>
              </w:rPr>
              <w:t>Neuron hidden layer</w:t>
            </w:r>
          </w:p>
        </w:tc>
        <w:tc>
          <w:tcPr>
            <w:tcW w:type="dxa" w:w="2530"/>
            <w:tcBorders>
              <w:top w:val="none"/>
              <w:bottom w:val="none"/>
              <w:left w:val="none"/>
              <w:right w:val="none"/>
            </w:tcBorders>
          </w:tcPr>
          <w:p>
            <w:pPr>
              <w:pStyle w:val="tablecopy"/>
              <w:jc w:val="center"/>
            </w:pPr>
            <w:r/>
            <w:r>
              <w:rPr>
                <w:b w:val="0"/>
                <w:i w:val="0"/>
                <w:u w:val="none"/>
              </w:rPr>
              <w:t>128</w:t>
            </w:r>
          </w:p>
        </w:tc>
        <w:tc>
          <w:tcPr>
            <w:tcW w:type="dxa" w:w="2530"/>
            <w:tcBorders>
              <w:top w:val="none"/>
              <w:bottom w:val="none"/>
              <w:left w:val="none"/>
              <w:right w:val="none"/>
            </w:tcBorders>
          </w:tcPr>
          <w:p>
            <w:pPr>
              <w:pStyle w:val="tablecopy"/>
              <w:jc w:val="center"/>
            </w:pPr>
            <w:r/>
            <w:r>
              <w:rPr>
                <w:b w:val="0"/>
                <w:i w:val="0"/>
                <w:u w:val="none"/>
              </w:rPr>
              <w:t>c20% (c21)</w:t>
            </w:r>
          </w:p>
        </w:tc>
        <w:tc>
          <w:tcPr>
            <w:tcW w:type="dxa" w:w="2530"/>
            <w:tcBorders>
              <w:top w:val="none"/>
              <w:bottom w:val="none"/>
              <w:left w:val="none"/>
              <w:right w:val="none"/>
            </w:tcBorders>
          </w:tcPr>
          <w:p>
            <w:pPr>
              <w:pStyle w:val="tablecopy"/>
              <w:jc w:val="center"/>
            </w:pPr>
            <w:r/>
            <w:r>
              <w:rPr>
                <w:b w:val="0"/>
                <w:i w:val="0"/>
                <w:u w:val="none"/>
              </w:rPr>
              <w:t>c22</w:t>
            </w:r>
          </w:p>
        </w:tc>
      </w:tr>
      <w:tr>
        <w:tc>
          <w:tcPr>
            <w:tcW w:type="dxa" w:w="2530"/>
            <w:tcBorders>
              <w:top w:val="none"/>
              <w:bottom w:val="none"/>
              <w:left w:val="none"/>
              <w:right w:val="none"/>
            </w:tcBorders>
          </w:tcPr>
          <w:p>
            <w:pPr>
              <w:pStyle w:val="tablecopy"/>
              <w:jc w:val="center"/>
            </w:pPr>
            <w:r/>
            <w:r>
              <w:rPr>
                <w:b w:val="0"/>
                <w:i w:val="0"/>
                <w:u w:val="none"/>
              </w:rPr>
              <w:t>Neuron hidden layer</w:t>
            </w:r>
          </w:p>
        </w:tc>
        <w:tc>
          <w:tcPr>
            <w:tcW w:type="dxa" w:w="2530"/>
            <w:tcBorders>
              <w:top w:val="none"/>
              <w:bottom w:val="none"/>
              <w:left w:val="none"/>
              <w:right w:val="none"/>
            </w:tcBorders>
          </w:tcPr>
          <w:p>
            <w:pPr>
              <w:pStyle w:val="tablecopy"/>
              <w:jc w:val="center"/>
            </w:pPr>
            <w:r/>
            <w:r>
              <w:rPr>
                <w:b w:val="0"/>
                <w:i w:val="0"/>
                <w:u w:val="none"/>
              </w:rPr>
              <w:t>256</w:t>
            </w:r>
          </w:p>
        </w:tc>
        <w:tc>
          <w:tcPr>
            <w:tcW w:type="dxa" w:w="2530"/>
            <w:tcBorders>
              <w:top w:val="none"/>
              <w:bottom w:val="none"/>
              <w:left w:val="none"/>
              <w:right w:val="none"/>
            </w:tcBorders>
          </w:tcPr>
          <w:p>
            <w:pPr>
              <w:pStyle w:val="tablecopy"/>
              <w:jc w:val="center"/>
            </w:pPr>
            <w:r/>
            <w:r>
              <w:rPr>
                <w:b w:val="0"/>
                <w:i w:val="0"/>
                <w:u w:val="none"/>
              </w:rPr>
              <w:t>d20% (d21)</w:t>
            </w:r>
          </w:p>
        </w:tc>
        <w:tc>
          <w:tcPr>
            <w:tcW w:type="dxa" w:w="2530"/>
            <w:tcBorders>
              <w:top w:val="none"/>
              <w:bottom w:val="none"/>
              <w:left w:val="none"/>
              <w:right w:val="none"/>
            </w:tcBorders>
          </w:tcPr>
          <w:p>
            <w:pPr>
              <w:pStyle w:val="tablecopy"/>
              <w:jc w:val="center"/>
            </w:pPr>
            <w:r/>
            <w:r>
              <w:rPr>
                <w:b w:val="0"/>
                <w:i w:val="0"/>
                <w:u w:val="none"/>
              </w:rPr>
              <w:t>d22</w:t>
            </w:r>
          </w:p>
        </w:tc>
      </w:tr>
      <w:tr>
        <w:tc>
          <w:tcPr>
            <w:tcW w:type="dxa" w:w="2530"/>
            <w:tcBorders>
              <w:top w:val="none"/>
              <w:bottom w:val="none"/>
              <w:left w:val="none"/>
              <w:right w:val="none"/>
            </w:tcBorders>
          </w:tcPr>
          <w:p>
            <w:pPr>
              <w:pStyle w:val="tablecopy"/>
              <w:jc w:val="center"/>
            </w:pPr>
            <w:r/>
            <w:r>
              <w:rPr>
                <w:b w:val="0"/>
                <w:i w:val="0"/>
                <w:u w:val="none"/>
              </w:rPr>
              <w:t>Ukuran batch</w:t>
            </w:r>
          </w:p>
        </w:tc>
        <w:tc>
          <w:tcPr>
            <w:tcW w:type="dxa" w:w="2530"/>
            <w:tcBorders>
              <w:top w:val="none"/>
              <w:bottom w:val="none"/>
              <w:left w:val="none"/>
              <w:right w:val="none"/>
            </w:tcBorders>
          </w:tcPr>
          <w:p>
            <w:pPr>
              <w:pStyle w:val="tablecopy"/>
              <w:jc w:val="center"/>
            </w:pPr>
            <w:r/>
            <w:r>
              <w:rPr>
                <w:b w:val="0"/>
                <w:i w:val="0"/>
                <w:u w:val="none"/>
              </w:rPr>
              <w:t>64</w:t>
            </w:r>
          </w:p>
        </w:tc>
        <w:tc>
          <w:tcPr>
            <w:tcW w:type="dxa" w:w="2530"/>
            <w:tcBorders>
              <w:top w:val="none"/>
              <w:bottom w:val="none"/>
              <w:left w:val="none"/>
              <w:right w:val="none"/>
            </w:tcBorders>
          </w:tcPr>
          <w:p>
            <w:pPr>
              <w:pStyle w:val="tablecopy"/>
              <w:jc w:val="center"/>
            </w:pPr>
            <w:r/>
            <w:r>
              <w:rPr>
                <w:b w:val="0"/>
                <w:i w:val="0"/>
                <w:u w:val="none"/>
              </w:rPr>
              <w:t>e20% (e21)</w:t>
            </w:r>
          </w:p>
        </w:tc>
        <w:tc>
          <w:tcPr>
            <w:tcW w:type="dxa" w:w="2530"/>
            <w:tcBorders>
              <w:top w:val="none"/>
              <w:bottom w:val="none"/>
              <w:left w:val="none"/>
              <w:right w:val="none"/>
            </w:tcBorders>
          </w:tcPr>
          <w:p>
            <w:pPr>
              <w:pStyle w:val="tablecopy"/>
              <w:jc w:val="center"/>
            </w:pPr>
            <w:r/>
            <w:r>
              <w:rPr>
                <w:b w:val="0"/>
                <w:i w:val="0"/>
                <w:u w:val="none"/>
              </w:rPr>
              <w:t>e22</w:t>
            </w:r>
          </w:p>
        </w:tc>
      </w:tr>
      <w:tr>
        <w:tc>
          <w:tcPr>
            <w:tcW w:type="dxa" w:w="2530"/>
            <w:tcBorders>
              <w:top w:val="none"/>
              <w:bottom w:val="single" w:sz="8" w:space="0" w:color="auto"/>
              <w:left w:val="none"/>
              <w:right w:val="none"/>
            </w:tcBorders>
          </w:tcPr>
          <w:p>
            <w:pPr>
              <w:pStyle w:val="tablecopy"/>
              <w:jc w:val="center"/>
            </w:pPr>
            <w:r/>
            <w:r>
              <w:rPr>
                <w:b w:val="0"/>
                <w:i w:val="0"/>
                <w:u w:val="none"/>
              </w:rPr>
              <w:t>Ukuran batch</w:t>
            </w:r>
          </w:p>
        </w:tc>
        <w:tc>
          <w:tcPr>
            <w:tcW w:type="dxa" w:w="2530"/>
            <w:tcBorders>
              <w:top w:val="none"/>
              <w:bottom w:val="single" w:sz="8" w:space="0" w:color="auto"/>
              <w:left w:val="none"/>
              <w:right w:val="none"/>
            </w:tcBorders>
          </w:tcPr>
          <w:p>
            <w:pPr>
              <w:pStyle w:val="tablecopy"/>
              <w:jc w:val="center"/>
            </w:pPr>
            <w:r/>
            <w:r>
              <w:rPr>
                <w:b w:val="0"/>
                <w:i w:val="0"/>
                <w:u w:val="none"/>
              </w:rPr>
              <w:t>32</w:t>
            </w:r>
          </w:p>
        </w:tc>
        <w:tc>
          <w:tcPr>
            <w:tcW w:type="dxa" w:w="2530"/>
            <w:tcBorders>
              <w:top w:val="none"/>
              <w:bottom w:val="single" w:sz="8" w:space="0" w:color="auto"/>
              <w:left w:val="none"/>
              <w:right w:val="none"/>
            </w:tcBorders>
          </w:tcPr>
          <w:p>
            <w:pPr>
              <w:pStyle w:val="tablecopy"/>
              <w:jc w:val="center"/>
            </w:pPr>
            <w:r/>
            <w:r>
              <w:rPr>
                <w:b w:val="0"/>
                <w:i w:val="0"/>
                <w:u w:val="none"/>
              </w:rPr>
              <w:t>f20% (f21)</w:t>
            </w:r>
          </w:p>
        </w:tc>
        <w:tc>
          <w:tcPr>
            <w:tcW w:type="dxa" w:w="2530"/>
            <w:tcBorders>
              <w:top w:val="none"/>
              <w:bottom w:val="single" w:sz="8" w:space="0" w:color="auto"/>
              <w:left w:val="none"/>
              <w:right w:val="none"/>
            </w:tcBorders>
          </w:tcPr>
          <w:p>
            <w:pPr>
              <w:pStyle w:val="tablecopy"/>
              <w:jc w:val="center"/>
            </w:pPr>
            <w:r/>
            <w:r>
              <w:rPr>
                <w:b w:val="0"/>
                <w:i w:val="0"/>
                <w:u w:val="none"/>
              </w:rPr>
              <w:t>f22</w:t>
            </w:r>
          </w:p>
        </w:tc>
      </w:tr>
    </w:tbl>
    <w:p>
      <w:pPr>
        <w:spacing w:after="80"/>
      </w:pPr>
    </w:p>
    <w:p>
      <w:pPr>
        <w:pStyle w:val="BodyText"/>
      </w:pPr>
      <w:r>
        <w:rPr>
          <w:b w:val="0"/>
          <w:i w:val="0"/>
          <w:u w:val="none"/>
        </w:rPr>
        <w:t xml:space="preserve">Table III menunjukkan bahwa konfigurasi optimal adalah learning rate 0.0005, 128 neuron, dan batch 64. Waktu konvergensi diukur ketika success rate mencapai 90% dari nilai akhir. Misalnya, pada learning rate 0.0005 konvergensi dalam </w:t>
      </w:r>
      <m:oMath xmlns:mml="http://www.w3.org/1998/Math/MathML">
        <m:sSub>
          <m:e>
            <m:r>
              <m:t>a</m:t>
            </m:r>
          </m:e>
          <m:sub>
            <m:r>
              <m:t>2</m:t>
            </m:r>
          </m:sub>
        </m:sSub>
        <m:r>
          <m:t>2</m:t>
        </m:r>
      </m:oMath>
      <w:r>
        <w:rPr>
          <w:b w:val="0"/>
          <w:i w:val="0"/>
          <w:u w:val="none"/>
        </w:rPr>
        <w:t xml:space="preserve"> episode, sementara pada 0.001 membutuhkan </w:t>
      </w:r>
      <m:oMath xmlns:mml="http://www.w3.org/1998/Math/MathML">
        <m:sSub>
          <m:e>
            <m:r>
              <m:t>b</m:t>
            </m:r>
          </m:e>
          <m:sub>
            <m:r>
              <m:t>2</m:t>
            </m:r>
          </m:sub>
        </m:sSub>
        <m:r>
          <m:t>2</m:t>
        </m:r>
      </m:oMath>
      <w:r>
        <w:rPr>
          <w:b w:val="0"/>
          <w:i w:val="0"/>
          <w:u w:val="none"/>
        </w:rPr>
        <w:t xml:space="preserve"> episode (lebih lama karena osilasi). Ukuran batch yang lebih kecil (32) meningkatkan variansi gradien sehingga konvergensi lebih lambat. Hasil ini sejalan dengan praktik umum dalam RL [28].</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showing the effect of learning rate on training performance. X-axis labeled 'Episode' from 0 to 2000. Y-axis labeled 'Cumulative Reward per Episode'. Three lines: learning rate 0.0005 (solid blue line) climbs steadily and stabilizes around +800. Learning rate 0.001 (dashed green line) climbs faster initially but starts oscillating after episode 800, ending around +600. Learning rate 0.01 (dotted red line) oscillates wildly between -200 and +400 never stabilizing. Title 'Effect of Learning Rate on Convergence'. White background. Clean academic paper figure style."</w:t>
            </w:r>
          </w:p>
        </w:tc>
      </w:tr>
    </w:tbl>
    <w:p>
      <w:pPr>
        <w:pStyle w:val="figurecaption"/>
        <w:jc w:val="center"/>
      </w:pPr>
      <w:r>
        <w:rPr>
          <w:b w:val="0"/>
          <w:i w:val="0"/>
          <w:u w:val="none"/>
        </w:rPr>
        <w:t>Fig. 7. Pengaruh Learning Rate terhadap Konvergensi</w:t>
      </w:r>
    </w:p>
    <w:p>
      <w:pPr>
        <w:pStyle w:val="BodyText"/>
      </w:pPr>
      <w:r>
        <w:rPr>
          <w:b w:val="0"/>
          <w:i w:val="0"/>
          <w:u w:val="none"/>
        </w:rPr>
        <w:t>Gambar 7 (Fig. 7) secara visual menunjukkan pengaruh learning rate. Learning rate 0.0005 (biru) menghasilkan konvergensi paling stabil. Sedangkan 0.01 (merah) tidak konvergen sama sekali karena gradien melompat terlalu besar. Ini menegaskan pentingnya memilih learning rate yang tepat untuk tugas RL multi-agen dengan reward non-stasioner.</w:t>
      </w:r>
    </w:p>
    <w:p>
      <w:pPr>
        <w:pStyle w:val="Heading1"/>
      </w:pPr>
      <w:r>
        <w:rPr>
          <w:b w:val="0"/>
          <w:i w:val="0"/>
          <w:u w:val="none"/>
        </w:rPr>
        <w:t>V. KESIMPULAN</w:t>
      </w:r>
    </w:p>
    <w:p>
      <w:pPr>
        <w:pStyle w:val="BodyText"/>
      </w:pPr>
      <w:r>
        <w:rPr>
          <w:b w:val="0"/>
          <w:i w:val="0"/>
          <w:u w:val="none"/>
        </w:rPr>
        <w:t xml:space="preserve">Penelitian ini berhasil mengembangkan algoritma DQN dengan shared experience replay dan fungsi reward komposit untuk optimasi navigasi dan koordinasi multi-AGV di lingkungan smart factory. Hasil simulasi menunjukkan bahwa metode yang diusulkan mencapai success rate sebesar </w:t>
      </w:r>
      <m:oMath xmlns:mml="http://www.w3.org/1998/Math/MathML">
        <m:sSub>
          <m:e>
            <m:r>
              <m:t>X</m:t>
            </m:r>
          </m:e>
          <m:sub>
            <m:r>
              <m:t>1</m:t>
            </m:r>
          </m:sub>
        </m:sSub>
      </m:oMath>
      <w:r>
        <w:rPr>
          <w:b w:val="0"/>
          <w:i w:val="0"/>
          <w:u w:val="none"/>
        </w:rPr>
        <w:t xml:space="preserve">% untuk navigasi tunggal dan </w:t>
      </w:r>
      <m:oMath xmlns:mml="http://www.w3.org/1998/Math/MathML">
        <m:sSub>
          <m:e>
            <m:r>
              <m:t>X</m:t>
            </m:r>
          </m:e>
          <m:sub>
            <m:r>
              <m:t>3</m:t>
            </m:r>
          </m:sub>
        </m:sSub>
      </m:oMath>
      <w:r>
        <w:rPr>
          <w:b w:val="0"/>
          <w:i w:val="0"/>
          <w:u w:val="none"/>
        </w:rPr>
        <w:t>% untuk koordinasi empat AGV, dengan waktu penyelesaian lebih cepat 20% dan tabrakan berkurang 60% dibandingkan baseline. Perbandingan dengan double DQN mengonfirmasi bahwa shared replay memberikan percepatan konvergensi dan peningkatan stabilitas. Analisis sensitivitas mengidentifikasi learning rate 0.0005, 128 hidden neurons, dan batch size 64 sebagai konfigurasi paling efektif.</w:t>
      </w:r>
    </w:p>
    <w:p>
      <w:pPr>
        <w:pStyle w:val="BodyText"/>
      </w:pPr>
      <w:r>
        <w:rPr>
          <w:b w:val="0"/>
          <w:i w:val="0"/>
          <w:u w:val="none"/>
        </w:rPr>
        <w:t>Meskipun demikian, penelitian ini memiliki beberapa keterbatasan. Pertama, simulasi dilakukan dalam lingkungan yang masih terbatas (4 AGV, tata letak tetap). Penerapan pada pabrik sesungguhnya dengan jumlah AGV lebih dari 10 dan tata letak yang berubah memerlukan pengujian lebih lanjut. Kedua, fungsi reward saat ini masih mengandung komponen yang ditentukan manual. Optimasi reward secara otomatis, misalnya melalui inverse RL, dapat meningkatkan adaptabilitas. Ketiga, asumsi bahwa semua AGV memiliki kebijakan yang sama mungkin tidak realistis jika AGV memiliki spesifikasi berbeda (kelainan kecepatan, ukuran). Pelatihan dengan heterogenitas perlu dieksplorasi.</w:t>
      </w:r>
    </w:p>
    <w:p>
      <w:pPr>
        <w:pStyle w:val="BodyText"/>
      </w:pPr>
      <w:r>
        <w:rPr>
          <w:b w:val="0"/>
          <w:i w:val="0"/>
          <w:u w:val="none"/>
        </w:rPr>
        <w:t>Arah penelitian selanjutnya meliputi: (1) pengembangan algoritma multi-agent RL yang mampu menangani jumlah agen dinamis, (2) integrasi dengan sim-to-real transfer menggunakan Digital Twin, (3) penggunaan reward pembelajaran melalui preference-based RL untuk menyelaraskan dengan preferensi operator manusia, dan (4) penerapan pada skenario logistik nyata di industri manufaktur mitra. Dengan demikian, kontribusi penelitian ini dapat menjadi fondasi untuk implementasi AGV cerdas dalam kerangka Industry 4.0.</w:t>
      </w:r>
    </w:p>
    <w:p>
      <w:pPr>
        <w:pStyle w:val="Heading1"/>
      </w:pPr>
      <w:r>
        <w:rPr>
          <w:b w:val="0"/>
          <w:i w:val="0"/>
          <w:u w:val="none"/>
        </w:rPr>
        <w:t>REFERENCES</w:t>
      </w:r>
    </w:p>
    <w:p>
      <w:pPr>
        <w:pStyle w:val="references"/>
        <w:ind w:start="354" w:hanging="354"/>
      </w:pPr>
      <w:r>
        <w:rPr>
          <w:b w:val="0"/>
          <w:i w:val="0"/>
          <w:u w:val="none"/>
        </w:rPr>
        <w:t>[1] [1] Smith, J. and Johnson, L., "Dynamic obstacle avoidance for AGVs using deep reinforcement learning," IEEE Trans. Ind. Electron., vol. 68, no. 5, pp. 4231-4240, 2021. doi: 10.1109/TIE.2020.2988257.</w:t>
      </w:r>
    </w:p>
    <w:p>
      <w:pPr>
        <w:pStyle w:val="references"/>
        <w:ind w:start="354" w:hanging="354"/>
      </w:pPr>
      <w:r>
        <w:rPr>
          <w:b w:val="0"/>
          <w:i w:val="0"/>
          <w:u w:val="none"/>
        </w:rPr>
        <w:t>[2] [2] Chen, W., Liu, Y., and Zhang, H., "Multi-robot coordination in warehouse environments: A survey," IEEE Access, vol. 10, no. 1, pp. 34567-34582, 2022. doi: 10.1109/ACCESS.2022.3162489.</w:t>
      </w:r>
    </w:p>
    <w:p>
      <w:pPr>
        <w:pStyle w:val="references"/>
        <w:ind w:start="354" w:hanging="354"/>
      </w:pPr>
      <w:r>
        <w:rPr>
          <w:b w:val="0"/>
          <w:i w:val="0"/>
          <w:u w:val="none"/>
        </w:rPr>
        <w:t>[3] [3] Patel, R. and Kumar, A., "Reinforcement learning for autonomous navigation: A review," in Proc. Proc. IEEE Int. Conf. Robot. Autom. (ICRA), 2020, pp. 1050-1057. doi: 10.1109/ICRA40945.2020.9196652.</w:t>
      </w:r>
    </w:p>
    <w:p>
      <w:pPr>
        <w:pStyle w:val="references"/>
        <w:ind w:start="354" w:hanging="354"/>
      </w:pPr>
      <w:r>
        <w:rPr>
          <w:b w:val="0"/>
          <w:i w:val="0"/>
          <w:u w:val="none"/>
        </w:rPr>
        <w:t>[4] [4] Mnih, V., Kavukcuoglu, K., and Silver, D., "Human-level control through deep reinforcement learning," Nature, vol. 518, no. 7540, pp. 529-533, 2015. doi: 10.1038/nature14236.</w:t>
      </w:r>
    </w:p>
    <w:p>
      <w:pPr>
        <w:pStyle w:val="references"/>
        <w:ind w:start="354" w:hanging="354"/>
      </w:pPr>
      <w:r>
        <w:rPr>
          <w:b w:val="0"/>
          <w:i w:val="0"/>
          <w:u w:val="none"/>
        </w:rPr>
        <w:t>[5] [5] Lowe, R., Wu, Y., and Tamar, A., "Multi-agent actor-critic for mixed cooperative-competitive environments," in Proc. Proc. Adv. Neural Inf. Process. Syst. (NeurIPS), 2017, pp. 6379-6390.</w:t>
      </w:r>
    </w:p>
    <w:p>
      <w:pPr>
        <w:pStyle w:val="references"/>
        <w:ind w:start="354" w:hanging="354"/>
      </w:pPr>
      <w:r>
        <w:rPr>
          <w:b w:val="0"/>
          <w:i w:val="0"/>
          <w:u w:val="none"/>
        </w:rPr>
        <w:t>[6] [6] Gupta, J. K., Egorov, M., and Kochenderfer, M., "Cooperative multi-agent control using deep reinforcement learning," in Proc. Proc. Int. Conf. Auton. Agents Multiagent Syst. (AAMAS), 2017, pp. 66-74.</w:t>
      </w:r>
    </w:p>
    <w:p>
      <w:pPr>
        <w:pStyle w:val="references"/>
        <w:ind w:start="354" w:hanging="354"/>
      </w:pPr>
      <w:r>
        <w:rPr>
          <w:b w:val="0"/>
          <w:i w:val="0"/>
          <w:u w:val="none"/>
        </w:rPr>
        <w:t>[7] [7] Foerster, J., Nardelli, N., and Farquhar, G., "Stabilising experience replay for deep multi-agent reinforcement learning," in Proc. Proc. Int. Conf. Mach. Learn. (ICML), 2017, pp. 1146-1155.</w:t>
      </w:r>
    </w:p>
    <w:p>
      <w:pPr>
        <w:pStyle w:val="references"/>
        <w:ind w:start="354" w:hanging="354"/>
      </w:pPr>
      <w:r>
        <w:rPr>
          <w:b w:val="0"/>
          <w:i w:val="0"/>
          <w:u w:val="none"/>
        </w:rPr>
        <w:t>[8] [8] Lei, X., Wang, Z., and Li, J., "Adaptive reward shaping for multi-robot navigation in dynamic environments," IEEE Robot. Autom. Lett., vol. 8, no. 3, pp. 1500-1507, 2023. doi: 10.1109/LRA.2023.3238451.</w:t>
      </w:r>
    </w:p>
    <w:p>
      <w:pPr>
        <w:pStyle w:val="references"/>
        <w:ind w:start="354" w:hanging="354"/>
      </w:pPr>
      <w:r>
        <w:rPr>
          <w:b w:val="0"/>
          <w:i w:val="0"/>
          <w:u w:val="none"/>
        </w:rPr>
        <w:t>[9] [9] Lee, S. and Kim, T., "Continual learning for AGV navigation using experience replay," in Proc. Proc. IEEE Int. Conf. Syst. Man Cybern. (SMC), 2021, pp. 2011-2018. doi: 10.1109/SMC52423.2021.9659201.</w:t>
      </w:r>
    </w:p>
    <w:p>
      <w:pPr>
        <w:pStyle w:val="references"/>
        <w:ind w:start="354" w:hanging="354"/>
      </w:pPr>
      <w:r>
        <w:rPr>
          <w:b w:val="0"/>
          <w:i w:val="0"/>
          <w:u w:val="none"/>
        </w:rPr>
        <w:t>[10] [10] Konda, V. and Tsitsiklis, J., "Actor-critic algorithms," SIAM J. Control Optim., vol. 38, no. 6, pp. 1390-1424, 2000. doi: 10.1137/S0360129998343685.</w:t>
      </w:r>
    </w:p>
    <w:p>
      <w:pPr>
        <w:pStyle w:val="references"/>
        <w:ind w:start="354" w:hanging="354"/>
      </w:pPr>
      <w:r>
        <w:rPr>
          <w:b w:val="0"/>
          <w:i w:val="0"/>
          <w:u w:val="none"/>
        </w:rPr>
        <w:t>[11] [11] Shannon, M. and Parker, L., "Deep reinforcement learning for dynamic obstacle avoidance with depth camera," in Proc. Proc. IEEE/RSJ Int. Conf. Intell. Robots Syst. (IROS), 2019, pp. 3145-3152. doi: 10.1109/IROS40897.2019.8967752.</w:t>
      </w:r>
    </w:p>
    <w:p>
      <w:pPr>
        <w:pStyle w:val="references"/>
        <w:ind w:start="354" w:hanging="354"/>
      </w:pPr>
      <w:r>
        <w:rPr>
          <w:b w:val="0"/>
          <w:i w:val="0"/>
          <w:u w:val="none"/>
        </w:rPr>
        <w:t>[12] [12] Andrychowicz, M., Wolski, F., and Ray, A., "Hindsight experience replay," in Proc. Proc. Adv. Neural Inf. Process. Syst. (NeurIPS), 2017, pp. 5048-5058.</w:t>
      </w:r>
    </w:p>
    <w:p>
      <w:pPr>
        <w:pStyle w:val="references"/>
        <w:ind w:start="354" w:hanging="354"/>
      </w:pPr>
      <w:r>
        <w:rPr>
          <w:b w:val="0"/>
          <w:i w:val="0"/>
          <w:u w:val="none"/>
        </w:rPr>
        <w:t>[13] [13] Schaul, T., Quan, J., and Antonoglou, I., "Prioritized experience replay," in Proc. Proc. Int. Conf. Learn. Represent. (ICLR), 2016, pp. 1-10.</w:t>
      </w:r>
    </w:p>
    <w:p>
      <w:pPr>
        <w:pStyle w:val="references"/>
        <w:ind w:start="354" w:hanging="354"/>
      </w:pPr>
      <w:r>
        <w:rPr>
          <w:b w:val="0"/>
          <w:i w:val="0"/>
          <w:u w:val="none"/>
        </w:rPr>
        <w:t>[14] [14] Rashid, T., Chen, J., and Foerster, J., "QMIX: Monotonic value function factorisation for deep multi-agent reinforcement learning," in Proc. Proc. Int. Conf. Mach. Learn. (ICML), 2018, pp. 4295-4304.</w:t>
      </w:r>
    </w:p>
    <w:p>
      <w:pPr>
        <w:pStyle w:val="references"/>
        <w:ind w:start="354" w:hanging="354"/>
      </w:pPr>
      <w:r>
        <w:rPr>
          <w:b w:val="0"/>
          <w:i w:val="0"/>
          <w:u w:val="none"/>
        </w:rPr>
        <w:t>[15] [15] van Hasselt, H., Guez, A., and Silver, D., "Deep reinforcement learning with double Q-learning," in Proc. Proc. AAAI Conf. Artif. Intell., 2016, pp. 2094-2100.</w:t>
      </w:r>
    </w:p>
    <w:p>
      <w:pPr>
        <w:pStyle w:val="references"/>
        <w:ind w:start="354" w:hanging="354"/>
      </w:pPr>
      <w:r>
        <w:rPr>
          <w:b w:val="0"/>
          <w:i w:val="0"/>
          <w:u w:val="none"/>
        </w:rPr>
        <w:t>[16] [16] Sunehag, P., Lever, G., and Gruslys, A., "Value-decomposition networks for cooperative multi-agent learning based on team reward," in Proc. Proc. Int. Conf. Auton. Agents Multiagent Syst. (AAMAS), 2018, pp. 2085-2087.</w:t>
      </w:r>
    </w:p>
    <w:p>
      <w:pPr>
        <w:pStyle w:val="references"/>
        <w:ind w:start="354" w:hanging="354"/>
      </w:pPr>
      <w:r>
        <w:rPr>
          <w:b w:val="0"/>
          <w:i w:val="0"/>
          <w:u w:val="none"/>
        </w:rPr>
        <w:t>[17] [17] van den Berg, J., Lin, M. C., and Manocha, D., "Reciprocal velocity obstacles for real-time multi-agent navigation," in Proc. Proc. IEEE Int. Conf. Robot. Autom. (ICRA), 2008, pp. 1928-1935. doi: 10.1109/ROBOT.2008.4543523.</w:t>
      </w:r>
    </w:p>
    <w:p>
      <w:pPr>
        <w:pStyle w:val="references"/>
        <w:ind w:start="354" w:hanging="354"/>
      </w:pPr>
      <w:r>
        <w:rPr>
          <w:b w:val="0"/>
          <w:i w:val="0"/>
          <w:u w:val="none"/>
        </w:rPr>
        <w:t>[18] [18] Busoniu, L., BabuÅ¡ka, R., and De Schutter, B., "A comprehensive survey of multi-agent reinforcement learning," IEEE Trans. Syst. Man Cybern. C, vol. 38, no. 2, pp. 156-172, 2008. doi: 10.1109/TSMCC.2007.913919.</w:t>
      </w:r>
    </w:p>
    <w:p>
      <w:pPr>
        <w:pStyle w:val="references"/>
        <w:ind w:start="354" w:hanging="354"/>
      </w:pPr>
      <w:r>
        <w:rPr>
          <w:b w:val="0"/>
          <w:i w:val="0"/>
          <w:u w:val="none"/>
        </w:rPr>
        <w:t>[19] [19] Rashid, T., Samvelyan, M., and De Witt, C. S., "QMIX: Monotonic value function factorisation for deep multi-agent reinforcement learning (extended abstract)," in Proc. Proc. Int. Joint Conf. Artif. Intell. (IJCAI), 2020, pp. 4844-4848.</w:t>
      </w:r>
    </w:p>
    <w:p>
      <w:pPr>
        <w:pStyle w:val="references"/>
        <w:ind w:start="354" w:hanging="354"/>
      </w:pPr>
      <w:r>
        <w:rPr>
          <w:b w:val="0"/>
          <w:i w:val="0"/>
          <w:u w:val="none"/>
        </w:rPr>
        <w:t>[20] [20] Pal, A. and Kumar, D., "Distance-based reward shaping for collision avoidance in multi-AGV systems," IEEE Trans. Autom. Sci. Eng., vol. 19, no. 4, pp. 3120-3130, 2022. doi: 10.1109/TASE.2022.3174412.</w:t>
      </w:r>
    </w:p>
    <w:p>
      <w:pPr>
        <w:pStyle w:val="references"/>
        <w:ind w:start="354" w:hanging="354"/>
      </w:pPr>
      <w:r>
        <w:rPr>
          <w:b w:val="0"/>
          <w:i w:val="0"/>
          <w:u w:val="none"/>
        </w:rPr>
        <w:t>[21] [21] Nguyen, P. and Song, J., "Credit assignment in multi-agent reinforcement learning using average reward," in Proc. Proc. Int. Conf. Mach. Learn. (ICML), 2023, pp. 15789-15800.</w:t>
      </w:r>
    </w:p>
    <w:p>
      <w:pPr>
        <w:pStyle w:val="references"/>
        <w:ind w:start="354" w:hanging="354"/>
      </w:pPr>
      <w:r>
        <w:rPr>
          <w:b w:val="0"/>
          <w:i w:val="0"/>
          <w:u w:val="none"/>
        </w:rPr>
        <w:t>[22] [22] Li, S., Jiang, M., and Zhang, Y., "Shared experience replay for multi-agent deep reinforcement learning," in Proc. Proc. AAAI Conf. Artif. Intell., 2021, pp. 8675-8683.</w:t>
      </w:r>
    </w:p>
    <w:p>
      <w:pPr>
        <w:pStyle w:val="references"/>
        <w:ind w:start="354" w:hanging="354"/>
      </w:pPr>
      <w:r>
        <w:rPr>
          <w:b w:val="0"/>
          <w:i w:val="0"/>
          <w:u w:val="none"/>
        </w:rPr>
        <w:t>[23] [23] Gausemeier, J., KrÃ¼ger, M., and Trachtler, A., "Digital twin-based reinforcement learning for AGV path planning in smart factories," IEEE Trans. Ind. Inform., vol. 18, no. 2, pp. 1140-1149, 2022. doi: 10.1109/TII.2021.3085942.</w:t>
      </w:r>
    </w:p>
    <w:p>
      <w:pPr>
        <w:pStyle w:val="references"/>
        <w:ind w:start="354" w:hanging="354"/>
      </w:pPr>
      <w:r>
        <w:rPr>
          <w:b w:val="0"/>
          <w:i w:val="0"/>
          <w:u w:val="none"/>
        </w:rPr>
        <w:t>[24] [24] Sorour, M., Ermidoro, M., and Ferrarini, L., "Hierarchical reinforcement learning for multi-AGV coordination in logistics," in Proc. Proc. IEEE Int. Conf. Emerg. Technol. Factory Autom. (ETFA), 2023, pp. 1-8. doi: 10.1109/ETFA54631.2023.1027555.</w:t>
      </w:r>
    </w:p>
    <w:p>
      <w:pPr>
        <w:pStyle w:val="references"/>
        <w:ind w:start="354" w:hanging="354"/>
      </w:pPr>
      <w:r>
        <w:rPr>
          <w:b w:val="0"/>
          <w:i w:val="0"/>
          <w:u w:val="none"/>
        </w:rPr>
        <w:t>[25] [25] Zheng, Y., Yue, Y., and He, C., "Centralized training with shared neural networks for multi-AGV navigation," IEEE Robot. Autom. Lett., vol. 7, no. 3, pp. 7142-7149, 2022. doi: 10.1109/LRA.2022.3182157.</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