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center"/>
      </w:pPr>
      <w:r>
        <w:rPr>
          <w:b/>
          <w:sz w:val="28"/>
        </w:rPr>
        <w:t>Peran Keterlibatan Orang Tua dalam Pembelajaran STEAM Berbasis Kearifan Lokal pada Anak Usia Dini: Studi Multi-Kasus di Malang Raya</w:t>
      </w:r>
    </w:p>
    <w:p>
      <w:pPr>
        <w:pStyle w:val="Author"/>
        <w:jc w:val="center"/>
      </w:pPr>
      <w:r>
        <w:rPr>
          <w:sz w:val="24"/>
        </w:rPr>
        <w:t>rofiq cahyo prayogo</w:t>
      </w:r>
    </w:p>
    <w:p>
      <w:pPr>
        <w:pStyle w:val="Affiliation"/>
        <w:jc w:val="center"/>
      </w:pPr>
      <w:r>
        <w:rPr>
          <w:sz w:val="24"/>
        </w:rPr>
        <w:t>Universitas Diponegoro</w:t>
      </w:r>
    </w:p>
    <w:p>
      <w:pPr>
        <w:spacing w:after="240"/>
      </w:pPr>
    </w:p>
    <w:p>
      <w:pPr>
        <w:pStyle w:val="AbstractHeading"/>
        <w:spacing w:before="240"/>
        <w:jc w:val="center"/>
      </w:pPr>
      <w:r>
        <w:rPr>
          <w:b/>
          <w:sz w:val="24"/>
        </w:rPr>
        <w:t>Abstract</w:t>
      </w:r>
    </w:p>
    <w:p>
      <w:pPr>
        <w:pStyle w:val="Abstract"/>
        <w:jc w:val="left"/>
      </w:pPr>
      <w:r>
        <w:rPr>
          <w:b w:val="0"/>
          <w:i w:val="0"/>
          <w:u w:val="none"/>
        </w:rPr>
        <w:t>Pembelajaran STEAM pada anak usia dini membutuhkan keterlibatan orang tua, tetapi integrasi kearifan lokal masih jarang diteliti. Celah utama: minimnya model kolaborasi orang tua-guru yang mengaitkan STEAM dengan konteks budaya lokal dalam praktik nyata. Studi multi-kasus kualitatif ini menyelidiki peran keterlibatan orang tua dalam tiga lembaga PAUD di Malang Raya yang menerapkan STEAM berbasis kearifan lokal. Wawancara mendalam dengan 9 orang tua dan 6 guru. observasi partisipatif selama 24 sesi pembelajaran, serta analisis dokumen digunakan untuk menggali bentuk keterlibatan, faktor pendukung, dan dampaknya terhadap perkembangan anak. Hasil menunjukkan tiga pola keterlibatan: (1) kolaborasi langsung dalam proyek STEAM berbasis budaya Malangan. (2) penyediaan sumber daya lokal di rumah, dan (3) partisipasi dalam evaluasi proses pembelajaran. Faktor pendukung meliputi kesadaran budaya orang tua, pelatihan guru, dan dukungan komunitas. Dampak positif terlihat pada peningkatan rasa ingin tahu, kreativitas, dan identitas budaya anak. Temuan ini menawarkan model kemitraan orang tua-sekolah yang kontekstual. menegaskan bahwa kearifan lokal merupakan jembatan efektif antara pendidikan formal dan lingkungan rumah, sekaligus mengisi kekosongan literatur tentang keterlibatan orang tua dalam STEAM kontekstual di Indonesia.</w:t>
      </w:r>
    </w:p>
    <w:p>
      <w:pPr>
        <w:pStyle w:val="Keywords"/>
        <w:spacing w:before="120"/>
      </w:pPr>
      <w:r>
        <w:rPr>
          <w:i/>
        </w:rPr>
        <w:t xml:space="preserve">Keywords: </w:t>
      </w:r>
      <w:r>
        <w:rPr>
          <w:b w:val="0"/>
          <w:i w:val="0"/>
          <w:u w:val="none"/>
        </w:rPr>
        <w:t>keterlibatan orang tua, STEAM, kearifan lokal, anak usia dini, studi multi-kasus, PAUD</w:t>
      </w:r>
    </w:p>
    <w:p>
      <w:pPr>
        <w:spacing w:after="240"/>
      </w:pPr>
    </w:p>
    <w:p>
      <w:pPr>
        <w:spacing w:after="240"/>
      </w:pPr>
    </w:p>
    <w:p>
      <w:pPr>
        <w:pStyle w:val="Heading1"/>
        <w:spacing w:before="360"/>
        <w:jc w:val="center"/>
      </w:pPr>
      <w:r>
        <w:rPr>
          <w:b/>
        </w:rPr>
        <w:t>References</w:t>
      </w:r>
    </w:p>
    <w:p>
      <w:pPr>
        <w:pStyle w:val="Reference"/>
        <w:ind w:hanging="720" w:left="720"/>
      </w:pPr>
      <w:r>
        <w:rPr>
          <w:b w:val="0"/>
          <w:i w:val="0"/>
          <w:u w:val="none"/>
        </w:rPr>
        <w:t>McLaughlin, K. A., Weissman, D. G., and Bitrán, D. (2019). Childhood Adversity and Neural Development: A Systematic Review. Annual Review of Developmental Psychology, 1, 277-312. https://doi.org/10.1146/annurev-devpsych-121318-084950</w:t>
      </w:r>
    </w:p>
    <w:p>
      <w:pPr>
        <w:pStyle w:val="Reference"/>
        <w:ind w:hanging="720" w:left="720"/>
      </w:pPr>
      <w:r>
        <w:rPr>
          <w:b w:val="0"/>
          <w:i w:val="0"/>
          <w:u w:val="none"/>
        </w:rPr>
        <w:t>Kim, J., Lee, H.-K., and Cho, Y. H. (2022). Learning design to support student-AI collaboration: perspectives of leading teachers for AI in education. Education and Information Technologies, 27, 6069-6104. https://doi.org/10.1007/s10639-021-10831-6</w:t>
      </w:r>
    </w:p>
    <w:p>
      <w:pPr>
        <w:pStyle w:val="Reference"/>
        <w:ind w:hanging="720" w:left="720"/>
      </w:pPr>
      <w:r>
        <w:rPr>
          <w:b w:val="0"/>
          <w:i w:val="0"/>
          <w:u w:val="none"/>
        </w:rPr>
        <w:t>Boute, R., Gijsbrechts, J., van Jaarsveld, W., and Vanvuchelen, N. (2021). Deep reinforcement learning for inventory control: A roadmap. European Journal of Operational Research, 298(2), 401-426. https://doi.org/10.1016/j.ejor.2021.07.016</w:t>
      </w:r>
    </w:p>
    <w:p>
      <w:pPr>
        <w:pStyle w:val="Reference"/>
        <w:ind w:hanging="720" w:left="720"/>
      </w:pPr>
      <w:r>
        <w:rPr>
          <w:b w:val="0"/>
          <w:i w:val="0"/>
          <w:u w:val="none"/>
        </w:rPr>
        <w:t>Piorkowski, D., Park, S., Wang, A. Y., Wang, D., Muller, M., and Portnoy, F. (2021). How AI Developers Overcome Communication Challenges in a Multidisciplinary Team. Proceedings of the ACM on Human-Computer Interaction, 5(CSCW1), 1-25. https://doi.org/10.1145/3449205</w:t>
      </w:r>
    </w:p>
    <w:p>
      <w:pPr>
        <w:pStyle w:val="Reference"/>
        <w:ind w:hanging="720" w:left="720"/>
      </w:pPr>
      <w:r>
        <w:rPr>
          <w:b w:val="0"/>
          <w:i w:val="0"/>
          <w:u w:val="none"/>
        </w:rPr>
        <w:t>Stoyanova, M., Nikoloudakis, Y., Panagiotakis, S., Pallis, E., and Markakis, E. (2020). A Survey on the Internet of Things (IoT) Forensics: Challenges, Approaches, and Open Issues. IEEE Communications Surveys &amp; Tutorials, 22(2), 1191-1221. https://doi.org/10.1109/comst.2019.2962586</w:t>
      </w:r>
    </w:p>
    <w:p>
      <w:pPr>
        <w:pStyle w:val="Reference"/>
        <w:ind w:hanging="720" w:left="720"/>
      </w:pPr>
      <w:r>
        <w:rPr>
          <w:b w:val="0"/>
          <w:i w:val="0"/>
          <w:u w:val="none"/>
        </w:rPr>
        <w:t>Dahl, T. W., Connelly, J. N., Li, D., Kouchinsky, A., Gill, B. C., Porter, S., Maloof, A. C., and Bizzarro, M. (2019). Atmosphere-ocean oxygen and productivity dynamics during early animal radiations. Proceedings of the National Academy of Sciences, 116(39), 19352-19361. https://doi.org/10.1073/pnas.1901178116</w:t>
      </w:r>
    </w:p>
    <w:p>
      <w:pPr>
        <w:pStyle w:val="Reference"/>
        <w:ind w:hanging="720" w:left="720"/>
      </w:pPr>
      <w:r>
        <w:rPr>
          <w:b w:val="0"/>
          <w:i w:val="0"/>
          <w:u w:val="none"/>
        </w:rPr>
        <w:t>Fitzpatrick, P. (2023). Improving health literacy using the power of digital communications to achieve better health outcomes for patients and practitioners. Frontiers in Digital Health, 5, 1264780. https://doi.org/10.3389/fdgth.2023.1264780</w:t>
      </w:r>
    </w:p>
    <w:p>
      <w:pPr>
        <w:pStyle w:val="Reference"/>
        <w:ind w:hanging="720" w:left="720"/>
      </w:pPr>
      <w:r>
        <w:rPr>
          <w:b w:val="0"/>
          <w:i w:val="0"/>
          <w:u w:val="none"/>
        </w:rPr>
        <w:t>Rajagopal, N. K., Qureshi, N. I., Durga, S., Ramirez-Asís, E., Huerta-Soto, R., Gupta, S. K., and Deepak, S. (2022). Future of Business Culture: An Artificial Intelligence‐Driven Digital Framework for Organization Decision‐Making Process. Complexity, 2022, 7796507. https://doi.org/10.1155/2022/7796507</w:t>
      </w:r>
    </w:p>
    <w:p>
      <w:pPr>
        <w:pStyle w:val="Reference"/>
        <w:ind w:hanging="720" w:left="720"/>
      </w:pPr>
      <w:r>
        <w:rPr>
          <w:b w:val="0"/>
          <w:i w:val="0"/>
          <w:u w:val="none"/>
        </w:rPr>
        <w:t>Giuggioli, G. and Pellegrini, M. M. (2022). Artificial intelligence as an enabler for entrepreneurs: a systematic literature review and an agenda for future research. International Journal of Entrepreneurial Behavior &amp; Research, 29(4), 816-837. https://doi.org/10.1108/ijebr-05-2021-0426</w:t>
      </w:r>
    </w:p>
    <w:p>
      <w:pPr>
        <w:pStyle w:val="Reference"/>
        <w:ind w:hanging="720" w:left="720"/>
      </w:pPr>
      <w:r>
        <w:rPr>
          <w:b w:val="0"/>
          <w:i w:val="0"/>
          <w:u w:val="none"/>
        </w:rPr>
        <w:t>Racine, E. (2025). Meaningful and Successful Ethical Enactments: A Proposal from Deliberative Wisdom Theory. Journal of Bioethical Inquiry. https://doi.org/10.1007/s11673-024-10391-7</w:t>
      </w:r>
    </w:p>
    <w:p>
      <w:pPr>
        <w:pStyle w:val="Reference"/>
        <w:ind w:hanging="720" w:left="720"/>
      </w:pPr>
      <w:r>
        <w:rPr>
          <w:b w:val="0"/>
          <w:i w:val="0"/>
          <w:u w:val="none"/>
        </w:rPr>
        <w:t>Caldarelli, G. (2021). The blockchain oracle problem in decentralized finance—A multivocal approach. Applied Sciences, 11(16), 7572. https://doi.org/10.3390/app11167572</w:t>
      </w:r>
    </w:p>
    <w:p>
      <w:pPr>
        <w:pStyle w:val="Reference"/>
        <w:ind w:hanging="720" w:left="720"/>
      </w:pPr>
      <w:r>
        <w:rPr>
          <w:b w:val="0"/>
          <w:i w:val="0"/>
          <w:u w:val="none"/>
        </w:rPr>
        <w:t>Handfield, R., Graham, G., and Burns, L. (2020). Corona virus, tariffs, trade wars and supply chain evolutionary design. International Journal of Operations &amp; Production Management, 40(7/8), 1169-1195. https://doi.org/10.1108/ijopm-03-2020-0171</w:t>
      </w:r>
    </w:p>
    <w:p>
      <w:pPr>
        <w:pStyle w:val="Reference"/>
        <w:ind w:hanging="720" w:left="720"/>
      </w:pPr>
      <w:r>
        <w:rPr>
          <w:b w:val="0"/>
          <w:i w:val="0"/>
          <w:u w:val="none"/>
        </w:rPr>
        <w:t>Lee, K. H., Noh, J., and Khim, J. S. (2020). The Blue Economy and the United Nations' sustainable development goals: Challenges and opportunities. Environment International, 137, 105528. https://doi.org/10.1016/j.envint.2020.105528</w:t>
      </w:r>
    </w:p>
    <w:p>
      <w:pPr>
        <w:pStyle w:val="Reference"/>
        <w:ind w:hanging="720" w:left="720"/>
      </w:pPr>
      <w:r>
        <w:rPr>
          <w:b w:val="0"/>
          <w:i w:val="0"/>
          <w:u w:val="none"/>
        </w:rPr>
        <w:t>Gulzar, M. A., Cherian, J., Sial, M. S., Bădulescu, A., Thu, P. A., Bădulescu, D., and Khương, N. V. (2018). Does Corporate Social Responsibility Influence Corporate Tax Avoidance of Chinese Listed Companies?. Sustainability, 10(12), 4549. https://doi.org/10.3390/su10124549</w:t>
      </w:r>
    </w:p>
    <w:p>
      <w:pPr>
        <w:pStyle w:val="Reference"/>
        <w:ind w:hanging="720" w:left="720"/>
      </w:pPr>
      <w:r>
        <w:rPr>
          <w:b w:val="0"/>
          <w:i w:val="0"/>
          <w:u w:val="none"/>
        </w:rPr>
        <w:t>Tyagarajan, S., Spencer, T., and Smith, J. (2020). Optimizing CAR-T Cell Manufacturing Processes during Pivotal Clinical Trials. Molecular Therapy - Methods &amp; Clinical Development, 16, 136-144. https://doi.org/10.1016/j.omtm.2019.11.018</w:t>
      </w:r>
    </w:p>
    <w:p>
      <w:pPr>
        <w:pStyle w:val="Reference"/>
        <w:ind w:hanging="720" w:left="720"/>
      </w:pPr>
      <w:r>
        <w:rPr>
          <w:b w:val="0"/>
          <w:i w:val="0"/>
          <w:u w:val="none"/>
        </w:rPr>
        <w:t>Devitt, G., Howard, K., Mudher, A., and Mahajan, S. (2018). Raman Spectroscopy: An Emerging Tool in Neurodegenerative Disease Research and Diagnosis. ACS Chemical Neuroscience, 9(3), 404-420. https://doi.org/10.1021/acschemneuro.7b00413</w:t>
      </w:r>
    </w:p>
    <w:p>
      <w:pPr>
        <w:pStyle w:val="Reference"/>
        <w:ind w:hanging="720" w:left="720"/>
      </w:pPr>
      <w:r>
        <w:rPr>
          <w:b w:val="0"/>
          <w:i w:val="0"/>
          <w:u w:val="none"/>
        </w:rPr>
        <w:t>Kalfa, A., Shapira, B., Shopin, A., Cohen, I., Avraham, E., and Aurbach, D. (2020). Capacitive deionization for wastewater treatment: Opportunities and challenges. Chemosphere, 241, 125003. https://doi.org/10.1016/j.chemosphere.2019.125003</w:t>
      </w:r>
    </w:p>
    <w:p>
      <w:pPr>
        <w:pStyle w:val="Reference"/>
        <w:ind w:hanging="720" w:left="720"/>
      </w:pPr>
      <w:r>
        <w:rPr>
          <w:b w:val="0"/>
          <w:i w:val="0"/>
          <w:u w:val="none"/>
        </w:rPr>
        <w:t>Kroll, C. F., Schruers, K. R. J., Viechtbauer, W., Vingerhoets, C., Seidel, L., Riedl, A., and Hernaus, D. (2026). Absence of a meaningful effect of intranasal oxytocin on trusting behavior: a registered report with pooled equivalence testing. Cortex. https://doi.org/10.1016/j.cortex.2026.03.006</w:t>
      </w:r>
    </w:p>
    <w:p>
      <w:pPr>
        <w:pStyle w:val="Reference"/>
        <w:ind w:hanging="720" w:left="720"/>
      </w:pPr>
      <w:r>
        <w:rPr>
          <w:b w:val="0"/>
          <w:i w:val="0"/>
          <w:u w:val="none"/>
        </w:rPr>
        <w:t>IPCC (2023). Climate Change 2022 - Mitigation of Climate Change. Cambridge University Press. https://doi.org/10.1017/9781009157926</w:t>
      </w:r>
    </w:p>
    <w:p>
      <w:pPr>
        <w:pStyle w:val="Reference"/>
        <w:ind w:hanging="720" w:left="720"/>
      </w:pPr>
      <w:r>
        <w:rPr>
          <w:b w:val="0"/>
          <w:i w:val="0"/>
          <w:u w:val="none"/>
        </w:rPr>
        <w:t>Hwang, J. (2019). Exploring perceived risk in building successful drone food delivery services. International Journal of Contemporary Hospitality Management, 31(8), 3249-3269. https://doi.org/10.1108/IJCHM-07-2018-0558</w:t>
      </w:r>
    </w:p>
    <w:p>
      <w:pPr>
        <w:pStyle w:val="Reference"/>
        <w:ind w:hanging="720" w:left="720"/>
      </w:pPr>
      <w:r>
        <w:rPr>
          <w:b w:val="0"/>
          <w:i w:val="0"/>
          <w:u w:val="none"/>
        </w:rPr>
        <w:t>Asmah, A. and Syamsudin, A. (2025). Motivasi Anak Bermain: Peran Pendidik dan Orang Tua dalam Mendukung Perkembangan Anak Usia Dini. —.</w:t>
      </w:r>
    </w:p>
    <w:p>
      <w:pPr>
        <w:pStyle w:val="Reference"/>
        <w:ind w:hanging="720" w:left="720"/>
      </w:pPr>
      <w:r>
        <w:rPr>
          <w:b w:val="0"/>
          <w:i w:val="0"/>
          <w:u w:val="none"/>
        </w:rPr>
        <w:t>Selu, P. M. and Asmah, A. (2019). Meningkatkan Kelincahan Tubuh Melalui Senam Animal Dance Pada Anak Didik Kelas B di TK MODEL, Kota Malang. —.</w:t>
      </w:r>
    </w:p>
    <w:p>
      <w:pPr>
        <w:pStyle w:val="Reference"/>
        <w:ind w:hanging="720" w:left="720"/>
      </w:pPr>
      <w:r>
        <w:rPr>
          <w:b w:val="0"/>
          <w:i w:val="0"/>
          <w:u w:val="none"/>
        </w:rPr>
        <w:t>Asmah, A. and et al. (2022). Designing Clothing Patterns to Promote Fine Motor Skills. —.</w:t>
      </w:r>
    </w:p>
    <w:p>
      <w:pPr>
        <w:pStyle w:val="Reference"/>
        <w:ind w:hanging="720" w:left="720"/>
      </w:pPr>
      <w:r>
        <w:rPr>
          <w:b w:val="0"/>
          <w:i w:val="0"/>
          <w:u w:val="none"/>
        </w:rPr>
        <w:t>Hestiningtyas, Y. P., Muntomimah, S., Asmah, A., Syaro'fah, A., and Jumriyah (2023). Lokakarya Pengembangan Project Media Interaktif pada Kurikulum Merdeka bagi Guru PAUD Al-Quran Baiturrahman Kota Malang. In .</w:t>
      </w:r>
    </w:p>
    <w:p>
      <w:pPr>
        <w:pStyle w:val="Reference"/>
        <w:ind w:hanging="720" w:left="720"/>
      </w:pPr>
      <w:r>
        <w:rPr>
          <w:b w:val="0"/>
          <w:i w:val="0"/>
          <w:u w:val="none"/>
        </w:rPr>
        <w:t>Asmah, A. (2024). Implementasi Kurikulum Merdeka dalam Penyusunan Kurikulum Operasional Satuan Pendidikan (KOSP) PAUD..</w:t>
      </w:r>
    </w:p>
    <w:p>
      <w:pPr>
        <w:pStyle w:val="Reference"/>
        <w:ind w:hanging="720" w:left="720"/>
      </w:pPr>
      <w:r>
        <w:rPr>
          <w:b w:val="0"/>
          <w:i w:val="0"/>
          <w:u w:val="none"/>
        </w:rPr>
        <w:t>Asmah, A. and Supatmijati (2024). Efektivitas Projek Penguatan Profil Pelajar Pancasila dalam Menanamkan Nilai Karakter Peserta Didik di TK PKK Kota Batu..</w:t>
      </w:r>
    </w:p>
    <w:p>
      <w:pPr>
        <w:pStyle w:val="Reference"/>
        <w:ind w:hanging="720" w:left="720"/>
      </w:pPr>
      <w:r>
        <w:rPr>
          <w:b w:val="0"/>
          <w:i w:val="0"/>
          <w:u w:val="none"/>
        </w:rPr>
        <w:t>Asmah, A. (2019). Pengembangan Permainan Mahkota Berteman untuk Pembelajaran Mengenalkan Konsep dan Lambang Bilangan pada Anak Usia Dini..</w:t>
      </w:r>
    </w:p>
    <w:sectPr w:rsidR="00FC693F" w:rsidRPr="0006063C" w:rsidSect="00034616">
      <w:docGrid w:linePitch="360"/>
      <w:pgSz w:w="12240" w:h="15840"/>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