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jc w:val="center"/>
      </w:pPr>
      <w:r>
        <w:rPr>
          <w:rFonts w:ascii="Times New Roman" w:hAnsi="Times New Roman" w:cs="Times New Roman"/>
          <w:b/>
          <w:i w:val="0"/>
          <w:sz w:val="28"/>
        </w:rPr>
        <w:t>MACHINE LEARNING APPLICATIONS IN HEALTHCARE: A COMPREHENSIVE REVIEW</w:t>
      </w:r>
    </w:p>
    <w:p>
      <w:pPr>
        <w:spacing w:before="0" w:after="60"/>
        <w:jc w:val="center"/>
      </w:pPr>
      <w:r>
        <w:rPr>
          <w:rFonts w:ascii="Times New Roman" w:hAnsi="Times New Roman" w:cs="Times New Roman"/>
          <w:b w:val="0"/>
          <w:i w:val="0"/>
          <w:sz w:val="22"/>
        </w:rPr>
        <w:t>John Smith</w:t>
      </w:r>
      <w:r>
        <w:rPr>
          <w:rFonts w:ascii="Times New Roman" w:hAnsi="Times New Roman" w:cs="Times New Roman"/>
          <w:b w:val="0"/>
          <w:i w:val="0"/>
          <w:sz w:val="22"/>
          <w:vertAlign w:val="superscript"/>
        </w:rPr>
        <w:t>1</w:t>
      </w:r>
      <w:r>
        <w:rPr>
          <w:rFonts w:ascii="Times New Roman" w:hAnsi="Times New Roman" w:cs="Times New Roman"/>
          <w:b w:val="0"/>
          <w:i w:val="0"/>
          <w:sz w:val="22"/>
        </w:rPr>
        <w:t xml:space="preserve">, </w:t>
      </w:r>
      <w:r>
        <w:rPr>
          <w:rFonts w:ascii="Times New Roman" w:hAnsi="Times New Roman" w:cs="Times New Roman"/>
          <w:b w:val="0"/>
          <w:i w:val="0"/>
          <w:sz w:val="22"/>
        </w:rPr>
        <w:t>Jane Doe</w:t>
      </w:r>
      <w:r>
        <w:rPr>
          <w:rFonts w:ascii="Times New Roman" w:hAnsi="Times New Roman" w:cs="Times New Roman"/>
          <w:b w:val="0"/>
          <w:i w:val="0"/>
          <w:sz w:val="22"/>
          <w:vertAlign w:val="superscript"/>
        </w:rPr>
        <w:t>2</w:t>
      </w:r>
    </w:p>
    <w:p>
      <w:pPr>
        <w:spacing w:before="0" w:after="40"/>
        <w:jc w:val="center"/>
      </w:pPr>
      <w:r>
        <w:rPr>
          <w:rFonts w:ascii="Times New Roman" w:hAnsi="Times New Roman" w:cs="Times New Roman"/>
          <w:b w:val="0"/>
          <w:i/>
          <w:sz w:val="20"/>
          <w:vertAlign w:val="superscript"/>
        </w:rPr>
        <w:t>1</w:t>
      </w:r>
      <w:r>
        <w:rPr>
          <w:rFonts w:ascii="Times New Roman" w:hAnsi="Times New Roman" w:cs="Times New Roman"/>
          <w:b w:val="0"/>
          <w:i/>
          <w:sz w:val="20"/>
        </w:rPr>
        <w:t>Department of Computer Science, University of Technology</w:t>
      </w:r>
    </w:p>
    <w:p>
      <w:pPr>
        <w:spacing w:before="0" w:after="40"/>
        <w:jc w:val="center"/>
      </w:pPr>
      <w:r>
        <w:rPr>
          <w:rFonts w:ascii="Times New Roman" w:hAnsi="Times New Roman" w:cs="Times New Roman"/>
          <w:b w:val="0"/>
          <w:i/>
          <w:sz w:val="20"/>
          <w:vertAlign w:val="superscript"/>
        </w:rPr>
        <w:t>2</w:t>
      </w:r>
      <w:r>
        <w:rPr>
          <w:rFonts w:ascii="Times New Roman" w:hAnsi="Times New Roman" w:cs="Times New Roman"/>
          <w:b w:val="0"/>
          <w:i/>
          <w:sz w:val="20"/>
        </w:rPr>
        <w:t>School of Medicine, Medical University</w:t>
      </w:r>
    </w:p>
    <w:p>
      <w:pPr>
        <w:spacing w:before="0" w:after="40"/>
        <w:jc w:val="center"/>
      </w:pPr>
      <w:r>
        <w:rPr>
          <w:rFonts w:ascii="Times New Roman" w:hAnsi="Times New Roman" w:cs="Times New Roman"/>
          <w:b w:val="0"/>
          <w:i/>
          <w:sz w:val="20"/>
        </w:rPr>
        <w:t>john.smith@university.edu</w:t>
      </w:r>
    </w:p>
    <w:p>
      <w:pPr>
        <w:spacing w:before="0" w:after="40"/>
        <w:jc w:val="center"/>
      </w:pPr>
      <w:r>
        <w:rPr>
          <w:rFonts w:ascii="Times New Roman" w:hAnsi="Times New Roman" w:cs="Times New Roman"/>
          <w:b w:val="0"/>
          <w:i/>
          <w:sz w:val="20"/>
        </w:rPr>
        <w:t>jane.doe@meduni.edu</w:t>
      </w:r>
    </w:p>
    <w:p>
      <w:pPr>
        <w:spacing w:before="120" w:after="60" w:line="276" w:lineRule="auto"/>
        <w:jc w:val="both"/>
        <w:ind w:left="284" w:right="140"/>
      </w:pPr>
      <w:r>
        <w:rPr>
          <w:rFonts w:ascii="Times New Roman" w:hAnsi="Times New Roman" w:cs="Times New Roman"/>
          <w:b/>
          <w:i/>
          <w:sz w:val="20"/>
        </w:rPr>
        <w:t xml:space="preserve">Abstract: </w:t>
      </w:r>
      <w:r>
        <w:rPr>
          <w:rFonts w:ascii="Times New Roman" w:hAnsi="Times New Roman" w:cs="Times New Roman"/>
          <w:b w:val="0"/>
          <w:i/>
          <w:sz w:val="20"/>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before="60" w:after="120" w:line="276" w:lineRule="auto"/>
        <w:jc w:val="both"/>
        <w:ind w:left="284" w:right="140"/>
      </w:pPr>
      <w:r>
        <w:rPr>
          <w:rFonts w:ascii="Times New Roman" w:hAnsi="Times New Roman" w:cs="Times New Roman"/>
          <w:b/>
          <w:i/>
          <w:sz w:val="20"/>
        </w:rPr>
        <w:t xml:space="preserve">Keywords: </w:t>
      </w:r>
      <w:r>
        <w:rPr>
          <w:rFonts w:ascii="Times New Roman" w:hAnsi="Times New Roman" w:cs="Times New Roman"/>
          <w:b w:val="0"/>
          <w:i/>
          <w:sz w:val="20"/>
        </w:rPr>
        <w:t>machine learning, healthcare, deep learning, medical imaging, predictive analytics, clinical decision support</w:t>
      </w:r>
    </w:p>
    <w:p>
      <w:pPr>
        <w:spacing w:before="120" w:after="120" w:line="360" w:lineRule="auto"/>
      </w:pPr>
      <w:r>
        <w:rPr>
          <w:rFonts w:ascii="Times New Roman" w:hAnsi="Times New Roman" w:cs="Times New Roman"/>
          <w:b/>
          <w:i w:val="0"/>
          <w:sz w:val="22"/>
        </w:rPr>
        <w:t>INTRODUCTION</w:t>
      </w:r>
    </w:p>
    <w:p>
      <w:pPr>
        <w:spacing w:before="0" w:after="0" w:line="360" w:lineRule="auto"/>
        <w:jc w:val="both"/>
        <w:ind w:firstLine="567"/>
      </w:pPr>
      <w:r>
        <w:rPr>
          <w:rFonts w:ascii="Times New Roman" w:hAnsi="Times New Roman" w:cs="Times New Roman"/>
          <w:b w:val="0"/>
          <w:i w:val="0"/>
          <w:sz w:val="22"/>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before="0" w:after="0" w:line="360" w:lineRule="auto"/>
        <w:jc w:val="both"/>
        <w:ind w:firstLine="567"/>
      </w:pPr>
      <w:r>
        <w:rPr>
          <w:rFonts w:ascii="Times New Roman" w:hAnsi="Times New Roman" w:cs="Times New Roman"/>
          <w:b w:val="0"/>
          <w:i w:val="0"/>
          <w:sz w:val="22"/>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before="80" w:after="80" w:line="360" w:lineRule="auto"/>
      </w:pPr>
      <w:r>
        <w:rPr>
          <w:rFonts w:ascii="Times New Roman" w:hAnsi="Times New Roman" w:cs="Times New Roman"/>
          <w:b/>
          <w:i/>
          <w:sz w:val="22"/>
        </w:rPr>
        <w:t>Motivation</w:t>
      </w:r>
    </w:p>
    <w:p>
      <w:pPr>
        <w:spacing w:before="0" w:after="0" w:line="360" w:lineRule="auto"/>
        <w:jc w:val="both"/>
        <w:ind w:firstLine="567"/>
      </w:pPr>
      <w:r>
        <w:rPr>
          <w:rFonts w:ascii="Times New Roman" w:hAnsi="Times New Roman" w:cs="Times New Roman"/>
          <w:b w:val="0"/>
          <w:i w:val="0"/>
          <w:sz w:val="22"/>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before="80" w:after="80" w:line="360" w:lineRule="auto"/>
      </w:pPr>
      <w:r>
        <w:rPr>
          <w:rFonts w:ascii="Times New Roman" w:hAnsi="Times New Roman" w:cs="Times New Roman"/>
          <w:b/>
          <w:i/>
          <w:sz w:val="22"/>
        </w:rPr>
        <w:t>Contributions</w:t>
      </w:r>
    </w:p>
    <w:p>
      <w:pPr>
        <w:spacing w:before="0" w:after="0" w:line="360" w:lineRule="auto"/>
        <w:jc w:val="both"/>
        <w:ind w:firstLine="567"/>
      </w:pPr>
      <w:r>
        <w:rPr>
          <w:rFonts w:ascii="Times New Roman" w:hAnsi="Times New Roman" w:cs="Times New Roman"/>
          <w:b w:val="0"/>
          <w:i w:val="0"/>
          <w:sz w:val="22"/>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pacing w:before="120" w:after="120" w:line="360" w:lineRule="auto"/>
      </w:pPr>
      <w:r>
        <w:rPr>
          <w:rFonts w:ascii="Times New Roman" w:hAnsi="Times New Roman" w:cs="Times New Roman"/>
          <w:b/>
          <w:i w:val="0"/>
          <w:sz w:val="22"/>
        </w:rPr>
        <w:t>BACKGROUND AND RELATED WORK</w:t>
      </w:r>
    </w:p>
    <w:p>
      <w:pPr>
        <w:spacing w:before="0" w:after="0" w:line="360" w:lineRule="auto"/>
        <w:jc w:val="both"/>
        <w:ind w:firstLine="567"/>
      </w:pPr>
      <w:r>
        <w:rPr>
          <w:rFonts w:ascii="Times New Roman" w:hAnsi="Times New Roman" w:cs="Times New Roman"/>
          <w:b w:val="0"/>
          <w:i w:val="0"/>
          <w:sz w:val="22"/>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before="80" w:after="80" w:line="360" w:lineRule="auto"/>
      </w:pPr>
      <w:r>
        <w:rPr>
          <w:rFonts w:ascii="Times New Roman" w:hAnsi="Times New Roman" w:cs="Times New Roman"/>
          <w:b/>
          <w:i/>
          <w:sz w:val="22"/>
        </w:rPr>
        <w:t>Machine Learning Fundamentals</w:t>
      </w:r>
    </w:p>
    <w:p>
      <w:pPr>
        <w:spacing w:before="0" w:after="0" w:line="360" w:lineRule="auto"/>
        <w:jc w:val="both"/>
        <w:ind w:firstLine="567"/>
      </w:pPr>
      <w:r>
        <w:rPr>
          <w:rFonts w:ascii="Times New Roman" w:hAnsi="Times New Roman" w:cs="Times New Roman"/>
          <w:b w:val="0"/>
          <w:i w:val="0"/>
          <w:sz w:val="22"/>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before="80" w:after="80" w:line="360" w:lineRule="auto"/>
      </w:pPr>
      <w:r>
        <w:rPr>
          <w:rFonts w:ascii="Times New Roman" w:hAnsi="Times New Roman" w:cs="Times New Roman"/>
          <w:b/>
          <w:i/>
          <w:sz w:val="22"/>
        </w:rPr>
        <w:t>Healthcare Data Sources</w:t>
      </w:r>
    </w:p>
    <w:p>
      <w:pPr>
        <w:spacing w:before="0" w:after="0" w:line="360" w:lineRule="auto"/>
        <w:jc w:val="both"/>
        <w:ind w:firstLine="567"/>
      </w:pPr>
      <w:r>
        <w:rPr>
          <w:rFonts w:ascii="Times New Roman" w:hAnsi="Times New Roman" w:cs="Times New Roman"/>
          <w:b w:val="0"/>
          <w:i w:val="0"/>
          <w:sz w:val="22"/>
        </w:rPr>
        <w:t>Healthcare ML systems utilize diverse data sources including electronic health records (EHRs), medical imaging (X-rays, CT, MRI), genomic data, wearable sensor data, and clinical notes. Data quality, standardization, and privacy are critical considerations.</w:t>
      </w:r>
    </w:p>
    <w:p>
      <w:pPr>
        <w:spacing w:before="120" w:after="120" w:line="360" w:lineRule="auto"/>
      </w:pPr>
      <w:r>
        <w:rPr>
          <w:rFonts w:ascii="Times New Roman" w:hAnsi="Times New Roman" w:cs="Times New Roman"/>
          <w:b/>
          <w:i w:val="0"/>
          <w:sz w:val="22"/>
        </w:rPr>
        <w:t>MACHINE LEARNING APPLICATIONS</w:t>
      </w:r>
    </w:p>
    <w:p>
      <w:pPr>
        <w:spacing w:before="0" w:after="0" w:line="360" w:lineRule="auto"/>
        <w:jc w:val="both"/>
        <w:ind w:firstLine="567"/>
      </w:pPr>
      <w:r>
        <w:rPr>
          <w:rFonts w:ascii="Times New Roman" w:hAnsi="Times New Roman" w:cs="Times New Roman"/>
          <w:b w:val="0"/>
          <w:i w:val="0"/>
          <w:sz w:val="22"/>
        </w:rPr>
        <w:t>This section reviews major application areas of machine learning in healthcare, organized by clinical domain and task type.</w:t>
      </w:r>
    </w:p>
    <w:p>
      <w:pPr>
        <w:spacing w:before="80" w:after="80" w:line="360" w:lineRule="auto"/>
      </w:pPr>
      <w:r>
        <w:rPr>
          <w:rFonts w:ascii="Times New Roman" w:hAnsi="Times New Roman" w:cs="Times New Roman"/>
          <w:b/>
          <w:i/>
          <w:sz w:val="22"/>
        </w:rPr>
        <w:t>Medical Imaging</w:t>
      </w:r>
    </w:p>
    <w:tbl>
      <w:tblPr>
        <w:tblW w:type="auto" w:w="0"/>
        <w:jc w:val="center"/>
        <w:tblLook w:firstColumn="1" w:firstRow="1" w:lastColumn="0" w:lastRow="0" w:noHBand="0" w:noVBand="1" w:val="04A0"/>
      </w:tblPr>
      <w:tblGrid>
        <w:gridCol w:w="7937"/>
      </w:tblGrid>
      <w:tr>
        <w:tc>
          <w:tcPr>
            <w:tcW w:type="dxa" w:w="7937"/>
          </w:tcPr>
          <w:p>
            <w:pPr>
              <w:jc w:val="center"/>
            </w:pPr>
            <w:r/>
            <w:r>
              <w:rPr>
                <w:rFonts w:ascii="Times New Roman" w:hAnsi="Times New Roman" w:cs="Times New Roman"/>
                <w:b w:val="0"/>
                <w:i/>
                <w:sz w:val="20"/>
              </w:rPr>
              <w:t>[PROMPT UNTUK AI GAMBAR: Sample Figure. A diagram showing the system architecture]</w:t>
            </w:r>
          </w:p>
        </w:tc>
      </w:tr>
    </w:tbl>
    <w:p>
      <w:pPr>
        <w:spacing w:before="60" w:after="120"/>
        <w:jc w:val="center"/>
      </w:pPr>
      <w:r>
        <w:rPr>
          <w:rFonts w:ascii="Times New Roman" w:hAnsi="Times New Roman" w:cs="Times New Roman"/>
          <w:b/>
          <w:i w:val="0"/>
          <w:sz w:val="20"/>
        </w:rPr>
        <w:t xml:space="preserve">Figure 1. </w:t>
      </w:r>
      <w:r>
        <w:rPr>
          <w:rFonts w:ascii="Times New Roman" w:hAnsi="Times New Roman" w:cs="Times New Roman"/>
          <w:b w:val="0"/>
          <w:i w:val="0"/>
          <w:sz w:val="20"/>
        </w:rPr>
        <w:t>Sample Figure</w:t>
      </w:r>
    </w:p>
    <w:p>
      <w:pPr>
        <w:spacing w:before="0" w:after="0" w:line="360" w:lineRule="auto"/>
        <w:jc w:val="both"/>
        <w:ind w:firstLine="567"/>
      </w:pPr>
      <w:r>
        <w:rPr>
          <w:rFonts w:ascii="Times New Roman" w:hAnsi="Times New Roman" w:cs="Times New Roman"/>
          <w:b w:val="0"/>
          <w:i w:val="0"/>
          <w:sz w:val="22"/>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120" w:after="60"/>
        <w:jc w:val="center"/>
      </w:pPr>
      <w:r>
        <w:rPr>
          <w:rFonts w:ascii="Times New Roman" w:hAnsi="Times New Roman" w:cs="Times New Roman"/>
          <w:b/>
          <w:i w:val="0"/>
          <w:sz w:val="20"/>
        </w:rPr>
        <w:t xml:space="preserve">Table 1. </w:t>
      </w:r>
      <w:r>
        <w:rPr>
          <w:rFonts w:ascii="Times New Roman" w:hAnsi="Times New Roman" w:cs="Times New Roman"/>
          <w:b w:val="0"/>
          <w:i w:val="0"/>
          <w:sz w:val="20"/>
        </w:rPr>
        <w:t>Performance of ML Models in Medical Imaging</w:t>
      </w:r>
    </w:p>
    <w:tbl>
      <w:tblPr>
        <w:tblW w:type="auto" w:w="0"/>
        <w:jc w:val="center"/>
        <w:tblLook w:firstColumn="1" w:firstRow="1" w:lastColumn="0" w:lastRow="0" w:noHBand="0" w:noVBand="1" w:val="04A0"/>
        <w:tblBorders>
          <w:top w:val="single" w:sz="4"/>
          <w:left w:val="nil"/>
          <w:bottom w:val="single" w:sz="4"/>
          <w:right w:val="nil"/>
          <w:insideH w:val="single" w:sz="4"/>
          <w:insideV w:val="nil"/>
        </w:tblBorders>
      </w:tblPr>
      <w:tblGrid>
        <w:gridCol w:w="1984"/>
        <w:gridCol w:w="1984"/>
        <w:gridCol w:w="1984"/>
        <w:gridCol w:w="1984"/>
      </w:tblGrid>
      <w:tr>
        <w:tc>
          <w:tcPr>
            <w:tcW w:type="dxa" w:w="1984"/>
          </w:tcPr>
          <w:p>
            <w:pPr>
              <w:jc w:val="center"/>
            </w:pPr>
            <w:r/>
            <w:r>
              <w:rPr>
                <w:rFonts w:ascii="Times New Roman" w:hAnsi="Times New Roman" w:cs="Times New Roman"/>
                <w:b/>
                <w:i w:val="0"/>
                <w:sz w:val="20"/>
              </w:rPr>
              <w:t>Task</w:t>
            </w:r>
          </w:p>
        </w:tc>
        <w:tc>
          <w:tcPr>
            <w:tcW w:type="dxa" w:w="1984"/>
          </w:tcPr>
          <w:p>
            <w:pPr>
              <w:jc w:val="center"/>
            </w:pPr>
            <w:r/>
            <w:r>
              <w:rPr>
                <w:rFonts w:ascii="Times New Roman" w:hAnsi="Times New Roman" w:cs="Times New Roman"/>
                <w:b/>
                <w:i w:val="0"/>
                <w:sz w:val="20"/>
              </w:rPr>
              <w:t>Model</w:t>
            </w:r>
          </w:p>
        </w:tc>
        <w:tc>
          <w:tcPr>
            <w:tcW w:type="dxa" w:w="1984"/>
          </w:tcPr>
          <w:p>
            <w:pPr>
              <w:jc w:val="center"/>
            </w:pPr>
            <w:r/>
            <w:r>
              <w:rPr>
                <w:rFonts w:ascii="Times New Roman" w:hAnsi="Times New Roman" w:cs="Times New Roman"/>
                <w:b/>
                <w:i w:val="0"/>
                <w:sz w:val="20"/>
              </w:rPr>
              <w:t>Accuracy</w:t>
            </w:r>
          </w:p>
        </w:tc>
        <w:tc>
          <w:tcPr>
            <w:tcW w:type="dxa" w:w="1984"/>
          </w:tcPr>
          <w:p>
            <w:pPr>
              <w:jc w:val="center"/>
            </w:pPr>
            <w:r/>
            <w:r>
              <w:rPr>
                <w:rFonts w:ascii="Times New Roman" w:hAnsi="Times New Roman" w:cs="Times New Roman"/>
                <w:b/>
                <w:i w:val="0"/>
                <w:sz w:val="20"/>
              </w:rPr>
              <w:t>Dataset Size</w:t>
            </w:r>
          </w:p>
        </w:tc>
      </w:tr>
      <w:tr>
        <w:tc>
          <w:tcPr>
            <w:tcW w:type="dxa" w:w="1984"/>
          </w:tcPr>
          <w:p>
            <w:pPr>
              <w:jc w:val="center"/>
            </w:pPr>
            <w:r/>
            <w:r>
              <w:rPr>
                <w:rFonts w:ascii="Times New Roman" w:hAnsi="Times New Roman" w:cs="Times New Roman"/>
                <w:b w:val="0"/>
                <w:i w:val="0"/>
                <w:sz w:val="20"/>
              </w:rPr>
              <w:t>Diabetic Retinopathy</w:t>
            </w:r>
          </w:p>
        </w:tc>
        <w:tc>
          <w:tcPr>
            <w:tcW w:type="dxa" w:w="1984"/>
          </w:tcPr>
          <w:p>
            <w:pPr>
              <w:jc w:val="center"/>
            </w:pPr>
            <w:r/>
            <w:r>
              <w:rPr>
                <w:rFonts w:ascii="Times New Roman" w:hAnsi="Times New Roman" w:cs="Times New Roman"/>
                <w:b w:val="0"/>
                <w:i w:val="0"/>
                <w:sz w:val="20"/>
              </w:rPr>
              <w:t>ResNet-50</w:t>
            </w:r>
          </w:p>
        </w:tc>
        <w:tc>
          <w:tcPr>
            <w:tcW w:type="dxa" w:w="1984"/>
          </w:tcPr>
          <w:p>
            <w:pPr>
              <w:jc w:val="center"/>
            </w:pPr>
            <w:r/>
            <w:r>
              <w:rPr>
                <w:rFonts w:ascii="Times New Roman" w:hAnsi="Times New Roman" w:cs="Times New Roman"/>
                <w:b w:val="0"/>
                <w:i w:val="0"/>
                <w:sz w:val="20"/>
              </w:rPr>
              <w:t>95.2%</w:t>
            </w:r>
          </w:p>
        </w:tc>
        <w:tc>
          <w:tcPr>
            <w:tcW w:type="dxa" w:w="1984"/>
          </w:tcPr>
          <w:p>
            <w:pPr>
              <w:jc w:val="center"/>
            </w:pPr>
            <w:r/>
            <w:r>
              <w:rPr>
                <w:rFonts w:ascii="Times New Roman" w:hAnsi="Times New Roman" w:cs="Times New Roman"/>
                <w:b w:val="0"/>
                <w:i w:val="0"/>
                <w:sz w:val="20"/>
              </w:rPr>
              <w:t>128,000</w:t>
            </w:r>
          </w:p>
        </w:tc>
      </w:tr>
      <w:tr>
        <w:tc>
          <w:tcPr>
            <w:tcW w:type="dxa" w:w="1984"/>
          </w:tcPr>
          <w:p>
            <w:pPr>
              <w:jc w:val="center"/>
            </w:pPr>
            <w:r/>
            <w:r>
              <w:rPr>
                <w:rFonts w:ascii="Times New Roman" w:hAnsi="Times New Roman" w:cs="Times New Roman"/>
                <w:b w:val="0"/>
                <w:i w:val="0"/>
                <w:sz w:val="20"/>
              </w:rPr>
              <w:t>Lung Nodule Detection</w:t>
            </w:r>
          </w:p>
        </w:tc>
        <w:tc>
          <w:tcPr>
            <w:tcW w:type="dxa" w:w="1984"/>
          </w:tcPr>
          <w:p>
            <w:pPr>
              <w:jc w:val="center"/>
            </w:pPr>
            <w:r/>
            <w:r>
              <w:rPr>
                <w:rFonts w:ascii="Times New Roman" w:hAnsi="Times New Roman" w:cs="Times New Roman"/>
                <w:b w:val="0"/>
                <w:i w:val="0"/>
                <w:sz w:val="20"/>
              </w:rPr>
              <w:t>3D CNN</w:t>
            </w:r>
          </w:p>
        </w:tc>
        <w:tc>
          <w:tcPr>
            <w:tcW w:type="dxa" w:w="1984"/>
          </w:tcPr>
          <w:p>
            <w:pPr>
              <w:jc w:val="center"/>
            </w:pPr>
            <w:r/>
            <w:r>
              <w:rPr>
                <w:rFonts w:ascii="Times New Roman" w:hAnsi="Times New Roman" w:cs="Times New Roman"/>
                <w:b w:val="0"/>
                <w:i w:val="0"/>
                <w:sz w:val="20"/>
              </w:rPr>
              <w:t>92.8%</w:t>
            </w:r>
          </w:p>
        </w:tc>
        <w:tc>
          <w:tcPr>
            <w:tcW w:type="dxa" w:w="1984"/>
          </w:tcPr>
          <w:p>
            <w:pPr>
              <w:jc w:val="center"/>
            </w:pPr>
            <w:r/>
            <w:r>
              <w:rPr>
                <w:rFonts w:ascii="Times New Roman" w:hAnsi="Times New Roman" w:cs="Times New Roman"/>
                <w:b w:val="0"/>
                <w:i w:val="0"/>
                <w:sz w:val="20"/>
              </w:rPr>
              <w:t>45,000</w:t>
            </w:r>
          </w:p>
        </w:tc>
      </w:tr>
      <w:tr>
        <w:tc>
          <w:tcPr>
            <w:tcW w:type="dxa" w:w="1984"/>
          </w:tcPr>
          <w:p>
            <w:pPr>
              <w:jc w:val="center"/>
            </w:pPr>
            <w:r/>
            <w:r>
              <w:rPr>
                <w:rFonts w:ascii="Times New Roman" w:hAnsi="Times New Roman" w:cs="Times New Roman"/>
                <w:b w:val="0"/>
                <w:i w:val="0"/>
                <w:sz w:val="20"/>
              </w:rPr>
              <w:t>Breast Cancer</w:t>
            </w:r>
          </w:p>
        </w:tc>
        <w:tc>
          <w:tcPr>
            <w:tcW w:type="dxa" w:w="1984"/>
          </w:tcPr>
          <w:p>
            <w:pPr>
              <w:jc w:val="center"/>
            </w:pPr>
            <w:r/>
            <w:r>
              <w:rPr>
                <w:rFonts w:ascii="Times New Roman" w:hAnsi="Times New Roman" w:cs="Times New Roman"/>
                <w:b w:val="0"/>
                <w:i w:val="0"/>
                <w:sz w:val="20"/>
              </w:rPr>
              <w:t>DenseNet</w:t>
            </w:r>
          </w:p>
        </w:tc>
        <w:tc>
          <w:tcPr>
            <w:tcW w:type="dxa" w:w="1984"/>
          </w:tcPr>
          <w:p>
            <w:pPr>
              <w:jc w:val="center"/>
            </w:pPr>
            <w:r/>
            <w:r>
              <w:rPr>
                <w:rFonts w:ascii="Times New Roman" w:hAnsi="Times New Roman" w:cs="Times New Roman"/>
                <w:b w:val="0"/>
                <w:i w:val="0"/>
                <w:sz w:val="20"/>
              </w:rPr>
              <w:t>94.5%</w:t>
            </w:r>
          </w:p>
        </w:tc>
        <w:tc>
          <w:tcPr>
            <w:tcW w:type="dxa" w:w="1984"/>
          </w:tcPr>
          <w:p>
            <w:pPr>
              <w:jc w:val="center"/>
            </w:pPr>
            <w:r/>
            <w:r>
              <w:rPr>
                <w:rFonts w:ascii="Times New Roman" w:hAnsi="Times New Roman" w:cs="Times New Roman"/>
                <w:b w:val="0"/>
                <w:i w:val="0"/>
                <w:sz w:val="20"/>
              </w:rPr>
              <w:t>60,000</w:t>
            </w:r>
          </w:p>
        </w:tc>
      </w:tr>
      <w:tr>
        <w:tc>
          <w:tcPr>
            <w:tcW w:type="dxa" w:w="1984"/>
          </w:tcPr>
          <w:p>
            <w:pPr>
              <w:jc w:val="center"/>
            </w:pPr>
            <w:r/>
            <w:r>
              <w:rPr>
                <w:rFonts w:ascii="Times New Roman" w:hAnsi="Times New Roman" w:cs="Times New Roman"/>
                <w:b w:val="0"/>
                <w:i w:val="0"/>
                <w:sz w:val="20"/>
              </w:rPr>
              <w:t>Brain Tumor Segmentation</w:t>
            </w:r>
          </w:p>
        </w:tc>
        <w:tc>
          <w:tcPr>
            <w:tcW w:type="dxa" w:w="1984"/>
          </w:tcPr>
          <w:p>
            <w:pPr>
              <w:jc w:val="center"/>
            </w:pPr>
            <w:r/>
            <w:r>
              <w:rPr>
                <w:rFonts w:ascii="Times New Roman" w:hAnsi="Times New Roman" w:cs="Times New Roman"/>
                <w:b w:val="0"/>
                <w:i w:val="0"/>
                <w:sz w:val="20"/>
              </w:rPr>
              <w:t>U-Net</w:t>
            </w:r>
          </w:p>
        </w:tc>
        <w:tc>
          <w:tcPr>
            <w:tcW w:type="dxa" w:w="1984"/>
          </w:tcPr>
          <w:p>
            <w:pPr>
              <w:jc w:val="center"/>
            </w:pPr>
            <w:r/>
            <w:r>
              <w:rPr>
                <w:rFonts w:ascii="Times New Roman" w:hAnsi="Times New Roman" w:cs="Times New Roman"/>
                <w:b w:val="0"/>
                <w:i w:val="0"/>
                <w:sz w:val="20"/>
              </w:rPr>
              <w:t>91.3%</w:t>
            </w:r>
          </w:p>
        </w:tc>
        <w:tc>
          <w:tcPr>
            <w:tcW w:type="dxa" w:w="1984"/>
          </w:tcPr>
          <w:p>
            <w:pPr>
              <w:jc w:val="center"/>
            </w:pPr>
            <w:r/>
            <w:r>
              <w:rPr>
                <w:rFonts w:ascii="Times New Roman" w:hAnsi="Times New Roman" w:cs="Times New Roman"/>
                <w:b w:val="0"/>
                <w:i w:val="0"/>
                <w:sz w:val="20"/>
              </w:rPr>
              <w:t>35,000</w:t>
            </w:r>
          </w:p>
        </w:tc>
      </w:tr>
    </w:tbl>
    <w:p>
      <w:pPr>
        <w:spacing w:before="60" w:after="60"/>
        <w:jc w:val="center"/>
      </w:pPr>
      <w:r>
        <w:rPr>
          <w:rFonts w:ascii="Times New Roman" w:hAnsi="Times New Roman" w:cs="Times New Roman"/>
          <w:b w:val="0"/>
          <w:i/>
          <w:sz w:val="22"/>
        </w:rPr>
        <w:t>E = mc^2</w:t>
      </w:r>
      <w:r>
        <w:rPr>
          <w:rFonts w:ascii="Times New Roman" w:hAnsi="Times New Roman" w:cs="Times New Roman"/>
          <w:b w:val="0"/>
          <w:i w:val="0"/>
          <w:sz w:val="22"/>
        </w:rPr>
        <w:tab/>
        <w:t>(1)</w:t>
      </w:r>
    </w:p>
    <w:p>
      <w:pPr>
        <w:spacing w:before="80" w:after="80" w:line="360" w:lineRule="auto"/>
      </w:pPr>
      <w:r>
        <w:rPr>
          <w:rFonts w:ascii="Times New Roman" w:hAnsi="Times New Roman" w:cs="Times New Roman"/>
          <w:b/>
          <w:i/>
          <w:sz w:val="22"/>
        </w:rPr>
        <w:t>Disease Prediction</w:t>
      </w:r>
    </w:p>
    <w:p>
      <w:pPr>
        <w:spacing w:before="0" w:after="0" w:line="360" w:lineRule="auto"/>
        <w:jc w:val="both"/>
        <w:ind w:firstLine="567"/>
      </w:pPr>
      <w:r>
        <w:rPr>
          <w:rFonts w:ascii="Times New Roman" w:hAnsi="Times New Roman" w:cs="Times New Roman"/>
          <w:b w:val="0"/>
          <w:i w:val="0"/>
          <w:sz w:val="22"/>
        </w:rPr>
        <w:t>Predictive models use patient data to forecast disease onset, progression, and outcomes. Random forests, gradient boosting, and neural networks are commonly employed for risk stratification and early warning systems.</w:t>
      </w:r>
    </w:p>
    <w:p>
      <w:pPr>
        <w:spacing w:before="80" w:after="80" w:line="360" w:lineRule="auto"/>
      </w:pPr>
      <w:r>
        <w:rPr>
          <w:rFonts w:ascii="Times New Roman" w:hAnsi="Times New Roman" w:cs="Times New Roman"/>
          <w:b/>
          <w:i/>
          <w:sz w:val="22"/>
        </w:rPr>
        <w:t>Drug Discovery</w:t>
      </w:r>
    </w:p>
    <w:p>
      <w:pPr>
        <w:spacing w:before="0" w:after="0" w:line="360" w:lineRule="auto"/>
        <w:jc w:val="both"/>
        <w:ind w:firstLine="567"/>
      </w:pPr>
      <w:r>
        <w:rPr>
          <w:rFonts w:ascii="Times New Roman" w:hAnsi="Times New Roman" w:cs="Times New Roman"/>
          <w:b w:val="0"/>
          <w:i w:val="0"/>
          <w:sz w:val="22"/>
        </w:rPr>
        <w:t>ML accelerates drug discovery by predicting molecular properties, identifying drug targets, and optimizing compound structures. Deep learning models can screen millions of compounds in silico, significantly reducing time and cost.</w:t>
      </w:r>
    </w:p>
    <w:p>
      <w:pPr>
        <w:spacing w:before="120" w:after="120" w:line="360" w:lineRule="auto"/>
      </w:pPr>
      <w:r>
        <w:rPr>
          <w:rFonts w:ascii="Times New Roman" w:hAnsi="Times New Roman" w:cs="Times New Roman"/>
          <w:b/>
          <w:i w:val="0"/>
          <w:sz w:val="22"/>
        </w:rPr>
        <w:t>CHALLENGES AND LIMITATIONS</w:t>
      </w:r>
    </w:p>
    <w:p>
      <w:pPr>
        <w:spacing w:before="0" w:after="0" w:line="360" w:lineRule="auto"/>
        <w:jc w:val="both"/>
        <w:ind w:firstLine="567"/>
      </w:pPr>
      <w:r>
        <w:rPr>
          <w:rFonts w:ascii="Times New Roman" w:hAnsi="Times New Roman" w:cs="Times New Roman"/>
          <w:b w:val="0"/>
          <w:i w:val="0"/>
          <w:sz w:val="22"/>
        </w:rPr>
        <w:t>Despite significant progress, several challenges hinder widespread adoption of ML in healthcare.</w:t>
      </w:r>
    </w:p>
    <w:p>
      <w:pPr>
        <w:spacing w:before="80" w:after="80" w:line="360" w:lineRule="auto"/>
      </w:pPr>
      <w:r>
        <w:rPr>
          <w:rFonts w:ascii="Times New Roman" w:hAnsi="Times New Roman" w:cs="Times New Roman"/>
          <w:b/>
          <w:i/>
          <w:sz w:val="22"/>
        </w:rPr>
        <w:t>Data Privacy and Security</w:t>
      </w:r>
    </w:p>
    <w:p>
      <w:pPr>
        <w:spacing w:before="0" w:after="0" w:line="360" w:lineRule="auto"/>
        <w:jc w:val="both"/>
        <w:ind w:firstLine="567"/>
      </w:pPr>
      <w:r>
        <w:rPr>
          <w:rFonts w:ascii="Times New Roman" w:hAnsi="Times New Roman" w:cs="Times New Roman"/>
          <w:b w:val="0"/>
          <w:i w:val="0"/>
          <w:sz w:val="22"/>
        </w:rPr>
        <w:t>Healthcare data is highly sensitive and subject to strict regulations (HIPAA, GDPR). Ensuring privacy while enabling ML model training requires techniques such as federated learning, differential privacy, and secure multi-party computation.</w:t>
      </w:r>
    </w:p>
    <w:p>
      <w:pPr>
        <w:spacing w:before="80" w:after="80" w:line="360" w:lineRule="auto"/>
      </w:pPr>
      <w:r>
        <w:rPr>
          <w:rFonts w:ascii="Times New Roman" w:hAnsi="Times New Roman" w:cs="Times New Roman"/>
          <w:b/>
          <w:i/>
          <w:sz w:val="22"/>
        </w:rPr>
        <w:t>Model Interpretability</w:t>
      </w:r>
    </w:p>
    <w:p>
      <w:pPr>
        <w:spacing w:before="0" w:after="0" w:line="360" w:lineRule="auto"/>
        <w:jc w:val="both"/>
        <w:ind w:firstLine="567"/>
      </w:pPr>
      <w:r>
        <w:rPr>
          <w:rFonts w:ascii="Times New Roman" w:hAnsi="Times New Roman" w:cs="Times New Roman"/>
          <w:b w:val="0"/>
          <w:i w:val="0"/>
          <w:sz w:val="22"/>
        </w:rPr>
        <w:t>Deep learning models often function as black boxes, making it difficult for clinicians to understand and trust their predictions. Explainable AI (XAI) methods such as attention mechanisms, saliency maps, and SHAP values help address this limitation.</w:t>
      </w:r>
    </w:p>
    <w:p>
      <w:pPr>
        <w:spacing w:before="80" w:after="80" w:line="360" w:lineRule="auto"/>
      </w:pPr>
      <w:r>
        <w:rPr>
          <w:rFonts w:ascii="Times New Roman" w:hAnsi="Times New Roman" w:cs="Times New Roman"/>
          <w:b/>
          <w:i/>
          <w:sz w:val="22"/>
        </w:rPr>
        <w:t>Clinical Integration</w:t>
      </w:r>
    </w:p>
    <w:p>
      <w:pPr>
        <w:spacing w:before="0" w:after="0" w:line="360" w:lineRule="auto"/>
        <w:jc w:val="both"/>
        <w:ind w:firstLine="567"/>
      </w:pPr>
      <w:r>
        <w:rPr>
          <w:rFonts w:ascii="Times New Roman" w:hAnsi="Times New Roman" w:cs="Times New Roman"/>
          <w:b w:val="0"/>
          <w:i w:val="0"/>
          <w:sz w:val="22"/>
        </w:rPr>
        <w:t>Integrating ML systems into clinical workflows requires careful consideration of usability, validation, and regulatory approval. Models must be robust, reliable, and aligned with clinical practice guidelines.</w:t>
      </w:r>
    </w:p>
    <w:p>
      <w:pPr>
        <w:spacing w:before="120" w:after="120" w:line="360" w:lineRule="auto"/>
      </w:pPr>
      <w:r>
        <w:rPr>
          <w:rFonts w:ascii="Times New Roman" w:hAnsi="Times New Roman" w:cs="Times New Roman"/>
          <w:b/>
          <w:i w:val="0"/>
          <w:sz w:val="22"/>
        </w:rPr>
        <w:t>FUTURE DIRECTIONS</w:t>
      </w:r>
    </w:p>
    <w:p>
      <w:pPr>
        <w:spacing w:before="0" w:after="0" w:line="360" w:lineRule="auto"/>
        <w:jc w:val="both"/>
        <w:ind w:firstLine="567"/>
      </w:pPr>
      <w:r>
        <w:rPr>
          <w:rFonts w:ascii="Times New Roman" w:hAnsi="Times New Roman" w:cs="Times New Roman"/>
          <w:b w:val="0"/>
          <w:i w:val="0"/>
          <w:sz w:val="22"/>
        </w:rPr>
        <w:t>The future of ML in healthcare is promising, with several emerging trends and research directions.</w:t>
      </w:r>
    </w:p>
    <w:p>
      <w:pPr>
        <w:spacing w:before="80" w:after="80" w:line="360" w:lineRule="auto"/>
      </w:pPr>
      <w:r>
        <w:rPr>
          <w:rFonts w:ascii="Times New Roman" w:hAnsi="Times New Roman" w:cs="Times New Roman"/>
          <w:b/>
          <w:i/>
          <w:sz w:val="22"/>
        </w:rPr>
        <w:t>Federated Learning</w:t>
      </w:r>
    </w:p>
    <w:p>
      <w:pPr>
        <w:spacing w:before="0" w:after="0" w:line="360" w:lineRule="auto"/>
        <w:jc w:val="both"/>
        <w:ind w:firstLine="567"/>
      </w:pPr>
      <w:r>
        <w:rPr>
          <w:rFonts w:ascii="Times New Roman" w:hAnsi="Times New Roman" w:cs="Times New Roman"/>
          <w:b w:val="0"/>
          <w:i w:val="0"/>
          <w:sz w:val="22"/>
        </w:rPr>
        <w:t>Federated learning enables collaborative model training across institutions without sharing raw data, addressing privacy concerns while leveraging diverse datasets.</w:t>
      </w:r>
    </w:p>
    <w:p>
      <w:pPr>
        <w:spacing w:before="80" w:after="80" w:line="360" w:lineRule="auto"/>
      </w:pPr>
      <w:r>
        <w:rPr>
          <w:rFonts w:ascii="Times New Roman" w:hAnsi="Times New Roman" w:cs="Times New Roman"/>
          <w:b/>
          <w:i/>
          <w:sz w:val="22"/>
        </w:rPr>
        <w:t>Multimodal Learning</w:t>
      </w:r>
    </w:p>
    <w:p>
      <w:pPr>
        <w:spacing w:before="0" w:after="0" w:line="360" w:lineRule="auto"/>
        <w:jc w:val="both"/>
        <w:ind w:firstLine="567"/>
      </w:pPr>
      <w:r>
        <w:rPr>
          <w:rFonts w:ascii="Times New Roman" w:hAnsi="Times New Roman" w:cs="Times New Roman"/>
          <w:b w:val="0"/>
          <w:i w:val="0"/>
          <w:sz w:val="22"/>
        </w:rPr>
        <w:t>Integrating multiple data modalities (imaging, genomics, EHRs) can improve diagnostic accuracy and enable more comprehensive patient assessment.</w:t>
      </w:r>
    </w:p>
    <w:p>
      <w:pPr>
        <w:spacing w:before="80" w:after="80" w:line="360" w:lineRule="auto"/>
      </w:pPr>
      <w:r>
        <w:rPr>
          <w:rFonts w:ascii="Times New Roman" w:hAnsi="Times New Roman" w:cs="Times New Roman"/>
          <w:b/>
          <w:i/>
          <w:sz w:val="22"/>
        </w:rPr>
        <w:t>Real-time Clinical Decision Support</w:t>
      </w:r>
    </w:p>
    <w:p>
      <w:pPr>
        <w:spacing w:before="0" w:after="0" w:line="360" w:lineRule="auto"/>
        <w:jc w:val="both"/>
        <w:ind w:firstLine="567"/>
      </w:pPr>
      <w:r>
        <w:rPr>
          <w:rFonts w:ascii="Times New Roman" w:hAnsi="Times New Roman" w:cs="Times New Roman"/>
          <w:b w:val="0"/>
          <w:i w:val="0"/>
          <w:sz w:val="22"/>
        </w:rPr>
        <w:t>Deploying ML models at the point of care can provide real-time recommendations, alerts, and decision support to clinicians, improving patient outcomes and reducing errors.</w:t>
      </w:r>
    </w:p>
    <w:p>
      <w:pPr>
        <w:spacing w:before="120" w:after="120" w:line="360" w:lineRule="auto"/>
      </w:pPr>
      <w:r>
        <w:rPr>
          <w:rFonts w:ascii="Times New Roman" w:hAnsi="Times New Roman" w:cs="Times New Roman"/>
          <w:b/>
          <w:i w:val="0"/>
          <w:sz w:val="22"/>
        </w:rPr>
        <w:t>CONCLUSION</w:t>
      </w:r>
    </w:p>
    <w:p>
      <w:pPr>
        <w:spacing w:before="0" w:after="0" w:line="360" w:lineRule="auto"/>
        <w:jc w:val="both"/>
        <w:ind w:firstLine="567"/>
      </w:pPr>
      <w:r>
        <w:rPr>
          <w:rFonts w:ascii="Times New Roman" w:hAnsi="Times New Roman" w:cs="Times New Roman"/>
          <w:b w:val="0"/>
          <w:i w:val="0"/>
          <w:sz w:val="22"/>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before="240" w:after="120" w:line="360" w:lineRule="auto"/>
      </w:pPr>
      <w:r>
        <w:rPr>
          <w:rFonts w:ascii="Times New Roman" w:hAnsi="Times New Roman" w:cs="Times New Roman"/>
          <w:b/>
          <w:i w:val="0"/>
          <w:sz w:val="22"/>
        </w:rPr>
        <w:t>REFERENCES</w:t>
      </w:r>
    </w:p>
    <w:p>
      <w:pPr>
        <w:spacing w:before="0" w:after="60" w:line="276" w:lineRule="auto"/>
        <w:jc w:val="both"/>
        <w:ind w:firstLine="-360" w:left="360"/>
      </w:pPr>
      <w:r>
        <w:rPr>
          <w:rFonts w:ascii="Times New Roman" w:hAnsi="Times New Roman" w:cs="Times New Roman"/>
          <w:b w:val="0"/>
          <w:i w:val="0"/>
          <w:sz w:val="20"/>
        </w:rPr>
        <w:t>{'id': '1', 'text': 'Esteva, A., Kuprel, B., Novoa, R. A., Ko, J., Swetter, S. M., Blau, H. M., &amp; Thrun, S. (2017). Dermatologist-level classification of skin cancer with deep neural networks. Nature, 542(7639), 115-118.'}</w:t>
      </w:r>
    </w:p>
    <w:p>
      <w:pPr>
        <w:spacing w:before="0" w:after="60" w:line="276" w:lineRule="auto"/>
        <w:jc w:val="both"/>
        <w:ind w:firstLine="-360" w:left="360"/>
      </w:pPr>
      <w:r>
        <w:rPr>
          <w:rFonts w:ascii="Times New Roman" w:hAnsi="Times New Roman" w:cs="Times New Roman"/>
          <w:b w:val="0"/>
          <w:i w:val="0"/>
          <w:sz w:val="20"/>
        </w:rPr>
        <w:t>{'id': '2', 'text': 'Rajkomar, A., Dean, J., &amp; Kohane, I. (2019). Machine learning in medicine. New England Journal of Medicine, 380(14), 1347-1358.'}</w:t>
      </w:r>
    </w:p>
    <w:p>
      <w:pPr>
        <w:spacing w:before="0" w:after="60" w:line="276" w:lineRule="auto"/>
        <w:jc w:val="both"/>
        <w:ind w:firstLine="-360" w:left="360"/>
      </w:pPr>
      <w:r>
        <w:rPr>
          <w:rFonts w:ascii="Times New Roman" w:hAnsi="Times New Roman" w:cs="Times New Roman"/>
          <w:b w:val="0"/>
          <w:i w:val="0"/>
          <w:sz w:val="20"/>
        </w:rPr>
        <w:t>{'id': '3', 'text': 'Topol, E. J. (2019). High-performance medicine: the convergence of human and artificial intelligence. Nature Medicine, 25(1), 44-56.'}</w:t>
      </w:r>
    </w:p>
    <w:p>
      <w:pPr>
        <w:spacing w:before="0" w:after="60" w:line="276" w:lineRule="auto"/>
        <w:jc w:val="both"/>
        <w:ind w:firstLine="-360" w:left="360"/>
      </w:pPr>
      <w:r>
        <w:rPr>
          <w:rFonts w:ascii="Times New Roman" w:hAnsi="Times New Roman" w:cs="Times New Roman"/>
          <w:b w:val="0"/>
          <w:i w:val="0"/>
          <w:sz w:val="20"/>
        </w:rPr>
        <w:t>{'id': '4', 'text': 'Beam, A. L., &amp; Kohane, I. S. (2018). Big data and machine learning in health care. JAMA, 319(13), 1317-1318.'}</w:t>
      </w:r>
    </w:p>
    <w:p>
      <w:pPr>
        <w:spacing w:before="0" w:after="60" w:line="276" w:lineRule="auto"/>
        <w:jc w:val="both"/>
        <w:ind w:firstLine="-360" w:left="360"/>
      </w:pPr>
      <w:r>
        <w:rPr>
          <w:rFonts w:ascii="Times New Roman" w:hAnsi="Times New Roman" w:cs="Times New Roman"/>
          <w:b w:val="0"/>
          <w:i w:val="0"/>
          <w:sz w:val="20"/>
        </w:rPr>
        <w:t>{'id': '5', 'text': 'Ching, T., Himmelstein, D. S., Beaulieu-Jones, B. K., Kalinin, A. A., Do, B. T., Way, G. P., ... &amp; Greene, C. S. (2018). Opportunities and obstacles for deep learning in biology and medicine. Journal of The Royal Society Interface, 15(141), 20170387.'}</w:t>
      </w:r>
    </w:p>
    <w:sectPr w:rsidR="00325A61">
      <w:headerReference w:type="default" r:id="rId10"/>
      <w:pgSz w:w="11906" w:h="16838"/>
      <w:pgMar w:top="1701" w:right="1701" w:bottom="1701" w:left="226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E75F" w14:textId="77777777" w:rsidR="00BF3B68" w:rsidRDefault="00BF3B68">
      <w:r>
        <w:separator/>
      </w:r>
    </w:p>
  </w:endnote>
  <w:endnote w:type="continuationSeparator" w:id="0">
    <w:p w14:paraId="700177C3" w14:textId="77777777" w:rsidR="00BF3B68" w:rsidRDefault="00BF3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1" w:fontKey="{C6895433-754B-4B8D-872D-EEB2D4BDF5A3}"/>
  </w:font>
  <w:font w:name="Corbel">
    <w:panose1 w:val="020B0503020204020204"/>
    <w:charset w:val="00"/>
    <w:family w:val="swiss"/>
    <w:pitch w:val="variable"/>
    <w:sig w:usb0="A00002EF" w:usb1="4000A44B" w:usb2="00000000" w:usb3="00000000" w:csb0="0000019F" w:csb1="00000000"/>
    <w:embedItalic r:id="rId2" w:fontKey="{86804758-FB71-47CE-ACA7-BCC74C55E967}"/>
  </w:font>
  <w:font w:name="Calibri">
    <w:panose1 w:val="020F0502020204030204"/>
    <w:charset w:val="00"/>
    <w:family w:val="swiss"/>
    <w:pitch w:val="variable"/>
    <w:sig w:usb0="E4002EFF" w:usb1="C200247B" w:usb2="00000009" w:usb3="00000000" w:csb0="000001FF" w:csb1="00000000"/>
    <w:embedRegular r:id="rId3" w:fontKey="{6CE503D6-2582-42AF-B829-3E0E83819B1E}"/>
  </w:font>
  <w:font w:name="Cambria">
    <w:panose1 w:val="02040503050406030204"/>
    <w:charset w:val="00"/>
    <w:family w:val="roman"/>
    <w:pitch w:val="variable"/>
    <w:sig w:usb0="E00006FF" w:usb1="420024FF" w:usb2="02000000" w:usb3="00000000" w:csb0="0000019F" w:csb1="00000000"/>
    <w:embedRegular r:id="rId4" w:fontKey="{F9CABAB3-6930-48AF-A8AA-F1665487800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2DFC3" w14:textId="77777777" w:rsidR="00BF3B68" w:rsidRDefault="00BF3B68">
      <w:r>
        <w:separator/>
      </w:r>
    </w:p>
  </w:footnote>
  <w:footnote w:type="continuationSeparator" w:id="0">
    <w:p w14:paraId="3013D07D" w14:textId="77777777" w:rsidR="00BF3B68" w:rsidRDefault="00BF3B68">
      <w:r>
        <w:continuationSeparator/>
      </w:r>
    </w:p>
  </w:footnote>
  <w:footnote w:id="1">
    <w:p w14:paraId="64B6AA7B" w14:textId="77777777" w:rsidR="005967E9" w:rsidRPr="005D2A7C" w:rsidRDefault="005967E9" w:rsidP="005967E9">
      <w:pPr>
        <w:pStyle w:val="FootnoteText"/>
        <w:jc w:val="both"/>
        <w:rPr>
          <w:lang w:val="en-US"/>
        </w:rPr>
      </w:pPr>
      <w:r>
        <w:rPr>
          <w:rStyle w:val="FootnoteReference"/>
        </w:rPr>
        <w:footnoteRef/>
      </w:r>
      <w:r>
        <w:t xml:space="preserve"> </w:t>
      </w:r>
      <w:r w:rsidRPr="005D2A7C">
        <w:t xml:space="preserve">Thomas, J., Worsley, A., &amp; Fullwood, C. (2024). The metaverse and human experience: Emerging perspectives on digital interaction. </w:t>
      </w:r>
      <w:r w:rsidRPr="005D2A7C">
        <w:rPr>
          <w:i/>
          <w:iCs/>
        </w:rPr>
        <w:t>Frontiers in Virtual Reality</w:t>
      </w:r>
      <w:r w:rsidRPr="005D2A7C">
        <w:t>, 5, 38197844. https://doi.org/10.3389/frvir.2024.38197844</w:t>
      </w:r>
    </w:p>
  </w:footnote>
  <w:footnote w:id="2">
    <w:p w14:paraId="144A64F4" w14:textId="77777777" w:rsidR="005967E9" w:rsidRPr="005D2A7C" w:rsidRDefault="005967E9" w:rsidP="005967E9">
      <w:pPr>
        <w:pStyle w:val="FootnoteText"/>
        <w:jc w:val="both"/>
        <w:rPr>
          <w:lang w:val="en-US"/>
        </w:rPr>
      </w:pPr>
      <w:r>
        <w:rPr>
          <w:rStyle w:val="FootnoteReference"/>
        </w:rPr>
        <w:footnoteRef/>
      </w:r>
      <w:r>
        <w:t xml:space="preserve"> </w:t>
      </w:r>
      <w:proofErr w:type="spellStart"/>
      <w:r w:rsidRPr="005D2A7C">
        <w:t>Mystakidis</w:t>
      </w:r>
      <w:proofErr w:type="spellEnd"/>
      <w:r w:rsidRPr="005D2A7C">
        <w:t xml:space="preserve">, S. (2022). Metaverse. </w:t>
      </w:r>
      <w:r w:rsidRPr="005D2A7C">
        <w:rPr>
          <w:i/>
          <w:iCs/>
        </w:rPr>
        <w:t>Encyclopedia</w:t>
      </w:r>
      <w:r w:rsidRPr="005D2A7C">
        <w:t xml:space="preserve">, 2(1), 486–497. </w:t>
      </w:r>
      <w:hyperlink r:id="rId1" w:tgtFrame="_new" w:history="1">
        <w:r w:rsidRPr="005D2A7C">
          <w:rPr>
            <w:rStyle w:val="Hyperlink"/>
            <w:color w:val="000000" w:themeColor="text1"/>
            <w:u w:val="none"/>
          </w:rPr>
          <w:t>https://doi.org/10.3390/encyclopedia2010031</w:t>
        </w:r>
      </w:hyperlink>
    </w:p>
  </w:footnote>
  <w:footnote w:id="3">
    <w:p w14:paraId="3F2F6CB0" w14:textId="77777777" w:rsidR="005967E9" w:rsidRPr="005D2A7C" w:rsidRDefault="005967E9" w:rsidP="005967E9">
      <w:pPr>
        <w:pStyle w:val="FootnoteText"/>
        <w:rPr>
          <w:lang w:val="en-US"/>
        </w:rPr>
      </w:pPr>
      <w:r>
        <w:rPr>
          <w:rStyle w:val="FootnoteReference"/>
        </w:rPr>
        <w:footnoteRef/>
      </w:r>
      <w:r>
        <w:t xml:space="preserve"> </w:t>
      </w:r>
      <w:r w:rsidRPr="005D2A7C">
        <w:t xml:space="preserve">Campbell, H. A. (2021). </w:t>
      </w:r>
      <w:r w:rsidRPr="005D2A7C">
        <w:rPr>
          <w:i/>
          <w:iCs/>
        </w:rPr>
        <w:t>Digital religion: Understanding religious practice in digital media</w:t>
      </w:r>
      <w:r w:rsidRPr="005D2A7C">
        <w:t xml:space="preserve"> (2nd ed.). Routledge. </w:t>
      </w:r>
      <w:hyperlink r:id="rId2" w:tgtFrame="_new" w:history="1">
        <w:r w:rsidRPr="005D2A7C">
          <w:rPr>
            <w:rStyle w:val="Hyperlink"/>
            <w:color w:val="000000" w:themeColor="text1"/>
            <w:u w:val="none"/>
          </w:rPr>
          <w:t>https://doi.org/10.4324/9780429295683</w:t>
        </w:r>
      </w:hyperlink>
    </w:p>
  </w:footnote>
  <w:footnote w:id="4">
    <w:p w14:paraId="692C0F37" w14:textId="77777777" w:rsidR="005967E9" w:rsidRPr="005D2A7C" w:rsidRDefault="005967E9" w:rsidP="005967E9">
      <w:pPr>
        <w:pStyle w:val="FootnoteText"/>
        <w:rPr>
          <w:lang w:val="en-US"/>
        </w:rPr>
      </w:pPr>
      <w:r>
        <w:rPr>
          <w:rStyle w:val="FootnoteReference"/>
        </w:rPr>
        <w:footnoteRef/>
      </w:r>
      <w:r>
        <w:t xml:space="preserve"> </w:t>
      </w:r>
      <w:r w:rsidRPr="005D2A7C">
        <w:t xml:space="preserve">Jubba, H., Qodir, Z., </w:t>
      </w:r>
      <w:proofErr w:type="spellStart"/>
      <w:r w:rsidRPr="005D2A7C">
        <w:t>Hidayati</w:t>
      </w:r>
      <w:proofErr w:type="spellEnd"/>
      <w:r w:rsidRPr="005D2A7C">
        <w:t xml:space="preserve">, M., &amp; </w:t>
      </w:r>
      <w:proofErr w:type="spellStart"/>
      <w:r w:rsidRPr="005D2A7C">
        <w:t>Hapsin</w:t>
      </w:r>
      <w:proofErr w:type="spellEnd"/>
      <w:r w:rsidRPr="005D2A7C">
        <w:t xml:space="preserve">, A. (2024). Virtual hajj in the metaverse: Religious perception and digital practice. </w:t>
      </w:r>
      <w:proofErr w:type="spellStart"/>
      <w:r w:rsidRPr="005D2A7C">
        <w:rPr>
          <w:i/>
          <w:iCs/>
        </w:rPr>
        <w:t>Jurnal</w:t>
      </w:r>
      <w:proofErr w:type="spellEnd"/>
      <w:r w:rsidRPr="005D2A7C">
        <w:rPr>
          <w:i/>
          <w:iCs/>
        </w:rPr>
        <w:t xml:space="preserve"> </w:t>
      </w:r>
      <w:proofErr w:type="spellStart"/>
      <w:r w:rsidRPr="005D2A7C">
        <w:rPr>
          <w:i/>
          <w:iCs/>
        </w:rPr>
        <w:t>Ilmiah</w:t>
      </w:r>
      <w:proofErr w:type="spellEnd"/>
      <w:r w:rsidRPr="005D2A7C">
        <w:rPr>
          <w:i/>
          <w:iCs/>
        </w:rPr>
        <w:t xml:space="preserve"> Keislaman dan </w:t>
      </w:r>
      <w:proofErr w:type="spellStart"/>
      <w:r w:rsidRPr="005D2A7C">
        <w:rPr>
          <w:i/>
          <w:iCs/>
        </w:rPr>
        <w:t>Kemasyarakatan</w:t>
      </w:r>
      <w:proofErr w:type="spellEnd"/>
      <w:r w:rsidRPr="005D2A7C">
        <w:t>, 19(2), 145–162. https://doi.org/10.15575/ji.v19i2.33244</w:t>
      </w:r>
    </w:p>
  </w:footnote>
  <w:footnote w:id="5">
    <w:p w14:paraId="74B27565" w14:textId="77777777" w:rsidR="005967E9" w:rsidRPr="000453E2" w:rsidRDefault="005967E9" w:rsidP="005967E9">
      <w:pPr>
        <w:pStyle w:val="FootnoteText"/>
        <w:jc w:val="both"/>
        <w:rPr>
          <w:lang w:val="en-US"/>
        </w:rPr>
      </w:pPr>
      <w:r>
        <w:rPr>
          <w:rStyle w:val="FootnoteReference"/>
        </w:rPr>
        <w:footnoteRef/>
      </w:r>
      <w:r>
        <w:t xml:space="preserve"> </w:t>
      </w:r>
      <w:r w:rsidRPr="000453E2">
        <w:t xml:space="preserve">Creswell, J. W., &amp; Creswell, J. D. (2018). Research design: Qualitative, quantitative, and mixed methods </w:t>
      </w:r>
      <w:proofErr w:type="gramStart"/>
      <w:r w:rsidRPr="000453E2">
        <w:t>approaches</w:t>
      </w:r>
      <w:proofErr w:type="gramEnd"/>
      <w:r w:rsidRPr="000453E2">
        <w:t xml:space="preserve"> (5th ed.). SAGE Publications.</w:t>
      </w:r>
    </w:p>
  </w:footnote>
  <w:footnote w:id="6">
    <w:p w14:paraId="05E89D7A" w14:textId="77777777" w:rsidR="00932735" w:rsidRPr="000453E2" w:rsidRDefault="00932735" w:rsidP="00932735">
      <w:pPr>
        <w:pStyle w:val="FootnoteText"/>
        <w:rPr>
          <w:lang w:val="en-US"/>
        </w:rPr>
      </w:pPr>
      <w:r>
        <w:rPr>
          <w:rStyle w:val="FootnoteReference"/>
        </w:rPr>
        <w:footnoteRef/>
      </w:r>
      <w:r>
        <w:t xml:space="preserve"> </w:t>
      </w:r>
      <w:r w:rsidRPr="000453E2">
        <w:t xml:space="preserve">Snyder, H. (2019). Literature review as a research methodology: An overview and guidelines. </w:t>
      </w:r>
      <w:r w:rsidRPr="000453E2">
        <w:rPr>
          <w:i/>
          <w:iCs/>
        </w:rPr>
        <w:t>Journal of Business Research</w:t>
      </w:r>
      <w:r w:rsidRPr="000453E2">
        <w:t xml:space="preserve">, 104, 333–339. </w:t>
      </w:r>
      <w:hyperlink r:id="rId3" w:tgtFrame="_new" w:history="1">
        <w:r w:rsidRPr="000453E2">
          <w:rPr>
            <w:rStyle w:val="Hyperlink"/>
            <w:color w:val="000000" w:themeColor="text1"/>
            <w:u w:val="none"/>
          </w:rPr>
          <w:t>https://doi.org/10.1016/j.jbusres.2019.07.039</w:t>
        </w:r>
      </w:hyperlink>
    </w:p>
  </w:footnote>
  <w:footnote w:id="7">
    <w:p w14:paraId="5F73CB4C" w14:textId="77777777" w:rsidR="00932735" w:rsidRPr="00E85391" w:rsidRDefault="00932735" w:rsidP="00932735">
      <w:pPr>
        <w:pStyle w:val="FootnoteText"/>
        <w:rPr>
          <w:lang w:val="en-US"/>
        </w:rPr>
      </w:pPr>
      <w:r>
        <w:rPr>
          <w:rStyle w:val="FootnoteReference"/>
        </w:rPr>
        <w:footnoteRef/>
      </w:r>
      <w:r>
        <w:t xml:space="preserve"> </w:t>
      </w:r>
      <w:r w:rsidRPr="00E85391">
        <w:t xml:space="preserve">Krippendorff, K. (2018). </w:t>
      </w:r>
      <w:r w:rsidRPr="00E85391">
        <w:rPr>
          <w:i/>
          <w:iCs/>
        </w:rPr>
        <w:t>Content analysis: An introduction to its methodology</w:t>
      </w:r>
      <w:r w:rsidRPr="00E85391">
        <w:t xml:space="preserve"> (4th ed.). SAGE Publications.</w:t>
      </w:r>
    </w:p>
  </w:footnote>
  <w:footnote w:id="8">
    <w:p w14:paraId="7A882CA2" w14:textId="77777777" w:rsidR="00932735" w:rsidRPr="00E85391" w:rsidRDefault="00932735" w:rsidP="00932735">
      <w:pPr>
        <w:pStyle w:val="FootnoteText"/>
        <w:rPr>
          <w:lang w:val="en-US"/>
        </w:rPr>
      </w:pPr>
      <w:r>
        <w:rPr>
          <w:rStyle w:val="FootnoteReference"/>
        </w:rPr>
        <w:footnoteRef/>
      </w:r>
      <w:r>
        <w:t xml:space="preserve"> </w:t>
      </w:r>
      <w:r w:rsidRPr="00E85391">
        <w:t xml:space="preserve">Jean Baudrillard. (1994). </w:t>
      </w:r>
      <w:r w:rsidRPr="00E85391">
        <w:rPr>
          <w:i/>
          <w:iCs/>
        </w:rPr>
        <w:t>Simulacra and simulation</w:t>
      </w:r>
      <w:r w:rsidRPr="00E85391">
        <w:t>. University of Michigan Press.</w:t>
      </w:r>
    </w:p>
  </w:footnote>
  <w:footnote w:id="9">
    <w:p w14:paraId="62E1E8AD" w14:textId="77777777" w:rsidR="00932735" w:rsidRPr="0086458A" w:rsidRDefault="00932735" w:rsidP="00932735">
      <w:pPr>
        <w:pStyle w:val="FootnoteText"/>
        <w:jc w:val="both"/>
        <w:rPr>
          <w:color w:val="000000" w:themeColor="text1"/>
          <w:lang w:val="en-US"/>
        </w:rPr>
      </w:pPr>
      <w:r>
        <w:rPr>
          <w:rStyle w:val="FootnoteReference"/>
        </w:rPr>
        <w:footnoteRef/>
      </w:r>
      <w:r>
        <w:t xml:space="preserve"> </w:t>
      </w:r>
      <w:proofErr w:type="spellStart"/>
      <w:r w:rsidRPr="0086458A">
        <w:t>Mystakidis</w:t>
      </w:r>
      <w:proofErr w:type="spellEnd"/>
      <w:r w:rsidRPr="0086458A">
        <w:t xml:space="preserve">, S. (2022). Metaverse. </w:t>
      </w:r>
      <w:r w:rsidRPr="0086458A">
        <w:rPr>
          <w:i/>
          <w:iCs/>
        </w:rPr>
        <w:t>Encyclopedia</w:t>
      </w:r>
      <w:r w:rsidRPr="0086458A">
        <w:t xml:space="preserve">, 2(1), 486–497. </w:t>
      </w:r>
      <w:hyperlink r:id="rId4" w:tgtFrame="_new" w:history="1">
        <w:r w:rsidRPr="0086458A">
          <w:rPr>
            <w:rStyle w:val="Hyperlink"/>
            <w:color w:val="000000" w:themeColor="text1"/>
            <w:u w:val="none"/>
          </w:rPr>
          <w:t>https://doi.org/10.3390/encyclopedia2010031</w:t>
        </w:r>
      </w:hyperlink>
    </w:p>
  </w:footnote>
  <w:footnote w:id="10">
    <w:p w14:paraId="2AF8B7F2"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Gregersen, E. (2026). Metaverse. </w:t>
      </w:r>
      <w:proofErr w:type="spellStart"/>
      <w:r w:rsidRPr="0086458A">
        <w:rPr>
          <w:i/>
          <w:iCs/>
        </w:rPr>
        <w:t>Encyclopaedia</w:t>
      </w:r>
      <w:proofErr w:type="spellEnd"/>
      <w:r w:rsidRPr="0086458A">
        <w:rPr>
          <w:i/>
          <w:iCs/>
        </w:rPr>
        <w:t xml:space="preserve"> Britannica</w:t>
      </w:r>
      <w:r w:rsidRPr="0086458A">
        <w:t xml:space="preserve">. </w:t>
      </w:r>
      <w:hyperlink r:id="rId5" w:tgtFrame="_new" w:history="1">
        <w:r w:rsidRPr="0086458A">
          <w:rPr>
            <w:rStyle w:val="Hyperlink"/>
            <w:color w:val="000000" w:themeColor="text1"/>
            <w:u w:val="none"/>
          </w:rPr>
          <w:t>https://www.britannica.com/topic/metaverse</w:t>
        </w:r>
      </w:hyperlink>
    </w:p>
  </w:footnote>
  <w:footnote w:id="11">
    <w:p w14:paraId="529F4E84" w14:textId="77777777" w:rsidR="00932735" w:rsidRPr="0086458A" w:rsidRDefault="00932735" w:rsidP="00932735">
      <w:pPr>
        <w:pStyle w:val="FootnoteText"/>
        <w:jc w:val="both"/>
        <w:rPr>
          <w:lang w:val="en-US"/>
        </w:rPr>
      </w:pPr>
      <w:r>
        <w:rPr>
          <w:rStyle w:val="FootnoteReference"/>
        </w:rPr>
        <w:footnoteRef/>
      </w:r>
      <w:r>
        <w:t xml:space="preserve"> </w:t>
      </w:r>
      <w:r w:rsidRPr="0086458A">
        <w:t xml:space="preserve">Ning, H., Wang, H., Lin, Y., Wang, W., </w:t>
      </w:r>
      <w:proofErr w:type="spellStart"/>
      <w:r w:rsidRPr="0086458A">
        <w:t>Dhelim</w:t>
      </w:r>
      <w:proofErr w:type="spellEnd"/>
      <w:r w:rsidRPr="0086458A">
        <w:t xml:space="preserve">, S., Farha, F., Ding, J., &amp; Daneshmand, M. (2021). </w:t>
      </w:r>
      <w:r w:rsidRPr="0086458A">
        <w:rPr>
          <w:i/>
          <w:iCs/>
        </w:rPr>
        <w:t>A survey on metaverse: The state-of-the-art, technologies, applications, and challenges</w:t>
      </w:r>
      <w:r w:rsidRPr="0086458A">
        <w:t xml:space="preserve">. </w:t>
      </w:r>
      <w:r w:rsidRPr="0086458A">
        <w:rPr>
          <w:i/>
          <w:iCs/>
        </w:rPr>
        <w:t>IEEE Internet of Things Journal</w:t>
      </w:r>
      <w:r w:rsidRPr="0086458A">
        <w:t>.</w:t>
      </w:r>
    </w:p>
  </w:footnote>
  <w:footnote w:id="12">
    <w:p w14:paraId="318A3AA5" w14:textId="77777777" w:rsidR="00932735" w:rsidRPr="0086458A" w:rsidRDefault="00932735" w:rsidP="00932735">
      <w:pPr>
        <w:pStyle w:val="FootnoteText"/>
        <w:rPr>
          <w:lang w:val="en-US"/>
        </w:rPr>
      </w:pPr>
      <w:r>
        <w:rPr>
          <w:rStyle w:val="FootnoteReference"/>
        </w:rPr>
        <w:footnoteRef/>
      </w:r>
      <w:r>
        <w:t xml:space="preserve"> </w:t>
      </w:r>
      <w:r w:rsidRPr="0086458A">
        <w:t xml:space="preserve">Bosworth, K. (2022). </w:t>
      </w:r>
      <w:r w:rsidRPr="0086458A">
        <w:rPr>
          <w:i/>
          <w:iCs/>
        </w:rPr>
        <w:t>What is the metaverse and what can we expect from it?</w:t>
      </w:r>
      <w:r w:rsidRPr="0086458A">
        <w:t xml:space="preserve"> MDPI Blog</w:t>
      </w:r>
    </w:p>
  </w:footnote>
  <w:footnote w:id="13">
    <w:p w14:paraId="4A1DE21E" w14:textId="77777777" w:rsidR="00932735" w:rsidRPr="0086458A" w:rsidRDefault="00932735" w:rsidP="00932735">
      <w:pPr>
        <w:pStyle w:val="FootnoteText"/>
        <w:rPr>
          <w:lang w:val="en-US"/>
        </w:rPr>
      </w:pPr>
      <w:r>
        <w:rPr>
          <w:rStyle w:val="FootnoteReference"/>
        </w:rPr>
        <w:footnoteRef/>
      </w:r>
      <w:r>
        <w:t xml:space="preserve"> </w:t>
      </w:r>
      <w:r w:rsidRPr="0086458A">
        <w:t xml:space="preserve">Bridges, N., &amp; Corcoran, P. (2024). What is the metaverse? </w:t>
      </w:r>
      <w:r w:rsidRPr="0086458A">
        <w:rPr>
          <w:i/>
          <w:iCs/>
        </w:rPr>
        <w:t>IEEE Metaverse Newsletter</w:t>
      </w:r>
      <w:r w:rsidRPr="0086458A">
        <w:t>.</w:t>
      </w:r>
    </w:p>
  </w:footnote>
  <w:footnote w:id="14">
    <w:p w14:paraId="5BA7FC89" w14:textId="7DA41892" w:rsidR="002656DC" w:rsidRPr="002656DC" w:rsidRDefault="002656DC">
      <w:pPr>
        <w:pStyle w:val="FootnoteText"/>
        <w:rPr>
          <w:lang w:val="en-US"/>
        </w:rPr>
      </w:pPr>
      <w:r>
        <w:rPr>
          <w:rStyle w:val="FootnoteReference"/>
        </w:rPr>
        <w:footnoteRef/>
      </w:r>
      <w:r>
        <w:t xml:space="preserve"> </w:t>
      </w:r>
      <w:r w:rsidRPr="00084F7C">
        <w:t xml:space="preserve">Kye, B., Han, N., Kim, E., Park, Y., &amp; Jo, S. (2021). Educational applications of metaverse: Possibilities and limitations. </w:t>
      </w:r>
      <w:r w:rsidRPr="00084F7C">
        <w:rPr>
          <w:i/>
          <w:iCs/>
        </w:rPr>
        <w:t>Journal of Educational Evaluation for Health Professions</w:t>
      </w:r>
      <w:r w:rsidRPr="00084F7C">
        <w:t>.</w:t>
      </w:r>
    </w:p>
  </w:footnote>
  <w:footnote w:id="15">
    <w:p w14:paraId="02186CF0" w14:textId="10FD42FB" w:rsidR="00481B91" w:rsidRPr="00481B91" w:rsidRDefault="00481B91" w:rsidP="00481B91">
      <w:pPr>
        <w:pStyle w:val="FootnoteText"/>
        <w:rPr>
          <w:lang w:val="en-US"/>
        </w:rPr>
      </w:pPr>
      <w:r>
        <w:rPr>
          <w:rStyle w:val="FootnoteReference"/>
        </w:rPr>
        <w:footnoteRef/>
      </w:r>
      <w:r>
        <w:t xml:space="preserve"> </w:t>
      </w:r>
      <w:r w:rsidRPr="00481B91">
        <w:t xml:space="preserve">Al-Ghazali, A. H. (2010). </w:t>
      </w:r>
      <w:proofErr w:type="spellStart"/>
      <w:r w:rsidRPr="00481B91">
        <w:rPr>
          <w:i/>
          <w:iCs/>
        </w:rPr>
        <w:t>Ihya</w:t>
      </w:r>
      <w:proofErr w:type="spellEnd"/>
      <w:r w:rsidRPr="00481B91">
        <w:rPr>
          <w:i/>
          <w:iCs/>
        </w:rPr>
        <w:t>’ ‘</w:t>
      </w:r>
      <w:proofErr w:type="spellStart"/>
      <w:r w:rsidRPr="00481B91">
        <w:rPr>
          <w:i/>
          <w:iCs/>
        </w:rPr>
        <w:t>ulum</w:t>
      </w:r>
      <w:proofErr w:type="spellEnd"/>
      <w:r w:rsidRPr="00481B91">
        <w:rPr>
          <w:i/>
          <w:iCs/>
        </w:rPr>
        <w:t xml:space="preserve"> al-din</w:t>
      </w:r>
      <w:r>
        <w:rPr>
          <w:i/>
          <w:iCs/>
        </w:rPr>
        <w:t>,</w:t>
      </w:r>
      <w:r w:rsidRPr="00481B91">
        <w:t xml:space="preserve"> </w:t>
      </w:r>
      <w:proofErr w:type="spellStart"/>
      <w:r>
        <w:t>juz</w:t>
      </w:r>
      <w:proofErr w:type="spellEnd"/>
      <w:r w:rsidRPr="00481B91">
        <w:t xml:space="preserve"> 1</w:t>
      </w:r>
      <w:r>
        <w:t>,</w:t>
      </w:r>
      <w:r w:rsidRPr="00481B91">
        <w:t xml:space="preserve"> Dar al-</w:t>
      </w:r>
      <w:proofErr w:type="spellStart"/>
      <w:r w:rsidRPr="00481B91">
        <w:t>Kutub</w:t>
      </w:r>
      <w:proofErr w:type="spellEnd"/>
      <w:r w:rsidRPr="00481B91">
        <w:t xml:space="preserve"> al</w:t>
      </w:r>
      <w:proofErr w:type="gramStart"/>
      <w:r w:rsidRPr="00481B91">
        <w:t>-‘</w:t>
      </w:r>
      <w:proofErr w:type="spellStart"/>
      <w:proofErr w:type="gramEnd"/>
      <w:r w:rsidRPr="00481B91">
        <w:t>Ilmiyyah</w:t>
      </w:r>
      <w:proofErr w:type="spellEnd"/>
      <w:r>
        <w:t xml:space="preserve">, </w:t>
      </w:r>
      <w:proofErr w:type="spellStart"/>
      <w:r>
        <w:t>hlm</w:t>
      </w:r>
      <w:proofErr w:type="spellEnd"/>
      <w:r>
        <w:t>. 159</w:t>
      </w:r>
    </w:p>
  </w:footnote>
  <w:footnote w:id="16">
    <w:p w14:paraId="1CD30C0D" w14:textId="55BD933A" w:rsidR="008A321E" w:rsidRPr="00481B91" w:rsidRDefault="008A321E" w:rsidP="008A321E">
      <w:pPr>
        <w:pStyle w:val="FootnoteText"/>
        <w:rPr>
          <w:lang w:val="en-US"/>
        </w:rPr>
      </w:pPr>
      <w:r>
        <w:rPr>
          <w:rStyle w:val="FootnoteReference"/>
        </w:rPr>
        <w:footnoteRef/>
      </w:r>
      <w:r>
        <w:t xml:space="preserve"> </w:t>
      </w:r>
      <w:r w:rsidRPr="00481B91">
        <w:t xml:space="preserve">Al-Nawawi, Y. (2005). </w:t>
      </w:r>
      <w:r w:rsidRPr="00481B91">
        <w:rPr>
          <w:i/>
          <w:iCs/>
        </w:rPr>
        <w:t>Al-</w:t>
      </w:r>
      <w:proofErr w:type="spellStart"/>
      <w:proofErr w:type="gramStart"/>
      <w:r w:rsidRPr="00481B91">
        <w:rPr>
          <w:i/>
          <w:iCs/>
        </w:rPr>
        <w:t>majmu</w:t>
      </w:r>
      <w:proofErr w:type="spellEnd"/>
      <w:r w:rsidRPr="00481B91">
        <w:rPr>
          <w:i/>
          <w:iCs/>
        </w:rPr>
        <w:t xml:space="preserve">‘ </w:t>
      </w:r>
      <w:proofErr w:type="spellStart"/>
      <w:r w:rsidRPr="00481B91">
        <w:rPr>
          <w:i/>
          <w:iCs/>
        </w:rPr>
        <w:t>sharh</w:t>
      </w:r>
      <w:proofErr w:type="spellEnd"/>
      <w:proofErr w:type="gramEnd"/>
      <w:r w:rsidRPr="00481B91">
        <w:rPr>
          <w:i/>
          <w:iCs/>
        </w:rPr>
        <w:t xml:space="preserve"> al-</w:t>
      </w:r>
      <w:proofErr w:type="spellStart"/>
      <w:r w:rsidRPr="00481B91">
        <w:rPr>
          <w:i/>
          <w:iCs/>
        </w:rPr>
        <w:t>muhadhdhab</w:t>
      </w:r>
      <w:proofErr w:type="spellEnd"/>
      <w:r>
        <w:rPr>
          <w:i/>
          <w:iCs/>
        </w:rPr>
        <w:t>,</w:t>
      </w:r>
      <w:r w:rsidRPr="00481B91">
        <w:t xml:space="preserve"> </w:t>
      </w:r>
      <w:proofErr w:type="spellStart"/>
      <w:r>
        <w:t>juz</w:t>
      </w:r>
      <w:proofErr w:type="spellEnd"/>
      <w:r w:rsidRPr="00481B91">
        <w:t xml:space="preserve"> 3</w:t>
      </w:r>
      <w:r>
        <w:t>,</w:t>
      </w:r>
      <w:r w:rsidRPr="00481B91">
        <w:t xml:space="preserve"> Dar al-Fikr</w:t>
      </w:r>
      <w:r>
        <w:t xml:space="preserve">, </w:t>
      </w:r>
      <w:proofErr w:type="spellStart"/>
      <w:r>
        <w:t>hlm</w:t>
      </w:r>
      <w:proofErr w:type="spellEnd"/>
      <w:r>
        <w:t xml:space="preserve"> 166</w:t>
      </w:r>
    </w:p>
  </w:footnote>
  <w:footnote w:id="17">
    <w:p w14:paraId="5E9F7645" w14:textId="78C7A2CB" w:rsidR="008A321E" w:rsidRPr="008A321E" w:rsidRDefault="008A321E" w:rsidP="008A321E">
      <w:pPr>
        <w:pStyle w:val="FootnoteText"/>
        <w:rPr>
          <w:lang w:val="en-US"/>
        </w:rPr>
      </w:pPr>
      <w:r>
        <w:rPr>
          <w:rStyle w:val="FootnoteReference"/>
        </w:rPr>
        <w:footnoteRef/>
      </w:r>
      <w:r>
        <w:t xml:space="preserve"> </w:t>
      </w:r>
      <w:r w:rsidRPr="008A321E">
        <w:t xml:space="preserve">Ibn Taymiyyah, A. (2004). </w:t>
      </w:r>
      <w:proofErr w:type="spellStart"/>
      <w:proofErr w:type="gramStart"/>
      <w:r w:rsidRPr="008A321E">
        <w:rPr>
          <w:i/>
          <w:iCs/>
        </w:rPr>
        <w:t>Majmu</w:t>
      </w:r>
      <w:proofErr w:type="spellEnd"/>
      <w:r w:rsidRPr="008A321E">
        <w:rPr>
          <w:i/>
          <w:iCs/>
        </w:rPr>
        <w:t>‘ al</w:t>
      </w:r>
      <w:proofErr w:type="gramEnd"/>
      <w:r w:rsidRPr="008A321E">
        <w:rPr>
          <w:i/>
          <w:iCs/>
        </w:rPr>
        <w:t>-</w:t>
      </w:r>
      <w:proofErr w:type="spellStart"/>
      <w:r w:rsidRPr="008A321E">
        <w:rPr>
          <w:i/>
          <w:iCs/>
        </w:rPr>
        <w:t>fatawa</w:t>
      </w:r>
      <w:proofErr w:type="spellEnd"/>
      <w:r>
        <w:rPr>
          <w:i/>
          <w:iCs/>
        </w:rPr>
        <w:t>,</w:t>
      </w:r>
      <w:r w:rsidRPr="008A321E">
        <w:t xml:space="preserve"> </w:t>
      </w:r>
      <w:proofErr w:type="spellStart"/>
      <w:r>
        <w:t>juz</w:t>
      </w:r>
      <w:proofErr w:type="spellEnd"/>
      <w:r>
        <w:t xml:space="preserve"> </w:t>
      </w:r>
      <w:r w:rsidRPr="008A321E">
        <w:t>22</w:t>
      </w:r>
      <w:r>
        <w:t xml:space="preserve">, </w:t>
      </w:r>
      <w:r w:rsidRPr="008A321E">
        <w:t>King Fahd Complex for the Printing of the Holy Qur’an</w:t>
      </w:r>
      <w:r>
        <w:t xml:space="preserve">, </w:t>
      </w:r>
      <w:proofErr w:type="spellStart"/>
      <w:r>
        <w:t>hlm</w:t>
      </w:r>
      <w:proofErr w:type="spellEnd"/>
      <w:r>
        <w:t>. 510</w:t>
      </w:r>
    </w:p>
  </w:footnote>
  <w:footnote w:id="18">
    <w:p w14:paraId="3F020161" w14:textId="5B5F6331" w:rsidR="0040453F" w:rsidRPr="0040453F" w:rsidRDefault="0040453F" w:rsidP="0040453F">
      <w:pPr>
        <w:pStyle w:val="FootnoteText"/>
        <w:rPr>
          <w:lang w:val="en-US"/>
        </w:rPr>
      </w:pPr>
      <w:r>
        <w:rPr>
          <w:rStyle w:val="FootnoteReference"/>
        </w:rPr>
        <w:footnoteRef/>
      </w:r>
      <w:r>
        <w:t xml:space="preserve"> </w:t>
      </w:r>
      <w:r w:rsidRPr="0040453F">
        <w:t xml:space="preserve">Ibn Khaldun, A. (2005). </w:t>
      </w:r>
      <w:r w:rsidRPr="0040453F">
        <w:rPr>
          <w:i/>
          <w:iCs/>
        </w:rPr>
        <w:t>Al-</w:t>
      </w:r>
      <w:proofErr w:type="spellStart"/>
      <w:r w:rsidRPr="0040453F">
        <w:rPr>
          <w:i/>
          <w:iCs/>
        </w:rPr>
        <w:t>muqaddimah</w:t>
      </w:r>
      <w:proofErr w:type="spellEnd"/>
      <w:r>
        <w:t>,</w:t>
      </w:r>
      <w:r w:rsidRPr="0040453F">
        <w:t xml:space="preserve"> Dar al-Fikr</w:t>
      </w:r>
      <w:r>
        <w:t xml:space="preserve">, </w:t>
      </w:r>
      <w:proofErr w:type="spellStart"/>
      <w:r>
        <w:t>hlm</w:t>
      </w:r>
      <w:proofErr w:type="spellEnd"/>
      <w:r>
        <w:t>. 95</w:t>
      </w:r>
    </w:p>
  </w:footnote>
  <w:footnote w:id="19">
    <w:p w14:paraId="04D4A033" w14:textId="25685F59" w:rsidR="00ED07CA" w:rsidRPr="00ED07CA" w:rsidRDefault="00ED07CA" w:rsidP="00ED07CA">
      <w:pPr>
        <w:pStyle w:val="FootnoteText"/>
        <w:jc w:val="both"/>
        <w:rPr>
          <w:lang w:val="en-US"/>
        </w:rPr>
      </w:pPr>
      <w:r>
        <w:rPr>
          <w:rStyle w:val="FootnoteReference"/>
        </w:rPr>
        <w:footnoteRef/>
      </w:r>
      <w:r>
        <w:t xml:space="preserve"> </w:t>
      </w:r>
      <w:r w:rsidRPr="00ED07CA">
        <w:t xml:space="preserve">Ibn </w:t>
      </w:r>
      <w:proofErr w:type="gramStart"/>
      <w:r w:rsidRPr="00ED07CA">
        <w:t>Jama‘</w:t>
      </w:r>
      <w:proofErr w:type="gramEnd"/>
      <w:r w:rsidRPr="00ED07CA">
        <w:t xml:space="preserve">ah, B. (2012). </w:t>
      </w:r>
      <w:proofErr w:type="spellStart"/>
      <w:r w:rsidRPr="00ED07CA">
        <w:rPr>
          <w:i/>
          <w:iCs/>
        </w:rPr>
        <w:t>Tadhkirat</w:t>
      </w:r>
      <w:proofErr w:type="spellEnd"/>
      <w:r w:rsidRPr="00ED07CA">
        <w:rPr>
          <w:i/>
          <w:iCs/>
        </w:rPr>
        <w:t xml:space="preserve"> al-</w:t>
      </w:r>
      <w:proofErr w:type="spellStart"/>
      <w:proofErr w:type="gramStart"/>
      <w:r w:rsidRPr="00ED07CA">
        <w:rPr>
          <w:i/>
          <w:iCs/>
        </w:rPr>
        <w:t>sami</w:t>
      </w:r>
      <w:proofErr w:type="spellEnd"/>
      <w:r w:rsidRPr="00ED07CA">
        <w:rPr>
          <w:i/>
          <w:iCs/>
        </w:rPr>
        <w:t xml:space="preserve">‘ </w:t>
      </w:r>
      <w:proofErr w:type="spellStart"/>
      <w:r w:rsidRPr="00ED07CA">
        <w:rPr>
          <w:i/>
          <w:iCs/>
        </w:rPr>
        <w:t>wa</w:t>
      </w:r>
      <w:proofErr w:type="spellEnd"/>
      <w:proofErr w:type="gramEnd"/>
      <w:r w:rsidRPr="00ED07CA">
        <w:rPr>
          <w:i/>
          <w:iCs/>
        </w:rPr>
        <w:t xml:space="preserve"> al-</w:t>
      </w:r>
      <w:proofErr w:type="spellStart"/>
      <w:r w:rsidRPr="00ED07CA">
        <w:rPr>
          <w:i/>
          <w:iCs/>
        </w:rPr>
        <w:t>mutakallim</w:t>
      </w:r>
      <w:proofErr w:type="spellEnd"/>
      <w:r w:rsidRPr="00ED07CA">
        <w:rPr>
          <w:i/>
          <w:iCs/>
        </w:rPr>
        <w:t xml:space="preserve"> fi adab al</w:t>
      </w:r>
      <w:proofErr w:type="gramStart"/>
      <w:r w:rsidRPr="00ED07CA">
        <w:rPr>
          <w:i/>
          <w:iCs/>
        </w:rPr>
        <w:t>-‘</w:t>
      </w:r>
      <w:proofErr w:type="gramEnd"/>
      <w:r w:rsidRPr="00ED07CA">
        <w:rPr>
          <w:i/>
          <w:iCs/>
        </w:rPr>
        <w:t xml:space="preserve">alim </w:t>
      </w:r>
      <w:proofErr w:type="spellStart"/>
      <w:r w:rsidRPr="00ED07CA">
        <w:rPr>
          <w:i/>
          <w:iCs/>
        </w:rPr>
        <w:t>wa</w:t>
      </w:r>
      <w:proofErr w:type="spellEnd"/>
      <w:r w:rsidRPr="00ED07CA">
        <w:rPr>
          <w:i/>
          <w:iCs/>
        </w:rPr>
        <w:t xml:space="preserve"> al-</w:t>
      </w:r>
      <w:proofErr w:type="spellStart"/>
      <w:proofErr w:type="gramStart"/>
      <w:r w:rsidRPr="00ED07CA">
        <w:rPr>
          <w:i/>
          <w:iCs/>
        </w:rPr>
        <w:t>muta‘</w:t>
      </w:r>
      <w:proofErr w:type="gramEnd"/>
      <w:r w:rsidRPr="00ED07CA">
        <w:rPr>
          <w:i/>
          <w:iCs/>
        </w:rPr>
        <w:t>allim</w:t>
      </w:r>
      <w:proofErr w:type="spellEnd"/>
      <w:r>
        <w:t xml:space="preserve">, </w:t>
      </w:r>
      <w:r w:rsidRPr="00ED07CA">
        <w:t>Dar al-</w:t>
      </w:r>
      <w:proofErr w:type="spellStart"/>
      <w:r w:rsidRPr="00ED07CA">
        <w:t>Kutub</w:t>
      </w:r>
      <w:proofErr w:type="spellEnd"/>
      <w:r w:rsidRPr="00ED07CA">
        <w:t xml:space="preserve"> al</w:t>
      </w:r>
      <w:proofErr w:type="gramStart"/>
      <w:r w:rsidRPr="00ED07CA">
        <w:t>-‘</w:t>
      </w:r>
      <w:proofErr w:type="spellStart"/>
      <w:proofErr w:type="gramEnd"/>
      <w:r w:rsidRPr="00ED07CA">
        <w:t>Ilmiyyah</w:t>
      </w:r>
      <w:proofErr w:type="spellEnd"/>
      <w:r>
        <w:t xml:space="preserve">, </w:t>
      </w:r>
      <w:proofErr w:type="spellStart"/>
      <w:r>
        <w:t>hlm</w:t>
      </w:r>
      <w:proofErr w:type="spellEnd"/>
      <w:r>
        <w:t>. 86</w:t>
      </w:r>
    </w:p>
  </w:footnote>
  <w:footnote w:id="20">
    <w:p w14:paraId="64C6FA71" w14:textId="387A470B" w:rsidR="005E1B73" w:rsidRPr="005E1B73" w:rsidRDefault="005E1B73" w:rsidP="005E1B73">
      <w:pPr>
        <w:pStyle w:val="FootnoteText"/>
        <w:rPr>
          <w:lang w:val="en-US"/>
        </w:rPr>
      </w:pPr>
      <w:r>
        <w:rPr>
          <w:rStyle w:val="FootnoteReference"/>
        </w:rPr>
        <w:footnoteRef/>
      </w:r>
      <w:r>
        <w:t xml:space="preserve"> </w:t>
      </w:r>
      <w:r w:rsidRPr="005E1B73">
        <w:t>Al-</w:t>
      </w:r>
      <w:proofErr w:type="spellStart"/>
      <w:r w:rsidRPr="005E1B73">
        <w:t>Zarnuji</w:t>
      </w:r>
      <w:proofErr w:type="spellEnd"/>
      <w:r w:rsidRPr="005E1B73">
        <w:t xml:space="preserve">, B. (2013). </w:t>
      </w:r>
      <w:proofErr w:type="spellStart"/>
      <w:proofErr w:type="gramStart"/>
      <w:r w:rsidRPr="005E1B73">
        <w:rPr>
          <w:i/>
          <w:iCs/>
        </w:rPr>
        <w:t>Ta‘</w:t>
      </w:r>
      <w:proofErr w:type="gramEnd"/>
      <w:r w:rsidRPr="005E1B73">
        <w:rPr>
          <w:i/>
          <w:iCs/>
        </w:rPr>
        <w:t>lim</w:t>
      </w:r>
      <w:proofErr w:type="spellEnd"/>
      <w:r w:rsidRPr="005E1B73">
        <w:rPr>
          <w:i/>
          <w:iCs/>
        </w:rPr>
        <w:t xml:space="preserve"> al-</w:t>
      </w:r>
      <w:proofErr w:type="spellStart"/>
      <w:proofErr w:type="gramStart"/>
      <w:r w:rsidRPr="005E1B73">
        <w:rPr>
          <w:i/>
          <w:iCs/>
        </w:rPr>
        <w:t>muta‘</w:t>
      </w:r>
      <w:proofErr w:type="gramEnd"/>
      <w:r w:rsidRPr="005E1B73">
        <w:rPr>
          <w:i/>
          <w:iCs/>
        </w:rPr>
        <w:t>allim</w:t>
      </w:r>
      <w:proofErr w:type="spellEnd"/>
      <w:r w:rsidRPr="005E1B73">
        <w:rPr>
          <w:i/>
          <w:iCs/>
        </w:rPr>
        <w:t xml:space="preserve"> </w:t>
      </w:r>
      <w:proofErr w:type="spellStart"/>
      <w:r w:rsidRPr="005E1B73">
        <w:rPr>
          <w:i/>
          <w:iCs/>
        </w:rPr>
        <w:t>tariq</w:t>
      </w:r>
      <w:proofErr w:type="spellEnd"/>
      <w:r w:rsidRPr="005E1B73">
        <w:rPr>
          <w:i/>
          <w:iCs/>
        </w:rPr>
        <w:t xml:space="preserve"> al-</w:t>
      </w:r>
      <w:proofErr w:type="spellStart"/>
      <w:proofErr w:type="gramStart"/>
      <w:r w:rsidRPr="005E1B73">
        <w:rPr>
          <w:i/>
          <w:iCs/>
        </w:rPr>
        <w:t>ta‘</w:t>
      </w:r>
      <w:proofErr w:type="gramEnd"/>
      <w:r w:rsidRPr="005E1B73">
        <w:rPr>
          <w:i/>
          <w:iCs/>
        </w:rPr>
        <w:t>allum</w:t>
      </w:r>
      <w:proofErr w:type="spellEnd"/>
      <w:r>
        <w:t xml:space="preserve">, </w:t>
      </w:r>
      <w:r w:rsidRPr="005E1B73">
        <w:t>Dar Ibn Kathir</w:t>
      </w:r>
      <w:r>
        <w:t xml:space="preserve">, </w:t>
      </w:r>
      <w:proofErr w:type="spellStart"/>
      <w:r>
        <w:t>hlm</w:t>
      </w:r>
      <w:proofErr w:type="spellEnd"/>
      <w:r>
        <w:t>. 15</w:t>
      </w:r>
    </w:p>
  </w:footnote>
  <w:footnote w:id="21">
    <w:p w14:paraId="586F1596" w14:textId="77777777" w:rsidR="00AE1028" w:rsidRPr="005E1B73" w:rsidRDefault="00AE1028" w:rsidP="00AE1028">
      <w:pPr>
        <w:pStyle w:val="FootnoteText"/>
        <w:rPr>
          <w:lang w:val="en-US"/>
        </w:rPr>
      </w:pPr>
      <w:r>
        <w:rPr>
          <w:rStyle w:val="FootnoteReference"/>
        </w:rPr>
        <w:footnoteRef/>
      </w:r>
      <w:r>
        <w:t xml:space="preserve"> </w:t>
      </w:r>
      <w:r w:rsidRPr="005E1B73">
        <w:t xml:space="preserve">Thomas, J., </w:t>
      </w:r>
      <w:proofErr w:type="spellStart"/>
      <w:r w:rsidRPr="005E1B73">
        <w:t>Kuhail</w:t>
      </w:r>
      <w:proofErr w:type="spellEnd"/>
      <w:r w:rsidRPr="005E1B73">
        <w:t xml:space="preserve">, M. A., &amp; </w:t>
      </w:r>
      <w:proofErr w:type="spellStart"/>
      <w:r w:rsidRPr="005E1B73">
        <w:t>AlBeyahi</w:t>
      </w:r>
      <w:proofErr w:type="spellEnd"/>
      <w:r w:rsidRPr="005E1B73">
        <w:t xml:space="preserve">, F. (2024). The metaverse and religious practice and wellbeing: A narrative review. </w:t>
      </w:r>
      <w:r w:rsidRPr="005E1B73">
        <w:rPr>
          <w:i/>
          <w:iCs/>
        </w:rPr>
        <w:t>Cyberpsychology, Behavior, and Social Networking</w:t>
      </w:r>
      <w:r w:rsidRPr="005E1B73">
        <w:t xml:space="preserve">, 27(1), 57–63. </w:t>
      </w:r>
      <w:hyperlink r:id="rId6" w:tgtFrame="_new" w:history="1">
        <w:r w:rsidRPr="005E1B73">
          <w:rPr>
            <w:rStyle w:val="Hyperlink"/>
            <w:color w:val="000000" w:themeColor="text1"/>
            <w:u w:val="none"/>
          </w:rPr>
          <w:t>https://doi.org/10.1089/cyber.2023.0003</w:t>
        </w:r>
      </w:hyperlink>
    </w:p>
  </w:footnote>
  <w:footnote w:id="22">
    <w:p w14:paraId="629831CF" w14:textId="77777777" w:rsidR="00AE1028" w:rsidRPr="005E1B73" w:rsidRDefault="00AE1028" w:rsidP="00AE1028">
      <w:pPr>
        <w:pStyle w:val="FootnoteText"/>
        <w:rPr>
          <w:lang w:val="en-US"/>
        </w:rPr>
      </w:pPr>
      <w:r>
        <w:rPr>
          <w:rStyle w:val="FootnoteReference"/>
        </w:rPr>
        <w:footnoteRef/>
      </w:r>
      <w:r>
        <w:t xml:space="preserve"> </w:t>
      </w:r>
      <w:r w:rsidRPr="005E1B73">
        <w:t xml:space="preserve">Yıldız, M. (2023). Virtual reality in religious education: The role of metaverse. </w:t>
      </w:r>
      <w:proofErr w:type="spellStart"/>
      <w:r w:rsidRPr="005E1B73">
        <w:rPr>
          <w:i/>
          <w:iCs/>
        </w:rPr>
        <w:t>Ulusal</w:t>
      </w:r>
      <w:proofErr w:type="spellEnd"/>
      <w:r w:rsidRPr="005E1B73">
        <w:rPr>
          <w:i/>
          <w:iCs/>
        </w:rPr>
        <w:t xml:space="preserve"> </w:t>
      </w:r>
      <w:proofErr w:type="spellStart"/>
      <w:r w:rsidRPr="005E1B73">
        <w:rPr>
          <w:i/>
          <w:iCs/>
        </w:rPr>
        <w:t>ve</w:t>
      </w:r>
      <w:proofErr w:type="spellEnd"/>
      <w:r w:rsidRPr="005E1B73">
        <w:rPr>
          <w:i/>
          <w:iCs/>
        </w:rPr>
        <w:t xml:space="preserve"> </w:t>
      </w:r>
      <w:proofErr w:type="spellStart"/>
      <w:r w:rsidRPr="005E1B73">
        <w:rPr>
          <w:i/>
          <w:iCs/>
        </w:rPr>
        <w:t>Uluslararası</w:t>
      </w:r>
      <w:proofErr w:type="spellEnd"/>
      <w:r w:rsidRPr="005E1B73">
        <w:rPr>
          <w:i/>
          <w:iCs/>
        </w:rPr>
        <w:t xml:space="preserve"> </w:t>
      </w:r>
      <w:proofErr w:type="spellStart"/>
      <w:r w:rsidRPr="005E1B73">
        <w:rPr>
          <w:i/>
          <w:iCs/>
        </w:rPr>
        <w:t>Sosyoloji</w:t>
      </w:r>
      <w:proofErr w:type="spellEnd"/>
      <w:r w:rsidRPr="005E1B73">
        <w:rPr>
          <w:i/>
          <w:iCs/>
        </w:rPr>
        <w:t xml:space="preserve"> </w:t>
      </w:r>
      <w:proofErr w:type="spellStart"/>
      <w:r w:rsidRPr="005E1B73">
        <w:rPr>
          <w:i/>
          <w:iCs/>
        </w:rPr>
        <w:t>ve</w:t>
      </w:r>
      <w:proofErr w:type="spellEnd"/>
      <w:r w:rsidRPr="005E1B73">
        <w:rPr>
          <w:i/>
          <w:iCs/>
        </w:rPr>
        <w:t xml:space="preserve"> Ekonomi Dergisi</w:t>
      </w:r>
      <w:r w:rsidRPr="005E1B73">
        <w:t>. https://doi.org/10.5281/zenodo.11356805</w:t>
      </w:r>
    </w:p>
  </w:footnote>
  <w:footnote w:id="23">
    <w:p w14:paraId="1ABD75EF" w14:textId="77777777" w:rsidR="00AE1028" w:rsidRPr="005E1B73" w:rsidRDefault="00AE1028" w:rsidP="00AE1028">
      <w:pPr>
        <w:pStyle w:val="FootnoteText"/>
        <w:jc w:val="both"/>
        <w:rPr>
          <w:lang w:val="en-US"/>
        </w:rPr>
      </w:pPr>
      <w:r>
        <w:rPr>
          <w:rStyle w:val="FootnoteReference"/>
        </w:rPr>
        <w:footnoteRef/>
      </w:r>
      <w:r>
        <w:t xml:space="preserve"> </w:t>
      </w:r>
      <w:r w:rsidRPr="005E1B73">
        <w:t xml:space="preserve">Fernando, H., Larasati, Y. G., </w:t>
      </w:r>
      <w:proofErr w:type="spellStart"/>
      <w:r w:rsidRPr="005E1B73">
        <w:t>Barkah</w:t>
      </w:r>
      <w:proofErr w:type="spellEnd"/>
      <w:r w:rsidRPr="005E1B73">
        <w:t xml:space="preserve">, Q., &amp; </w:t>
      </w:r>
      <w:proofErr w:type="spellStart"/>
      <w:r w:rsidRPr="005E1B73">
        <w:t>Andriyani</w:t>
      </w:r>
      <w:proofErr w:type="spellEnd"/>
      <w:r w:rsidRPr="005E1B73">
        <w:t xml:space="preserve">. (2025). Religion in the metaverse scheme: Practices of worship in the new media age. </w:t>
      </w:r>
      <w:proofErr w:type="spellStart"/>
      <w:r w:rsidRPr="005E1B73">
        <w:rPr>
          <w:i/>
          <w:iCs/>
        </w:rPr>
        <w:t>Esensia</w:t>
      </w:r>
      <w:proofErr w:type="spellEnd"/>
      <w:r w:rsidRPr="005E1B73">
        <w:rPr>
          <w:i/>
          <w:iCs/>
        </w:rPr>
        <w:t xml:space="preserve">: </w:t>
      </w:r>
      <w:proofErr w:type="spellStart"/>
      <w:r w:rsidRPr="005E1B73">
        <w:rPr>
          <w:i/>
          <w:iCs/>
        </w:rPr>
        <w:t>Jurnal</w:t>
      </w:r>
      <w:proofErr w:type="spellEnd"/>
      <w:r w:rsidRPr="005E1B73">
        <w:rPr>
          <w:i/>
          <w:iCs/>
        </w:rPr>
        <w:t xml:space="preserve"> </w:t>
      </w:r>
      <w:proofErr w:type="spellStart"/>
      <w:r w:rsidRPr="005E1B73">
        <w:rPr>
          <w:i/>
          <w:iCs/>
        </w:rPr>
        <w:t>Ilmu-Ilmu</w:t>
      </w:r>
      <w:proofErr w:type="spellEnd"/>
      <w:r w:rsidRPr="005E1B73">
        <w:rPr>
          <w:i/>
          <w:iCs/>
        </w:rPr>
        <w:t xml:space="preserve"> </w:t>
      </w:r>
      <w:proofErr w:type="spellStart"/>
      <w:r w:rsidRPr="005E1B73">
        <w:rPr>
          <w:i/>
          <w:iCs/>
        </w:rPr>
        <w:t>Ushuluddin</w:t>
      </w:r>
      <w:proofErr w:type="spellEnd"/>
      <w:r w:rsidRPr="005E1B73">
        <w:t>, 26(1), 12–26. https://doi.org/10.14421/esensia.v26i1.6445</w:t>
      </w:r>
    </w:p>
  </w:footnote>
  <w:footnote w:id="24">
    <w:p w14:paraId="4A3B4618" w14:textId="77777777" w:rsidR="009B2366" w:rsidRPr="00C15CB2" w:rsidRDefault="009B2366" w:rsidP="009B2366">
      <w:pPr>
        <w:pStyle w:val="FootnoteText"/>
        <w:rPr>
          <w:lang w:val="en-ID"/>
        </w:rPr>
      </w:pPr>
      <w:r>
        <w:rPr>
          <w:rStyle w:val="FootnoteReference"/>
        </w:rPr>
        <w:footnoteRef/>
      </w:r>
      <w:r>
        <w:t xml:space="preserve"> </w:t>
      </w:r>
      <w:r w:rsidRPr="00C15CB2">
        <w:t xml:space="preserve">Baudrillard, J. (1994). </w:t>
      </w:r>
      <w:r w:rsidRPr="00C15CB2">
        <w:rPr>
          <w:i/>
          <w:iCs/>
        </w:rPr>
        <w:t>Simulacra and simulation</w:t>
      </w:r>
      <w:r w:rsidRPr="00C15CB2">
        <w:t>. University of Michigan Press</w:t>
      </w:r>
      <w:r w:rsidRPr="00C15CB2">
        <w:rPr>
          <w:lang w:val="en-ID"/>
        </w:rPr>
        <w:t xml:space="preserve">, </w:t>
      </w:r>
      <w:proofErr w:type="spellStart"/>
      <w:r w:rsidRPr="00C15CB2">
        <w:rPr>
          <w:lang w:val="en-ID"/>
        </w:rPr>
        <w:t>hlm</w:t>
      </w:r>
      <w:proofErr w:type="spellEnd"/>
      <w:r w:rsidRPr="00C15CB2">
        <w:rPr>
          <w:lang w:val="en-ID"/>
        </w:rPr>
        <w:t>. 7</w:t>
      </w:r>
    </w:p>
  </w:footnote>
  <w:footnote w:id="25">
    <w:p w14:paraId="19FEB761" w14:textId="77777777" w:rsidR="00AE1028" w:rsidRPr="00C15CB2" w:rsidRDefault="00AE1028" w:rsidP="00AE1028">
      <w:pPr>
        <w:pStyle w:val="FootnoteText"/>
        <w:rPr>
          <w:lang w:val="en-US"/>
        </w:rPr>
      </w:pPr>
      <w:r>
        <w:rPr>
          <w:rStyle w:val="FootnoteReference"/>
        </w:rPr>
        <w:footnoteRef/>
      </w:r>
      <w:r>
        <w:t xml:space="preserve"> </w:t>
      </w:r>
      <w:r>
        <w:rPr>
          <w:i/>
          <w:iCs/>
          <w:lang w:val="en-US"/>
        </w:rPr>
        <w:t xml:space="preserve">Ibid, </w:t>
      </w:r>
      <w:proofErr w:type="spellStart"/>
      <w:r>
        <w:rPr>
          <w:lang w:val="en-US"/>
        </w:rPr>
        <w:t>hlm</w:t>
      </w:r>
      <w:proofErr w:type="spellEnd"/>
      <w:r>
        <w:rPr>
          <w:lang w:val="en-US"/>
        </w:rPr>
        <w:t>. 166</w:t>
      </w:r>
    </w:p>
  </w:footnote>
  <w:footnote w:id="26">
    <w:p w14:paraId="3460DDD9" w14:textId="77777777" w:rsidR="009B2366" w:rsidRPr="00C15CB2" w:rsidRDefault="009B2366" w:rsidP="009B2366">
      <w:pPr>
        <w:pStyle w:val="FootnoteText"/>
      </w:pPr>
      <w:r>
        <w:rPr>
          <w:rStyle w:val="FootnoteReference"/>
        </w:rPr>
        <w:footnoteRef/>
      </w:r>
      <w:r>
        <w:t xml:space="preserve"> </w:t>
      </w:r>
      <w:r w:rsidRPr="00C15CB2">
        <w:t xml:space="preserve">Kellner, D. (1989). </w:t>
      </w:r>
      <w:r w:rsidRPr="00C15CB2">
        <w:rPr>
          <w:i/>
          <w:iCs/>
        </w:rPr>
        <w:t>Jean Baudrillard: From Marxism to postmodernism and beyond</w:t>
      </w:r>
      <w:r w:rsidRPr="00C15CB2">
        <w:t>. Stanford University Press.</w:t>
      </w:r>
      <w:r>
        <w:t>70</w:t>
      </w:r>
    </w:p>
  </w:footnote>
  <w:footnote w:id="27">
    <w:p w14:paraId="45ABE158" w14:textId="77777777" w:rsidR="009B2366" w:rsidRPr="00C15CB2" w:rsidRDefault="009B2366" w:rsidP="009B2366">
      <w:pPr>
        <w:pStyle w:val="FootnoteText"/>
        <w:rPr>
          <w:lang w:val="en-US"/>
        </w:rPr>
      </w:pPr>
      <w:r>
        <w:rPr>
          <w:rStyle w:val="FootnoteReference"/>
        </w:rPr>
        <w:footnoteRef/>
      </w:r>
      <w:r>
        <w:t xml:space="preserve"> </w:t>
      </w:r>
      <w:r w:rsidRPr="00C15CB2">
        <w:t xml:space="preserve">Poster, M. (2001). </w:t>
      </w:r>
      <w:r w:rsidRPr="00C15CB2">
        <w:rPr>
          <w:i/>
          <w:iCs/>
        </w:rPr>
        <w:t>Jean Baudrillard: Selected writings</w:t>
      </w:r>
      <w:r w:rsidRPr="00C15CB2">
        <w:t xml:space="preserve"> (2nd ed.). Stanford University Press</w:t>
      </w:r>
      <w:r>
        <w:t xml:space="preserve">, </w:t>
      </w:r>
      <w:proofErr w:type="spellStart"/>
      <w:r>
        <w:t>hlm</w:t>
      </w:r>
      <w:proofErr w:type="spellEnd"/>
      <w:r>
        <w:t>. 176</w:t>
      </w:r>
    </w:p>
  </w:footnote>
  <w:footnote w:id="28">
    <w:p w14:paraId="5EAC99D8" w14:textId="298B9283" w:rsidR="00EE39B0" w:rsidRPr="00EE39B0" w:rsidRDefault="00EE39B0" w:rsidP="00EE39B0">
      <w:pPr>
        <w:pStyle w:val="FootnoteText"/>
        <w:rPr>
          <w:lang w:val="en-US"/>
        </w:rPr>
      </w:pPr>
      <w:r>
        <w:rPr>
          <w:rStyle w:val="FootnoteReference"/>
        </w:rPr>
        <w:footnoteRef/>
      </w:r>
      <w:r>
        <w:t xml:space="preserve"> </w:t>
      </w:r>
      <w:r w:rsidRPr="00EE39B0">
        <w:t xml:space="preserve">Eisenlohr, P. (2017). </w:t>
      </w:r>
      <w:r w:rsidRPr="00EE39B0">
        <w:rPr>
          <w:i/>
          <w:iCs/>
        </w:rPr>
        <w:t>Sounding Islam: Voice, media, and sonic atmospheres in an Indian Ocean world</w:t>
      </w:r>
      <w:r w:rsidRPr="00EE39B0">
        <w:t>. University of California Press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835FB"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76BD5D9"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EF79C75"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1C39F7F1"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6E99E4E" w14:textId="77777777" w:rsidR="00325A61" w:rsidRDefault="00325A61">
    <w:pPr>
      <w:pBdr>
        <w:top w:val="nil"/>
        <w:left w:val="nil"/>
        <w:bottom w:val="nil"/>
        <w:right w:val="nil"/>
        <w:between w:val="nil"/>
      </w:pBdr>
      <w:rPr>
        <w:rFonts w:ascii="Corbel" w:eastAsia="Corbel" w:hAnsi="Corbel" w:cs="Corbel"/>
        <w:i/>
        <w:iCs/>
        <w:color w:val="000000"/>
        <w:sz w:val="20"/>
        <w:szCs w:val="20"/>
      </w:rPr>
    </w:pPr>
  </w:p>
  <w:p w14:paraId="7B6B1AA8" w14:textId="77777777" w:rsidR="00325A61" w:rsidRDefault="00000000">
    <w:pPr>
      <w:pBdr>
        <w:top w:val="nil"/>
        <w:left w:val="nil"/>
        <w:bottom w:val="nil"/>
        <w:right w:val="nil"/>
        <w:between w:val="nil"/>
      </w:pBdr>
      <w:rPr>
        <w:i/>
        <w:iCs/>
        <w:color w:val="000000"/>
        <w:sz w:val="20"/>
        <w:szCs w:val="20"/>
      </w:rPr>
    </w:pPr>
    <w:r>
      <w:rPr>
        <w:i/>
        <w:iCs/>
        <w:color w:val="000000"/>
        <w:sz w:val="20"/>
        <w:szCs w:val="20"/>
      </w:rPr>
      <w:t>ICONIE FTIK UIN K.H. ABDURRAHMAN WAHID PEKALONGAN (202</w:t>
    </w:r>
    <w:r>
      <w:rPr>
        <w:i/>
        <w:iCs/>
        <w:sz w:val="20"/>
        <w:szCs w:val="20"/>
      </w:rPr>
      <w:t>6</w:t>
    </w:r>
    <w:r>
      <w:rPr>
        <w:i/>
        <w:iCs/>
        <w:color w:val="000000"/>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4AC0"/>
    <w:multiLevelType w:val="multilevel"/>
    <w:tmpl w:val="B96E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010B35"/>
    <w:multiLevelType w:val="multilevel"/>
    <w:tmpl w:val="2FAE99C6"/>
    <w:lvl w:ilvl="0">
      <w:start w:val="1"/>
      <w:numFmt w:val="decimal"/>
      <w:lvlText w:val="%1."/>
      <w:lvlJc w:val="left"/>
      <w:pPr>
        <w:ind w:left="720" w:hanging="7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hanging="14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right"/>
      <w:pPr>
        <w:ind w:left="2160" w:hanging="21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hanging="28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hanging="360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right"/>
      <w:pPr>
        <w:ind w:left="4320" w:hanging="432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hanging="504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hanging="576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right"/>
      <w:pPr>
        <w:ind w:left="6480" w:hanging="648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num w:numId="1" w16cid:durableId="1123039916">
    <w:abstractNumId w:val="1"/>
  </w:num>
  <w:num w:numId="2" w16cid:durableId="1469124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A61"/>
    <w:rsid w:val="000453E2"/>
    <w:rsid w:val="00054E3D"/>
    <w:rsid w:val="00084F7C"/>
    <w:rsid w:val="000C05D1"/>
    <w:rsid w:val="000F0746"/>
    <w:rsid w:val="00160BFC"/>
    <w:rsid w:val="00186A89"/>
    <w:rsid w:val="002656DC"/>
    <w:rsid w:val="00271F5F"/>
    <w:rsid w:val="002B0297"/>
    <w:rsid w:val="002E623A"/>
    <w:rsid w:val="002E6733"/>
    <w:rsid w:val="00325A61"/>
    <w:rsid w:val="00383D04"/>
    <w:rsid w:val="0040453F"/>
    <w:rsid w:val="00435FC2"/>
    <w:rsid w:val="00477AFB"/>
    <w:rsid w:val="00481B91"/>
    <w:rsid w:val="00483BD4"/>
    <w:rsid w:val="00490CD3"/>
    <w:rsid w:val="004A57B4"/>
    <w:rsid w:val="00572504"/>
    <w:rsid w:val="005967E9"/>
    <w:rsid w:val="005D2A7C"/>
    <w:rsid w:val="005E1B73"/>
    <w:rsid w:val="00603697"/>
    <w:rsid w:val="00617757"/>
    <w:rsid w:val="006F6DCC"/>
    <w:rsid w:val="007637FF"/>
    <w:rsid w:val="00791536"/>
    <w:rsid w:val="007A62EA"/>
    <w:rsid w:val="007A6491"/>
    <w:rsid w:val="0086458A"/>
    <w:rsid w:val="008962D3"/>
    <w:rsid w:val="008A321E"/>
    <w:rsid w:val="008A69E2"/>
    <w:rsid w:val="008B161E"/>
    <w:rsid w:val="008F4E8E"/>
    <w:rsid w:val="00907250"/>
    <w:rsid w:val="00932735"/>
    <w:rsid w:val="0094517D"/>
    <w:rsid w:val="009604E0"/>
    <w:rsid w:val="0099033C"/>
    <w:rsid w:val="009B2366"/>
    <w:rsid w:val="00A31A06"/>
    <w:rsid w:val="00AE1028"/>
    <w:rsid w:val="00B33280"/>
    <w:rsid w:val="00B465F5"/>
    <w:rsid w:val="00BA5564"/>
    <w:rsid w:val="00BF3B68"/>
    <w:rsid w:val="00C15CB2"/>
    <w:rsid w:val="00CE1AAF"/>
    <w:rsid w:val="00CF38AF"/>
    <w:rsid w:val="00D371FA"/>
    <w:rsid w:val="00D8635D"/>
    <w:rsid w:val="00DB7221"/>
    <w:rsid w:val="00DE135A"/>
    <w:rsid w:val="00E23628"/>
    <w:rsid w:val="00E85391"/>
    <w:rsid w:val="00ED07CA"/>
    <w:rsid w:val="00EE2635"/>
    <w:rsid w:val="00EE39B0"/>
    <w:rsid w:val="00EF02CA"/>
    <w:rsid w:val="00F11C8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08AF4"/>
  <w15:docId w15:val="{CED29BA1-4C0E-4E74-8EB8-6DCEC0F0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tabs>
        <w:tab w:val="left" w:pos="432"/>
      </w:tabs>
      <w:spacing w:before="280" w:after="280"/>
      <w:ind w:left="432" w:hanging="432"/>
      <w:outlineLvl w:val="0"/>
    </w:pPr>
    <w:rPr>
      <w:b/>
      <w:bCs/>
      <w:sz w:val="48"/>
      <w:szCs w:val="48"/>
    </w:rPr>
  </w:style>
  <w:style w:type="paragraph" w:styleId="Heading2">
    <w:name w:val="heading 2"/>
    <w:basedOn w:val="Normal"/>
    <w:next w:val="Normal"/>
    <w:uiPriority w:val="9"/>
    <w:semiHidden/>
    <w:unhideWhenUsed/>
    <w:qFormat/>
    <w:pPr>
      <w:keepNext/>
      <w:pBdr>
        <w:top w:val="nil"/>
        <w:left w:val="nil"/>
        <w:bottom w:val="nil"/>
        <w:right w:val="nil"/>
        <w:between w:val="nil"/>
      </w:pBdr>
      <w:spacing w:before="240" w:after="60"/>
      <w:outlineLvl w:val="1"/>
    </w:pPr>
    <w:rPr>
      <w:rFonts w:ascii="Arial" w:eastAsia="Arial" w:hAnsi="Arial" w:cs="Arial"/>
      <w:b/>
      <w:bCs/>
      <w:i/>
      <w:iCs/>
      <w:sz w:val="28"/>
      <w:szCs w:val="28"/>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240" w:after="60"/>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outlineLvl w:val="3"/>
    </w:pPr>
    <w:rPr>
      <w:b/>
      <w:bCs/>
      <w:sz w:val="28"/>
      <w:szCs w:val="28"/>
    </w:rPr>
  </w:style>
  <w:style w:type="paragraph" w:styleId="Heading5">
    <w:name w:val="heading 5"/>
    <w:basedOn w:val="Normal"/>
    <w:next w:val="Normal"/>
    <w:uiPriority w:val="9"/>
    <w:semiHidden/>
    <w:unhideWhenUsed/>
    <w:qFormat/>
    <w:pPr>
      <w:pBdr>
        <w:top w:val="nil"/>
        <w:left w:val="nil"/>
        <w:bottom w:val="nil"/>
        <w:right w:val="nil"/>
        <w:between w:val="nil"/>
      </w:pBdr>
      <w:spacing w:before="240" w:after="60"/>
      <w:outlineLvl w:val="4"/>
    </w:pPr>
    <w:rPr>
      <w:b/>
      <w:bCs/>
      <w:i/>
      <w:iCs/>
      <w:sz w:val="26"/>
      <w:szCs w:val="26"/>
    </w:rPr>
  </w:style>
  <w:style w:type="paragraph" w:styleId="Heading6">
    <w:name w:val="heading 6"/>
    <w:basedOn w:val="Normal"/>
    <w:next w:val="Normal"/>
    <w:uiPriority w:val="9"/>
    <w:semiHidden/>
    <w:unhideWhenUsed/>
    <w:qFormat/>
    <w:pPr>
      <w:pBdr>
        <w:top w:val="nil"/>
        <w:left w:val="nil"/>
        <w:bottom w:val="nil"/>
        <w:right w:val="nil"/>
        <w:between w:val="nil"/>
      </w:pBd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240" w:after="60"/>
      <w:jc w:val="center"/>
    </w:pPr>
    <w:rPr>
      <w:rFonts w:ascii="Arial" w:eastAsia="Arial" w:hAnsi="Arial" w:cs="Arial"/>
      <w:b/>
      <w:bCs/>
      <w:sz w:val="32"/>
      <w:szCs w:val="32"/>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73A2B"/>
    <w:pPr>
      <w:tabs>
        <w:tab w:val="center" w:pos="4680"/>
        <w:tab w:val="right" w:pos="9360"/>
      </w:tabs>
    </w:pPr>
  </w:style>
  <w:style w:type="character" w:customStyle="1" w:styleId="HeaderChar">
    <w:name w:val="Header Char"/>
    <w:basedOn w:val="DefaultParagraphFont"/>
    <w:link w:val="Header"/>
    <w:uiPriority w:val="99"/>
    <w:rsid w:val="00973A2B"/>
  </w:style>
  <w:style w:type="paragraph" w:styleId="Footer">
    <w:name w:val="footer"/>
    <w:basedOn w:val="Normal"/>
    <w:link w:val="FooterChar"/>
    <w:uiPriority w:val="99"/>
    <w:unhideWhenUsed/>
    <w:rsid w:val="00973A2B"/>
    <w:pPr>
      <w:tabs>
        <w:tab w:val="center" w:pos="4680"/>
        <w:tab w:val="right" w:pos="9360"/>
      </w:tabs>
    </w:pPr>
  </w:style>
  <w:style w:type="character" w:customStyle="1" w:styleId="FooterChar">
    <w:name w:val="Footer Char"/>
    <w:basedOn w:val="DefaultParagraphFont"/>
    <w:link w:val="Footer"/>
    <w:uiPriority w:val="99"/>
    <w:rsid w:val="00973A2B"/>
  </w:style>
  <w:style w:type="paragraph" w:styleId="NormalWeb">
    <w:name w:val="Normal (Web)"/>
    <w:basedOn w:val="Normal"/>
    <w:uiPriority w:val="99"/>
    <w:semiHidden/>
    <w:unhideWhenUsed/>
    <w:rsid w:val="00C36642"/>
    <w:pPr>
      <w:spacing w:before="100" w:beforeAutospacing="1" w:after="100" w:afterAutospacing="1"/>
    </w:pPr>
  </w:style>
  <w:style w:type="paragraph" w:styleId="Subtitle">
    <w:name w:val="Subtitle"/>
    <w:basedOn w:val="Normal"/>
    <w:next w:val="Normal"/>
    <w:uiPriority w:val="11"/>
    <w:qFormat/>
    <w:pPr>
      <w:pBdr>
        <w:top w:val="nil"/>
        <w:left w:val="nil"/>
        <w:bottom w:val="nil"/>
        <w:right w:val="nil"/>
        <w:between w:val="nil"/>
      </w:pBdr>
      <w:spacing w:after="60"/>
      <w:jc w:val="center"/>
    </w:pPr>
    <w:rPr>
      <w:rFonts w:ascii="Arial" w:eastAsia="Arial" w:hAnsi="Arial" w:cs="Arial"/>
    </w:r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F11C89"/>
    <w:rPr>
      <w:color w:val="0000FF" w:themeColor="hyperlink"/>
      <w:u w:val="single"/>
    </w:rPr>
  </w:style>
  <w:style w:type="paragraph" w:styleId="FootnoteText">
    <w:name w:val="footnote text"/>
    <w:basedOn w:val="Normal"/>
    <w:link w:val="FootnoteTextChar"/>
    <w:uiPriority w:val="99"/>
    <w:semiHidden/>
    <w:unhideWhenUsed/>
    <w:rsid w:val="005D2A7C"/>
    <w:rPr>
      <w:sz w:val="20"/>
      <w:szCs w:val="20"/>
    </w:rPr>
  </w:style>
  <w:style w:type="character" w:customStyle="1" w:styleId="FootnoteTextChar">
    <w:name w:val="Footnote Text Char"/>
    <w:basedOn w:val="DefaultParagraphFont"/>
    <w:link w:val="FootnoteText"/>
    <w:uiPriority w:val="99"/>
    <w:semiHidden/>
    <w:rsid w:val="005D2A7C"/>
    <w:rPr>
      <w:sz w:val="20"/>
      <w:szCs w:val="20"/>
    </w:rPr>
  </w:style>
  <w:style w:type="character" w:styleId="FootnoteReference">
    <w:name w:val="footnote reference"/>
    <w:basedOn w:val="DefaultParagraphFont"/>
    <w:uiPriority w:val="99"/>
    <w:semiHidden/>
    <w:unhideWhenUsed/>
    <w:rsid w:val="005D2A7C"/>
    <w:rPr>
      <w:vertAlign w:val="superscript"/>
    </w:rPr>
  </w:style>
  <w:style w:type="character" w:styleId="UnresolvedMention">
    <w:name w:val="Unresolved Mention"/>
    <w:basedOn w:val="DefaultParagraphFont"/>
    <w:uiPriority w:val="99"/>
    <w:semiHidden/>
    <w:unhideWhenUsed/>
    <w:rsid w:val="005D2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02/hbe2.1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389/frvir.2024.3819784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3" Type="http://schemas.openxmlformats.org/officeDocument/2006/relationships/hyperlink" Target="https://doi.org/10.1016/j.jbusres.2019.07.039" TargetMode="External"/><Relationship Id="rId2" Type="http://schemas.openxmlformats.org/officeDocument/2006/relationships/hyperlink" Target="https://doi.org/10.4324/9780429295683" TargetMode="External"/><Relationship Id="rId1" Type="http://schemas.openxmlformats.org/officeDocument/2006/relationships/hyperlink" Target="https://doi.org/10.3390/encyclopedia2010031" TargetMode="External"/><Relationship Id="rId6" Type="http://schemas.openxmlformats.org/officeDocument/2006/relationships/hyperlink" Target="https://doi.org/10.1089/cyber.2023.0003" TargetMode="External"/><Relationship Id="rId5" Type="http://schemas.openxmlformats.org/officeDocument/2006/relationships/hyperlink" Target="https://www.britannica.com/topic/metaverse" TargetMode="External"/><Relationship Id="rId4" Type="http://schemas.openxmlformats.org/officeDocument/2006/relationships/hyperlink" Target="https://doi.org/10.3390/encyclopedia20100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uN/XqJrCvGkcWk81DwJhS7S1g==">CgMxLjAyDmguZmZkYWx0ZzVndmZ5OAByITEwdW5pUVBUbEJ4RVVXM3NGTUNENzVxTGtXOWxxZmQ5bw==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3274</TotalTime>
  <Pages>19</Pages>
  <Words>6162</Words>
  <Characters>35125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Arif Wibowo</cp:lastModifiedBy>
  <cp:revision>21</cp:revision>
  <dcterms:created xsi:type="dcterms:W3CDTF">2025-12-18T07:29:00Z</dcterms:created>
  <dcterms:modified xsi:type="dcterms:W3CDTF">2026-05-16T02:52:00Z</dcterms:modified>
</cp:coreProperties>
</file>