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StyleTitle"/>
        <w:rPr>
          <w:sz w:val="32"/>
        </w:rPr>
      </w:pPr>
      <w:r>
        <w:rPr>
          <w:sz w:val="32"/>
        </w:rPr>
        <w:t>Machine Learning Applications in Healthcare: A Comprehensive Review</w:t>
      </w:r>
    </w:p>
    <w:p>
      <w:pPr>
        <w:rPr>
          <w:sz w:val="20"/>
          <w:szCs w:val="20"/>
        </w:rPr>
      </w:pPr>
    </w:p>
    <w:p>
      <w:pPr>
        <w:pStyle w:val="Author"/>
        <w:rPr>
          <w:sz w:val="21"/>
          <w:szCs w:val="21"/>
        </w:rPr>
      </w:pPr>
      <w:r>
        <w:rPr>
          <w:sz w:val="21"/>
          <w:szCs w:val="21"/>
        </w:rPr>
        <w:t>John Smith</w:t>
      </w:r>
      <w:r>
        <w:rPr>
          <w:sz w:val="21"/>
          <w:szCs w:val="21"/>
          <w:vertAlign w:val="superscript"/>
        </w:rPr>
        <w:t>1</w:t>
      </w:r>
      <w:r>
        <w:rPr>
          <w:sz w:val="21"/>
          <w:szCs w:val="21"/>
          <w:vertAlign w:val="superscript"/>
        </w:rPr>
        <w:t>*</w:t>
      </w:r>
      <w:r>
        <w:rPr>
          <w:sz w:val="21"/>
          <w:szCs w:val="21"/>
        </w:rPr>
        <w:t xml:space="preserve">, </w:t>
      </w:r>
      <w:r>
        <w:rPr>
          <w:sz w:val="21"/>
          <w:szCs w:val="21"/>
        </w:rPr>
        <w:t>Jane Doe</w:t>
      </w:r>
      <w:r>
        <w:rPr>
          <w:sz w:val="21"/>
          <w:szCs w:val="21"/>
          <w:vertAlign w:val="superscript"/>
        </w:rPr>
        <w:t>2</w:t>
      </w:r>
    </w:p>
    <w:p>
      <w:pPr>
        <w:jc w:val="center"/>
        <w:rPr>
          <w:i/>
          <w:sz w:val="20"/>
          <w:szCs w:val="20"/>
        </w:rPr>
      </w:pPr>
      <w:r>
        <w:rPr>
          <w:vertAlign w:val="superscript"/>
        </w:rPr>
        <w:t>1</w:t>
      </w:r>
      <w:r>
        <w:rPr>
          <w:vertAlign w:val="superscript"/>
        </w:rPr>
        <w:t xml:space="preserve"> </w:t>
      </w:r>
      <w:r>
        <w:rPr>
          <w:b w:val="0"/>
          <w:i/>
          <w:sz w:val="20"/>
          <w:szCs w:val="20"/>
          <w:u w:val="none"/>
        </w:rPr>
        <w:t>Department of Computer Science, University of Technology, New York, USA. Email: john.smith@university.edu</w:t>
      </w:r>
    </w:p>
    <w:p>
      <w:pPr>
        <w:jc w:val="center"/>
        <w:rPr>
          <w:i/>
          <w:sz w:val="20"/>
          <w:szCs w:val="20"/>
        </w:rPr>
      </w:pPr>
      <w:r>
        <w:rPr>
          <w:vertAlign w:val="superscript"/>
        </w:rPr>
        <w:t>2</w:t>
      </w:r>
      <w:r>
        <w:rPr>
          <w:vertAlign w:val="superscript"/>
        </w:rPr>
        <w:t xml:space="preserve"> </w:t>
      </w:r>
      <w:r>
        <w:rPr>
          <w:b w:val="0"/>
          <w:i/>
          <w:sz w:val="20"/>
          <w:szCs w:val="20"/>
          <w:u w:val="none"/>
        </w:rPr>
        <w:t>School of Medicine, Medical University, Boston, USA. Email: jane.doe@meduni.edu</w:t>
      </w:r>
    </w:p>
    <w:p>
      <w:pPr>
        <w:rPr>
          <w:sz w:val="20"/>
          <w:szCs w:val="20"/>
        </w:rPr>
      </w:pPr>
    </w:p>
    <w:p>
      <w:pPr>
        <w:pStyle w:val="AbstractTitle"/>
        <w:rPr>
          <w:sz w:val="24"/>
          <w:szCs w:val="24"/>
        </w:rPr>
      </w:pPr>
      <w:r>
        <w:rPr>
          <w:b/>
          <w:sz w:val="24"/>
          <w:szCs w:val="24"/>
        </w:rPr>
        <w:t>Abstrak</w:t>
      </w:r>
    </w:p>
    <w:p>
      <w:pPr>
        <w:rPr>
          <w:sz w:val="20"/>
          <w:szCs w:val="20"/>
        </w:rPr>
      </w:pPr>
    </w:p>
    <w:p>
      <w:pPr>
        <w:pStyle w:val="BodyAbstract"/>
        <w:rPr>
          <w:lang w:val="fr-FR"/>
        </w:rPr>
      </w:pPr>
      <w:r>
        <w:rPr>
          <w:b w:val="0"/>
          <w:i/>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BodyAbstract"/>
        <w:rPr>
          <w:lang w:val="en-ID"/>
        </w:rPr>
      </w:pPr>
    </w:p>
    <w:p>
      <w:pPr>
        <w:pStyle w:val="BodyAbstract"/>
        <w:rPr>
          <w:lang w:val="en-ID"/>
        </w:rPr>
      </w:pPr>
      <w:r>
        <w:rPr>
          <w:b/>
          <w:bCs/>
          <w:i w:val="0"/>
          <w:iCs/>
          <w:u w:val="none"/>
        </w:rPr>
        <w:t xml:space="preserve">Kata kunci: </w:t>
      </w:r>
      <w:r>
        <w:rPr>
          <w:b w:val="0"/>
          <w:i w:val="0"/>
          <w:u w:val="none"/>
        </w:rPr>
        <w:t>machine learning; healthcare; deep learning; medical imaging; predictive analytics; clinical decision support.</w:t>
      </w:r>
    </w:p>
    <w:p>
      <w:pPr>
        <w:pStyle w:val="BodyAbstract"/>
        <w:rPr>
          <w:lang w:val="en-ID"/>
        </w:rPr>
      </w:pPr>
    </w:p>
    <w:p>
      <w:pPr>
        <w:pStyle w:val="AbstractTitle"/>
        <w:rPr>
          <w:sz w:val="24"/>
          <w:szCs w:val="24"/>
        </w:rPr>
      </w:pPr>
      <w:r>
        <w:rPr>
          <w:b/>
          <w:sz w:val="24"/>
          <w:szCs w:val="24"/>
        </w:rPr>
        <w:t>Abstract</w:t>
      </w:r>
    </w:p>
    <w:p>
      <w:pPr>
        <w:rPr>
          <w:sz w:val="20"/>
          <w:szCs w:val="20"/>
        </w:rPr>
      </w:pPr>
    </w:p>
    <w:p>
      <w:pPr>
        <w:pStyle w:val="BodyAbstract"/>
        <w:rPr>
          <w:lang w:val="fr-FR"/>
        </w:rPr>
      </w:pPr>
      <w:r>
        <w:rPr>
          <w:b w:val="0"/>
          <w:i/>
          <w:u w:val="none"/>
        </w:rPr>
        <w:t>Shared control panels on production lines create contamination risks in food-grade and cleanroom environments. This paper presents GestPLC and evaluates whether a standard USB webcam combined with a geometric rule-based classifier can control a Schneider Modicon M221 PLC without GPU acceleration or a trained neural network. MediaPipe extracts 21 hand landmarks per frame on an Intel Core i7 CPU, and an angle-threshold engine converts the landmarks into Modbus TCP coil-write commands through FC15. Camera capture, gesture classification, and Modbus I/O run in separate Python threads so delayed network responses do not stall the vision loop. Under 300 lux illumination, the classifier achieved a macro F1-score of 95.4% and an average Modbus round-trip delay of 12.3 ms. A 24-hour endurance test recorded 872,640 transactions with a 99.97% write success rate, although the observed communication MTBF was only 8.2 hours. These results show that landmark geometry, rather than deep learning, is sufficient for six-gesture PLC control on commodity hardware.</w:t>
      </w:r>
    </w:p>
    <w:p>
      <w:pPr>
        <w:pStyle w:val="BodyAbstract"/>
        <w:rPr>
          <w:lang w:val="en-ID"/>
        </w:rPr>
      </w:pPr>
    </w:p>
    <w:p>
      <w:pPr>
        <w:pStyle w:val="BodyAbstract"/>
        <w:rPr>
          <w:lang w:val="en-ID"/>
        </w:rPr>
      </w:pPr>
      <w:r>
        <w:rPr>
          <w:b/>
          <w:bCs/>
          <w:i w:val="0"/>
          <w:iCs/>
          <w:u w:val="none"/>
        </w:rPr>
        <w:t xml:space="preserve">Keywords: </w:t>
      </w:r>
      <w:r>
        <w:rPr>
          <w:b w:val="0"/>
          <w:i w:val="0"/>
          <w:u w:val="none"/>
        </w:rPr>
        <w:t>machine learning; healthcare; deep learning; medical imaging; predictive analytics; clinical decision support.</w:t>
      </w:r>
    </w:p>
    <w:p>
      <w:pPr>
        <w:pStyle w:val="BodyAbstract"/>
        <w:rPr>
          <w:lang w:val="id-ID"/>
        </w:rPr>
      </w:pPr>
    </w:p>
    <w:p>
      <w:pPr>
        <w:rPr>
          <w:sz w:val="20"/>
          <w:szCs w:val="20"/>
        </w:rPr>
        <w:sectPr w:rsidR="00C9227F" w:rsidSect="005959A3">
          <w:headerReference w:type="default" r:id="rId8"/>
          <w:footerReference w:type="default" r:id="rId9"/>
          <w:headerReference w:type="first" r:id="rId10"/>
          <w:footerReference w:type="first" r:id="rId11"/>
          <w:pgSz w:w="12240" w:h="15840"/>
          <w:pgMar w:top="1701" w:right="1134" w:bottom="1134" w:left="1418" w:header="720" w:footer="720" w:gutter="0"/>
          <w:cols w:space="720"/>
          <w:titlePg/>
          <w:docGrid w:linePitch="360"/>
        </w:sectPr>
      </w:pPr>
    </w:p>
    <w:p>
      <w:pPr>
        <w:pStyle w:val="Heading1"/>
        <w:tabs>
          <w:tab w:val="left" w:pos="0"/>
        </w:tabs>
        <w:spacing w:before="60" w:after="60"/>
        <w:rPr>
          <w:lang w:val="id-ID"/>
        </w:rPr>
      </w:pPr>
      <w:r>
        <w:rPr>
          <w:b/>
          <w:i w:val="0"/>
          <w:u w:val="none"/>
          <w:lang w:val="id-ID"/>
        </w:rPr>
        <w:t>Introduction</w:t>
      </w:r>
    </w:p>
    <w:p>
      <w:pPr>
        <w:pStyle w:val="Body"/>
      </w:pPr>
      <w:r>
        <w:rPr>
          <w:b w:val="0"/>
          <w:i w:val="0"/>
          <w:noProof/>
          <w:u w:val="none"/>
          <w:lang w:val="id-ID" w:eastAsia="id-ID"/>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
      </w:pPr>
      <w:r>
        <w:rPr>
          <w:b w:val="0"/>
          <w:i w:val="0"/>
          <w:noProof/>
          <w:u w:val="none"/>
          <w:lang w:val="id-ID" w:eastAsia="id-ID"/>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spacing w:before="60" w:after="60"/>
        <w:ind w:firstLine="0"/>
        <w:rPr>
          <w:sz w:val="20"/>
          <w:lang w:val="id-ID"/>
        </w:rPr>
      </w:pPr>
      <w:r>
        <w:rPr>
          <w:b/>
          <w:i w:val="0"/>
          <w:u w:val="none"/>
          <w:lang w:val="id-ID"/>
        </w:rPr>
        <w:t>Motivation</w:t>
      </w:r>
    </w:p>
    <w:p>
      <w:pPr>
        <w:pStyle w:val="Body"/>
      </w:pPr>
      <w:r>
        <w:rPr>
          <w:b w:val="0"/>
          <w:i w:val="0"/>
          <w:noProof/>
          <w:u w:val="none"/>
          <w:lang w:val="id-ID" w:eastAsia="id-ID"/>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spacing w:before="60" w:after="60"/>
        <w:ind w:firstLine="0"/>
        <w:rPr>
          <w:sz w:val="20"/>
          <w:lang w:val="id-ID"/>
        </w:rPr>
      </w:pPr>
      <w:r>
        <w:rPr>
          <w:b/>
          <w:i w:val="0"/>
          <w:u w:val="none"/>
          <w:lang w:val="id-ID"/>
        </w:rPr>
        <w:t>Contributions</w:t>
      </w:r>
    </w:p>
    <w:p>
      <w:pPr>
        <w:pStyle w:val="Body"/>
      </w:pPr>
      <w:r>
        <w:rPr>
          <w:b w:val="0"/>
          <w:i w:val="0"/>
          <w:noProof/>
          <w:u w:val="none"/>
          <w:lang w:val="id-ID" w:eastAsia="id-ID"/>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tabs>
          <w:tab w:val="left" w:pos="0"/>
        </w:tabs>
        <w:spacing w:before="60" w:after="60"/>
        <w:rPr>
          <w:lang w:val="id-ID"/>
        </w:rPr>
      </w:pPr>
      <w:r>
        <w:rPr>
          <w:b/>
          <w:i w:val="0"/>
          <w:u w:val="none"/>
          <w:lang w:val="id-ID"/>
        </w:rPr>
        <w:t>Background and Related Work</w:t>
      </w:r>
    </w:p>
    <w:p>
      <w:pPr>
        <w:pStyle w:val="Body"/>
      </w:pPr>
      <w:r>
        <w:rPr>
          <w:b w:val="0"/>
          <w:i w:val="0"/>
          <w:noProof/>
          <w:u w:val="none"/>
          <w:lang w:val="id-ID" w:eastAsia="id-ID"/>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spacing w:before="60" w:after="60"/>
        <w:ind w:firstLine="0"/>
        <w:rPr>
          <w:sz w:val="20"/>
          <w:lang w:val="id-ID"/>
        </w:rPr>
      </w:pPr>
      <w:r>
        <w:rPr>
          <w:b/>
          <w:i w:val="0"/>
          <w:u w:val="none"/>
          <w:lang w:val="id-ID"/>
        </w:rPr>
        <w:t>Machine Learning Fundamentals</w:t>
      </w:r>
    </w:p>
    <w:p>
      <w:pPr>
        <w:pStyle w:val="Body"/>
      </w:pPr>
      <w:r>
        <w:rPr>
          <w:b w:val="0"/>
          <w:i w:val="0"/>
          <w:noProof/>
          <w:u w:val="none"/>
          <w:lang w:val="id-ID" w:eastAsia="id-ID"/>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spacing w:before="60" w:after="60"/>
        <w:ind w:firstLine="0"/>
        <w:rPr>
          <w:sz w:val="20"/>
          <w:lang w:val="id-ID"/>
        </w:rPr>
      </w:pPr>
      <w:r>
        <w:rPr>
          <w:b/>
          <w:i w:val="0"/>
          <w:u w:val="none"/>
          <w:lang w:val="id-ID"/>
        </w:rPr>
        <w:t>Healthcare Data Sources</w:t>
      </w:r>
    </w:p>
    <w:p>
      <w:pPr>
        <w:pStyle w:val="Body"/>
      </w:pPr>
      <w:r>
        <w:rPr>
          <w:b w:val="0"/>
          <w:i w:val="0"/>
          <w:noProof/>
          <w:u w:val="none"/>
          <w:lang w:val="id-ID" w:eastAsia="id-ID"/>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tabs>
          <w:tab w:val="left" w:pos="0"/>
        </w:tabs>
        <w:spacing w:before="60" w:after="60"/>
        <w:rPr>
          <w:lang w:val="id-ID"/>
        </w:rPr>
      </w:pPr>
      <w:r>
        <w:rPr>
          <w:b/>
          <w:i w:val="0"/>
          <w:u w:val="none"/>
          <w:lang w:val="id-ID"/>
        </w:rPr>
        <w:t>Machine Learning Applications</w:t>
      </w:r>
    </w:p>
    <w:p>
      <w:pPr>
        <w:pStyle w:val="Body"/>
      </w:pPr>
      <w:r>
        <w:rPr>
          <w:b w:val="0"/>
          <w:i w:val="0"/>
          <w:noProof/>
          <w:u w:val="none"/>
          <w:lang w:val="id-ID" w:eastAsia="id-ID"/>
        </w:rPr>
        <w:t>This section reviews major application areas of machine learning in healthcare, organized by clinical domain and task type.</w:t>
      </w:r>
    </w:p>
    <w:p>
      <w:pPr>
        <w:pStyle w:val="Heading2"/>
        <w:spacing w:before="60" w:after="60"/>
        <w:ind w:firstLine="0"/>
        <w:rPr>
          <w:sz w:val="20"/>
          <w:lang w:val="id-ID"/>
        </w:rPr>
      </w:pPr>
      <w:r>
        <w:rPr>
          <w:b/>
          <w:i w:val="0"/>
          <w:u w:val="none"/>
          <w:lang w:val="id-ID"/>
        </w:rPr>
        <w:t>Medical Imaging</w:t>
      </w:r>
    </w:p>
    <w:p>
      <w:pPr>
        <w:pStyle w:val="Body"/>
      </w:pPr>
      <w:r>
        <w:rPr>
          <w:b w:val="0"/>
          <w:i w:val="0"/>
          <w:noProof/>
          <w:u w:val="none"/>
          <w:lang w:val="id-ID" w:eastAsia="id-ID"/>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Body"/>
        <w:spacing w:before="120" w:after="60"/>
        <w:ind w:firstLine="0"/>
        <w:jc w:val="left"/>
        <w:rPr>
          <w:lang w:val="id-ID"/>
        </w:rPr>
      </w:pPr>
      <w:r>
        <w:rPr>
          <w:b/>
          <w:lang w:val="id-ID"/>
        </w:rPr>
        <w:t>Tabel 1</w:t>
      </w:r>
      <w:r>
        <w:rPr>
          <w:lang w:val="id-ID"/>
        </w:rPr>
        <w:t xml:space="preserve">. </w:t>
      </w:r>
      <w:r>
        <w:rPr>
          <w:b w:val="0"/>
          <w:i w:val="0"/>
          <w:u w:val="none"/>
          <w:lang w:val="id-ID"/>
        </w:rPr>
        <w:t>Performance of ML Models in Medical Imaging</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422"/>
        <w:gridCol w:w="2422"/>
        <w:gridCol w:w="2422"/>
        <w:gridCol w:w="2422"/>
      </w:tblGrid>
      <w:tr>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Task</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Model</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Accuracy</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Dataset Size</w:t>
            </w:r>
          </w:p>
        </w:tc>
      </w:tr>
      <w:tr>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Diabetic Retinopathy</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ResNet-50</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95.2%</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128,000</w:t>
            </w:r>
          </w:p>
        </w:tc>
      </w:tr>
      <w:tr>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Lung Nodule Detection</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3D CNN</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92.8%</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45,000</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Breast Cancer</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DenseNet</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94.5%</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60,000</w:t>
            </w:r>
          </w:p>
        </w:tc>
      </w:tr>
      <w:tr>
        <w:tc>
          <w:tcPr>
            <w:tcW w:type="dxa" w:w="2422"/>
            <w:tcBorders>
              <w:top w:val="none"/>
              <w:bottom w:val="single" w:sz="4" w:space="0" w:color="auto"/>
              <w:left w:val="none"/>
              <w:right w:val="none"/>
            </w:tcBorders>
            <w:vAlign w:val="center"/>
          </w:tcPr>
          <w:p>
            <w:pPr>
              <w:pStyle w:val="Body"/>
              <w:spacing w:before="0" w:after="0"/>
              <w:ind w:firstLine="0"/>
              <w:jc w:val="left"/>
              <w:rPr>
                <w:lang w:val="id-ID"/>
              </w:rPr>
            </w:pPr>
            <w:r>
              <w:rPr>
                <w:b w:val="0"/>
                <w:i w:val="0"/>
                <w:sz w:val="18"/>
                <w:u w:val="none"/>
                <w:lang w:val="id-ID"/>
              </w:rPr>
              <w:t>Brain Tumor Segmentation</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U-Net</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91.3%</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35,000</w:t>
            </w:r>
          </w:p>
        </w:tc>
      </w:tr>
    </w:tbl>
    <w:p>
      <w:pPr>
        <w:pStyle w:val="Body"/>
        <w:spacing w:before="0" w:after="60"/>
        <w:ind w:firstLine="0"/>
      </w:pPr>
    </w:p>
    <w:p>
      <w:pPr>
        <w:pStyle w:val="Heading2"/>
        <w:spacing w:before="60" w:after="60"/>
        <w:ind w:firstLine="0"/>
        <w:rPr>
          <w:sz w:val="20"/>
          <w:lang w:val="id-ID"/>
        </w:rPr>
      </w:pPr>
      <w:r>
        <w:rPr>
          <w:b/>
          <w:i w:val="0"/>
          <w:u w:val="none"/>
          <w:lang w:val="id-ID"/>
        </w:rPr>
        <w:t>Disease Prediction</w:t>
      </w:r>
    </w:p>
    <w:p>
      <w:pPr>
        <w:pStyle w:val="Body"/>
      </w:pPr>
      <w:r>
        <w:rPr>
          <w:b w:val="0"/>
          <w:i w:val="0"/>
          <w:noProof/>
          <w:u w:val="none"/>
          <w:lang w:val="id-ID" w:eastAsia="id-ID"/>
        </w:rPr>
        <w:t>Predictive models use patient data to forecast disease onset, progression, and outcomes. Random forests, gradient boosting, and neural networks are commonly employed for risk stratification and early warning systems.</w:t>
      </w:r>
    </w:p>
    <w:p>
      <w:pPr>
        <w:pStyle w:val="Heading2"/>
        <w:spacing w:before="60" w:after="60"/>
        <w:ind w:firstLine="0"/>
        <w:rPr>
          <w:sz w:val="20"/>
          <w:lang w:val="id-ID"/>
        </w:rPr>
      </w:pPr>
      <w:r>
        <w:rPr>
          <w:b/>
          <w:i w:val="0"/>
          <w:u w:val="none"/>
          <w:lang w:val="id-ID"/>
        </w:rPr>
        <w:t>Drug Discovery</w:t>
      </w:r>
    </w:p>
    <w:p>
      <w:pPr>
        <w:pStyle w:val="Body"/>
      </w:pPr>
      <w:r>
        <w:rPr>
          <w:b w:val="0"/>
          <w:i w:val="0"/>
          <w:noProof/>
          <w:u w:val="none"/>
          <w:lang w:val="id-ID" w:eastAsia="id-ID"/>
        </w:rPr>
        <w:t>ML accelerates drug discovery by predicting molecular properties, identifying drug targets, and optimizing compound structures. Deep learning models can screen millions of compounds in silico, significantly reducing time and cost.</w:t>
      </w:r>
    </w:p>
    <w:p>
      <w:pPr>
        <w:pStyle w:val="Heading1"/>
        <w:tabs>
          <w:tab w:val="left" w:pos="0"/>
        </w:tabs>
        <w:spacing w:before="60" w:after="60"/>
        <w:rPr>
          <w:lang w:val="id-ID"/>
        </w:rPr>
      </w:pPr>
      <w:r>
        <w:rPr>
          <w:b/>
          <w:i w:val="0"/>
          <w:u w:val="none"/>
          <w:lang w:val="id-ID"/>
        </w:rPr>
        <w:t>Challenges and Limitations</w:t>
      </w:r>
    </w:p>
    <w:p>
      <w:pPr>
        <w:pStyle w:val="Body"/>
      </w:pPr>
      <w:r>
        <w:rPr>
          <w:b w:val="0"/>
          <w:i w:val="0"/>
          <w:noProof/>
          <w:u w:val="none"/>
          <w:lang w:val="id-ID" w:eastAsia="id-ID"/>
        </w:rPr>
        <w:t>Despite significant progress, several challenges hinder widespread adoption of ML in healthcare.</w:t>
      </w:r>
    </w:p>
    <w:p>
      <w:pPr>
        <w:pStyle w:val="Heading2"/>
        <w:spacing w:before="60" w:after="60"/>
        <w:ind w:firstLine="0"/>
        <w:rPr>
          <w:sz w:val="20"/>
          <w:lang w:val="id-ID"/>
        </w:rPr>
      </w:pPr>
      <w:r>
        <w:rPr>
          <w:b/>
          <w:i w:val="0"/>
          <w:u w:val="none"/>
          <w:lang w:val="id-ID"/>
        </w:rPr>
        <w:t>Data Privacy and Security</w:t>
      </w:r>
    </w:p>
    <w:p>
      <w:pPr>
        <w:pStyle w:val="Body"/>
      </w:pPr>
      <w:r>
        <w:rPr>
          <w:b w:val="0"/>
          <w:i w:val="0"/>
          <w:noProof/>
          <w:u w:val="none"/>
          <w:lang w:val="id-ID" w:eastAsia="id-ID"/>
        </w:rPr>
        <w:t>Healthcare data is highly sensitive and subject to strict regulations (HIPAA, GDPR). Ensuring privacy while enabling ML model training requires techniques such as federated learning, differential privacy, and secure multi-party computation.</w:t>
      </w:r>
    </w:p>
    <w:p>
      <w:pPr>
        <w:pStyle w:val="Heading2"/>
        <w:spacing w:before="60" w:after="60"/>
        <w:ind w:firstLine="0"/>
        <w:rPr>
          <w:sz w:val="20"/>
          <w:lang w:val="id-ID"/>
        </w:rPr>
      </w:pPr>
      <w:r>
        <w:rPr>
          <w:b/>
          <w:i w:val="0"/>
          <w:u w:val="none"/>
          <w:lang w:val="id-ID"/>
        </w:rPr>
        <w:t>Model Interpretability</w:t>
      </w:r>
    </w:p>
    <w:p>
      <w:pPr>
        <w:pStyle w:val="Body"/>
      </w:pPr>
      <w:r>
        <w:rPr>
          <w:b w:val="0"/>
          <w:i w:val="0"/>
          <w:noProof/>
          <w:u w:val="none"/>
          <w:lang w:val="id-ID" w:eastAsia="id-ID"/>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spacing w:before="60" w:after="60"/>
        <w:ind w:firstLine="0"/>
        <w:rPr>
          <w:sz w:val="20"/>
          <w:lang w:val="id-ID"/>
        </w:rPr>
      </w:pPr>
      <w:r>
        <w:rPr>
          <w:b/>
          <w:i w:val="0"/>
          <w:u w:val="none"/>
          <w:lang w:val="id-ID"/>
        </w:rPr>
        <w:t>Clinical Integration</w:t>
      </w:r>
    </w:p>
    <w:p>
      <w:pPr>
        <w:pStyle w:val="Body"/>
      </w:pPr>
      <w:r>
        <w:rPr>
          <w:b w:val="0"/>
          <w:i w:val="0"/>
          <w:noProof/>
          <w:u w:val="none"/>
          <w:lang w:val="id-ID" w:eastAsia="id-ID"/>
        </w:rPr>
        <w:t>Integrating ML systems into clinical workflows requires careful consideration of usability, validation, and regulatory approval. Models must be robust, reliable, and aligned with clinical practice guidelines.</w:t>
      </w:r>
    </w:p>
    <w:p>
      <w:pPr>
        <w:pStyle w:val="Heading1"/>
        <w:tabs>
          <w:tab w:val="left" w:pos="0"/>
        </w:tabs>
        <w:spacing w:before="60" w:after="60"/>
        <w:rPr>
          <w:lang w:val="id-ID"/>
        </w:rPr>
      </w:pPr>
      <w:r>
        <w:rPr>
          <w:b/>
          <w:i w:val="0"/>
          <w:u w:val="none"/>
          <w:lang w:val="id-ID"/>
        </w:rPr>
        <w:t>Future Directions</w:t>
      </w:r>
    </w:p>
    <w:p>
      <w:pPr>
        <w:pStyle w:val="Body"/>
      </w:pPr>
      <w:r>
        <w:rPr>
          <w:b w:val="0"/>
          <w:i w:val="0"/>
          <w:noProof/>
          <w:u w:val="none"/>
          <w:lang w:val="id-ID" w:eastAsia="id-ID"/>
        </w:rPr>
        <w:t>The future of ML in healthcare is promising, with several emerging trends and research directions.</w:t>
      </w:r>
    </w:p>
    <w:p>
      <w:pPr>
        <w:pStyle w:val="Heading2"/>
        <w:spacing w:before="60" w:after="60"/>
        <w:ind w:firstLine="0"/>
        <w:rPr>
          <w:sz w:val="20"/>
          <w:lang w:val="id-ID"/>
        </w:rPr>
      </w:pPr>
      <w:r>
        <w:rPr>
          <w:b/>
          <w:i w:val="0"/>
          <w:u w:val="none"/>
          <w:lang w:val="id-ID"/>
        </w:rPr>
        <w:t>Federated Learning</w:t>
      </w:r>
    </w:p>
    <w:p>
      <w:pPr>
        <w:pStyle w:val="Body"/>
      </w:pPr>
      <w:r>
        <w:rPr>
          <w:b w:val="0"/>
          <w:i w:val="0"/>
          <w:noProof/>
          <w:u w:val="none"/>
          <w:lang w:val="id-ID" w:eastAsia="id-ID"/>
        </w:rPr>
        <w:t>Federated learning enables collaborative model training across institutions without sharing raw data, addressing privacy concerns while leveraging diverse datasets.</w:t>
      </w:r>
    </w:p>
    <w:p>
      <w:pPr>
        <w:pStyle w:val="Heading2"/>
        <w:spacing w:before="60" w:after="60"/>
        <w:ind w:firstLine="0"/>
        <w:rPr>
          <w:sz w:val="20"/>
          <w:lang w:val="id-ID"/>
        </w:rPr>
      </w:pPr>
      <w:r>
        <w:rPr>
          <w:b/>
          <w:i w:val="0"/>
          <w:u w:val="none"/>
          <w:lang w:val="id-ID"/>
        </w:rPr>
        <w:t>Multimodal Learning</w:t>
      </w:r>
    </w:p>
    <w:p>
      <w:pPr>
        <w:pStyle w:val="Body"/>
      </w:pPr>
      <w:r>
        <w:rPr>
          <w:b w:val="0"/>
          <w:i w:val="0"/>
          <w:noProof/>
          <w:u w:val="none"/>
          <w:lang w:val="id-ID" w:eastAsia="id-ID"/>
        </w:rPr>
        <w:t>Integrating multiple data modalities (imaging, genomics, EHRs) can improve diagnostic accuracy and enable more comprehensive patient assessment.</w:t>
      </w:r>
    </w:p>
    <w:p>
      <w:pPr>
        <w:pStyle w:val="Heading2"/>
        <w:spacing w:before="60" w:after="60"/>
        <w:ind w:firstLine="0"/>
        <w:rPr>
          <w:sz w:val="20"/>
          <w:lang w:val="id-ID"/>
        </w:rPr>
      </w:pPr>
      <w:r>
        <w:rPr>
          <w:b/>
          <w:i w:val="0"/>
          <w:u w:val="none"/>
          <w:lang w:val="id-ID"/>
        </w:rPr>
        <w:t>Real-time Clinical Decision Support</w:t>
      </w:r>
    </w:p>
    <w:p>
      <w:pPr>
        <w:pStyle w:val="Body"/>
      </w:pPr>
      <w:r>
        <w:rPr>
          <w:b w:val="0"/>
          <w:i w:val="0"/>
          <w:noProof/>
          <w:u w:val="none"/>
          <w:lang w:val="id-ID" w:eastAsia="id-ID"/>
        </w:rPr>
        <w:t>Deploying ML models at the point of care can provide real-time recommendations, alerts, and decision support to clinicians, improving patient outcomes and reducing errors.</w:t>
      </w:r>
    </w:p>
    <w:p>
      <w:pPr>
        <w:pStyle w:val="Heading1"/>
        <w:tabs>
          <w:tab w:val="left" w:pos="0"/>
        </w:tabs>
        <w:spacing w:before="60" w:after="60"/>
        <w:rPr>
          <w:lang w:val="id-ID"/>
        </w:rPr>
      </w:pPr>
      <w:r>
        <w:rPr>
          <w:b/>
          <w:i w:val="0"/>
          <w:u w:val="none"/>
          <w:lang w:val="id-ID"/>
        </w:rPr>
        <w:t>Conclusion</w:t>
      </w:r>
    </w:p>
    <w:p>
      <w:pPr>
        <w:pStyle w:val="Body"/>
      </w:pPr>
      <w:r>
        <w:rPr>
          <w:b w:val="0"/>
          <w:i w:val="0"/>
          <w:noProof/>
          <w:u w:val="none"/>
          <w:lang w:val="id-ID" w:eastAsia="id-ID"/>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1"/>
        <w:tabs>
          <w:tab w:val="left" w:pos="0"/>
        </w:tabs>
        <w:spacing w:before="60" w:after="60"/>
        <w:rPr>
          <w:lang w:val="id-ID"/>
        </w:rPr>
      </w:pPr>
      <w:r>
        <w:rPr>
          <w:b/>
          <w:i w:val="0"/>
          <w:u w:val="none"/>
          <w:lang w:val="id-ID"/>
        </w:rPr>
        <w:t>Ucapan Terima Kasih</w:t>
      </w:r>
    </w:p>
    <w:p>
      <w:pPr>
        <w:pStyle w:val="Body"/>
      </w:pPr>
      <w:r>
        <w:rPr>
          <w:b w:val="0"/>
          <w:i w:val="0"/>
          <w:noProof/>
          <w:u w:val="none"/>
          <w:lang w:val="id-ID" w:eastAsia="id-ID"/>
        </w:rPr>
        <w:t>Penulis menyampaikan terima kasih kepada Department of Computer Science, University of Technology, New York, USA; School of Medicine, Medical University, Boston, USA atas dukungan fasilitas laboratorium, infrastruktur komputasi, dan akses perangkat PLC selama pelaksanaan penelitian ini.</w:t>
      </w:r>
    </w:p>
    <w:p>
      <w:pPr>
        <w:rPr>
          <w:sz w:val="20"/>
          <w:szCs w:val="20"/>
        </w:rPr>
        <w:sectPr w:rsidR="006C36D3" w:rsidRPr="00D1616F" w:rsidSect="006C36D3">
          <w:type w:val="continuous"/>
          <w:pgSz w:w="12240" w:h="15840"/>
          <w:pgMar w:top="1701" w:right="1134" w:bottom="1134" w:left="1418" w:header="720" w:footer="720" w:gutter="0"/>
          <w:cols w:num="2" w:space="562"/>
          <w:titlePg/>
          <w:docGrid w:linePitch="360"/>
        </w:sectPr>
      </w:pPr>
    </w:p>
    <w:p>
      <w:pPr>
        <w:spacing w:before="60" w:after="60"/>
        <w:rPr>
          <w:b/>
          <w:sz w:val="20"/>
          <w:szCs w:val="20"/>
        </w:rPr>
      </w:pPr>
      <w:r>
        <w:rPr>
          <w:b/>
          <w:i w:val="0"/>
          <w:u w:val="none"/>
        </w:rPr>
        <w:t>Daftar Pustaka</w:t>
      </w:r>
    </w:p>
    <w:p>
      <w:pPr>
        <w:ind w:left="567" w:hanging="567"/>
        <w:jc w:val="both"/>
        <w:rPr>
          <w:color w:val="000000"/>
          <w:sz w:val="20"/>
          <w:szCs w:val="20"/>
          <w:lang w:val="id-ID"/>
        </w:rPr>
      </w:pPr>
      <w:r>
        <w:rPr>
          <w:b w:val="0"/>
          <w:i w:val="0"/>
          <w:color w:val="000000"/>
          <w:sz w:val="20"/>
          <w:szCs w:val="20"/>
          <w:u w:val="none"/>
          <w:lang w:val="id-ID"/>
        </w:rPr>
        <w:t>Tambahkan daftar pustaka sesuai gaya penulisan JTUNDIP/TEKNIK.</w:t>
      </w:r>
    </w:p>
    <w:sectPr w:rsidR="006C36D3" w:rsidRPr="00D1616F" w:rsidSect="006C36D3">
      <w:type w:val="continuous"/>
      <w:pgSz w:w="12240" w:h="15840"/>
      <w:pgMar w:top="1701" w:right="1134" w:bottom="1134" w:left="1418" w:header="720" w:footer="720" w:gutter="0"/>
      <w:cols w:num="2" w:space="56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F4EBD" w14:textId="77777777" w:rsidR="00DB1483" w:rsidRDefault="00DB1483">
      <w:r>
        <w:separator/>
      </w:r>
    </w:p>
  </w:endnote>
  <w:endnote w:type="continuationSeparator" w:id="0">
    <w:p w14:paraId="22735124" w14:textId="77777777" w:rsidR="00DB1483" w:rsidRDefault="00DB1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152CD" w14:textId="77777777" w:rsidR="00EB5ED1" w:rsidRDefault="00EB5ED1" w:rsidP="00EB5ED1">
    <w:pPr>
      <w:pStyle w:val="Footer"/>
      <w:rPr>
        <w:sz w:val="21"/>
        <w:szCs w:val="21"/>
      </w:rPr>
    </w:pPr>
  </w:p>
  <w:p w14:paraId="6EB26EE4" w14:textId="77777777" w:rsidR="00EB5ED1" w:rsidRPr="00EB5ED1" w:rsidRDefault="00EB5ED1" w:rsidP="00EB5ED1">
    <w:pPr>
      <w:pStyle w:val="Footer"/>
      <w:rPr>
        <w:sz w:val="21"/>
        <w:szCs w:val="21"/>
      </w:rPr>
    </w:pPr>
    <w:r>
      <w:rPr>
        <w:sz w:val="21"/>
        <w:szCs w:val="21"/>
      </w:rPr>
      <w:t>doi: 10.14710/teknik.v39n1.xxxxxx</w:t>
    </w:r>
    <w:r>
      <w:rPr>
        <w:sz w:val="21"/>
        <w:szCs w:val="21"/>
      </w:rPr>
      <w:tab/>
      <w:t xml:space="preserve">               </w:t>
    </w:r>
    <w:r w:rsidRPr="00EB5ED1">
      <w:rPr>
        <w:sz w:val="21"/>
        <w:szCs w:val="21"/>
      </w:rPr>
      <w:t xml:space="preserve">Copyright © 2018, TEKNIK, </w:t>
    </w:r>
    <w:r>
      <w:rPr>
        <w:sz w:val="21"/>
        <w:szCs w:val="21"/>
      </w:rPr>
      <w:t>p-</w:t>
    </w:r>
    <w:r w:rsidRPr="00EB5ED1">
      <w:rPr>
        <w:sz w:val="21"/>
        <w:szCs w:val="21"/>
      </w:rPr>
      <w:t>ISSN</w:t>
    </w:r>
    <w:r>
      <w:rPr>
        <w:sz w:val="21"/>
        <w:szCs w:val="21"/>
      </w:rPr>
      <w:t>:</w:t>
    </w:r>
    <w:r w:rsidRPr="00EB5ED1">
      <w:rPr>
        <w:sz w:val="21"/>
        <w:szCs w:val="21"/>
      </w:rPr>
      <w:t xml:space="preserve"> 0852-1697</w:t>
    </w:r>
    <w:r>
      <w:rPr>
        <w:sz w:val="21"/>
        <w:szCs w:val="21"/>
      </w:rPr>
      <w:t>, e-ISSN: 240-9919</w:t>
    </w:r>
  </w:p>
  <w:p w14:paraId="4E551AA9" w14:textId="77777777" w:rsidR="007B0CCE" w:rsidRPr="00EB5ED1" w:rsidRDefault="007B0CCE" w:rsidP="00EB5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E119" w14:textId="77777777" w:rsidR="006B4C3C" w:rsidRDefault="006B4C3C" w:rsidP="006B4C3C">
    <w:pPr>
      <w:pStyle w:val="Footer"/>
      <w:jc w:val="center"/>
    </w:pPr>
  </w:p>
  <w:p w14:paraId="390A7AB6" w14:textId="77777777" w:rsidR="006B4C3C" w:rsidRPr="00EB5ED1" w:rsidRDefault="00EB5ED1" w:rsidP="00EB5ED1">
    <w:pPr>
      <w:pStyle w:val="Footer"/>
      <w:rPr>
        <w:sz w:val="21"/>
        <w:szCs w:val="21"/>
      </w:rPr>
    </w:pPr>
    <w:r>
      <w:rPr>
        <w:sz w:val="21"/>
        <w:szCs w:val="21"/>
      </w:rPr>
      <w:t>doi: 10.14710/teknik.v39n1.xxxxxx</w:t>
    </w:r>
    <w:r>
      <w:rPr>
        <w:sz w:val="21"/>
        <w:szCs w:val="21"/>
      </w:rPr>
      <w:tab/>
      <w:t xml:space="preserve">               </w:t>
    </w:r>
    <w:r w:rsidR="00725551" w:rsidRPr="00EB5ED1">
      <w:rPr>
        <w:sz w:val="21"/>
        <w:szCs w:val="21"/>
      </w:rPr>
      <w:t>Copyright © 2018</w:t>
    </w:r>
    <w:r w:rsidR="006B4C3C" w:rsidRPr="00EB5ED1">
      <w:rPr>
        <w:sz w:val="21"/>
        <w:szCs w:val="21"/>
      </w:rPr>
      <w:t xml:space="preserve">, TEKNIK, </w:t>
    </w:r>
    <w:r>
      <w:rPr>
        <w:sz w:val="21"/>
        <w:szCs w:val="21"/>
      </w:rPr>
      <w:t>p-</w:t>
    </w:r>
    <w:r w:rsidR="006B4C3C" w:rsidRPr="00EB5ED1">
      <w:rPr>
        <w:sz w:val="21"/>
        <w:szCs w:val="21"/>
      </w:rPr>
      <w:t>ISSN</w:t>
    </w:r>
    <w:r>
      <w:rPr>
        <w:sz w:val="21"/>
        <w:szCs w:val="21"/>
      </w:rPr>
      <w:t>:</w:t>
    </w:r>
    <w:r w:rsidR="006B4C3C" w:rsidRPr="00EB5ED1">
      <w:rPr>
        <w:sz w:val="21"/>
        <w:szCs w:val="21"/>
      </w:rPr>
      <w:t xml:space="preserve"> 0852-1697</w:t>
    </w:r>
    <w:r>
      <w:rPr>
        <w:sz w:val="21"/>
        <w:szCs w:val="21"/>
      </w:rPr>
      <w:t>, e-ISSN: 240-9919</w:t>
    </w:r>
  </w:p>
  <w:p w14:paraId="621270E8" w14:textId="77777777" w:rsidR="006B4C3C" w:rsidRPr="00EB5ED1" w:rsidRDefault="006B4C3C">
    <w:pPr>
      <w:pStyle w:val="Foo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DD483" w14:textId="77777777" w:rsidR="00DB1483" w:rsidRDefault="00DB1483">
      <w:r>
        <w:separator/>
      </w:r>
    </w:p>
  </w:footnote>
  <w:footnote w:type="continuationSeparator" w:id="0">
    <w:p w14:paraId="5A423FD6" w14:textId="77777777" w:rsidR="00DB1483" w:rsidRDefault="00DB1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9BA26" w14:textId="77777777" w:rsidR="007B0CCE" w:rsidRPr="007B0CCE" w:rsidRDefault="007B0CCE" w:rsidP="007B0CCE">
    <w:pPr>
      <w:pStyle w:val="Header"/>
      <w:spacing w:before="120"/>
      <w:jc w:val="center"/>
      <w:rPr>
        <w:b/>
        <w:sz w:val="28"/>
        <w:szCs w:val="28"/>
      </w:rPr>
    </w:pPr>
    <w:r w:rsidRPr="007B0CCE">
      <w:rPr>
        <w:b/>
        <w:sz w:val="28"/>
        <w:szCs w:val="28"/>
      </w:rPr>
      <w:t>T</w:t>
    </w:r>
    <w:r w:rsidR="00725551">
      <w:rPr>
        <w:b/>
        <w:sz w:val="28"/>
        <w:szCs w:val="28"/>
      </w:rPr>
      <w:t>EKNIK, 39 (1), 2018</w:t>
    </w:r>
    <w:r w:rsidR="005959A3">
      <w:rPr>
        <w:b/>
        <w:sz w:val="28"/>
        <w:szCs w:val="28"/>
      </w:rPr>
      <w:t xml:space="preserve">, </w:t>
    </w:r>
    <w:r w:rsidR="005959A3" w:rsidRPr="005959A3">
      <w:rPr>
        <w:b/>
        <w:sz w:val="28"/>
        <w:szCs w:val="28"/>
      </w:rPr>
      <w:fldChar w:fldCharType="begin"/>
    </w:r>
    <w:r w:rsidR="005959A3" w:rsidRPr="005959A3">
      <w:rPr>
        <w:b/>
        <w:sz w:val="28"/>
        <w:szCs w:val="28"/>
      </w:rPr>
      <w:instrText xml:space="preserve"> PAGE </w:instrText>
    </w:r>
    <w:r w:rsidR="005959A3" w:rsidRPr="005959A3">
      <w:rPr>
        <w:b/>
        <w:sz w:val="28"/>
        <w:szCs w:val="28"/>
      </w:rPr>
      <w:fldChar w:fldCharType="separate"/>
    </w:r>
    <w:r w:rsidR="0003451A">
      <w:rPr>
        <w:b/>
        <w:noProof/>
        <w:sz w:val="28"/>
        <w:szCs w:val="28"/>
      </w:rPr>
      <w:t>5</w:t>
    </w:r>
    <w:r w:rsidR="005959A3" w:rsidRPr="005959A3">
      <w:rPr>
        <w:b/>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AFB30" w14:textId="77777777" w:rsidR="005959A3" w:rsidRPr="00725551" w:rsidRDefault="00725551" w:rsidP="005959A3">
    <w:pPr>
      <w:pStyle w:val="Header"/>
      <w:jc w:val="center"/>
      <w:rPr>
        <w:i/>
        <w:sz w:val="22"/>
        <w:szCs w:val="22"/>
      </w:rPr>
    </w:pPr>
    <w:r w:rsidRPr="00725551">
      <w:rPr>
        <w:i/>
        <w:noProof/>
        <w:sz w:val="22"/>
        <w:szCs w:val="22"/>
        <w:lang w:eastAsia="ja-JP"/>
      </w:rPr>
      <w:pict w14:anchorId="64537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2049" type="#_x0000_t75" style="position:absolute;left:0;text-align:left;margin-left:2.75pt;margin-top:1.95pt;width:50.9pt;height:41.9pt;z-index:251657728;visibility:visible">
          <v:imagedata r:id="rId1" o:title=""/>
          <w10:wrap type="square"/>
        </v:shape>
      </w:pict>
    </w:r>
    <w:r w:rsidR="005959A3" w:rsidRPr="00725551">
      <w:rPr>
        <w:i/>
        <w:sz w:val="22"/>
        <w:szCs w:val="22"/>
      </w:rPr>
      <w:t>Tersedia online di: http://ejournal.undip.ac.id/index.php/teknik</w:t>
    </w:r>
  </w:p>
  <w:p w14:paraId="3D73534E" w14:textId="77777777" w:rsidR="005959A3" w:rsidRPr="00725551" w:rsidRDefault="005959A3" w:rsidP="005959A3">
    <w:pPr>
      <w:pStyle w:val="Header"/>
      <w:spacing w:before="120"/>
      <w:jc w:val="center"/>
      <w:rPr>
        <w:sz w:val="22"/>
        <w:szCs w:val="22"/>
      </w:rPr>
    </w:pPr>
    <w:r w:rsidRPr="00725551">
      <w:rPr>
        <w:b/>
        <w:sz w:val="22"/>
        <w:szCs w:val="22"/>
      </w:rPr>
      <w:t>T</w:t>
    </w:r>
    <w:r w:rsidR="00725551">
      <w:rPr>
        <w:b/>
        <w:sz w:val="22"/>
        <w:szCs w:val="22"/>
      </w:rPr>
      <w:t>EKNIK, 39 (1), 2018</w:t>
    </w:r>
    <w:r w:rsidRPr="00725551">
      <w:rPr>
        <w:b/>
        <w:sz w:val="22"/>
        <w:szCs w:val="22"/>
      </w:rPr>
      <w:t xml:space="preserve">, </w:t>
    </w:r>
    <w:r w:rsidR="005B7105">
      <w:rPr>
        <w:b/>
        <w:sz w:val="22"/>
        <w:szCs w:val="22"/>
      </w:rPr>
      <w:t xml:space="preserve">App. </w:t>
    </w:r>
    <w:r w:rsidRPr="00725551">
      <w:rPr>
        <w:b/>
        <w:sz w:val="22"/>
        <w:szCs w:val="22"/>
      </w:rPr>
      <w:t>1-</w:t>
    </w:r>
    <w:r w:rsidR="005B7105">
      <w:rPr>
        <w:b/>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58B8FD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2F81E24"/>
    <w:multiLevelType w:val="hybridMultilevel"/>
    <w:tmpl w:val="12F8108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5D61941"/>
    <w:multiLevelType w:val="hybridMultilevel"/>
    <w:tmpl w:val="25208280"/>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D47622C"/>
    <w:multiLevelType w:val="hybridMultilevel"/>
    <w:tmpl w:val="F9EA1BE0"/>
    <w:lvl w:ilvl="0" w:tplc="5942CF96">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C2D56EC"/>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56078622">
    <w:abstractNumId w:val="1"/>
  </w:num>
  <w:num w:numId="2" w16cid:durableId="1267539620">
    <w:abstractNumId w:val="3"/>
  </w:num>
  <w:num w:numId="3" w16cid:durableId="1063412596">
    <w:abstractNumId w:val="2"/>
  </w:num>
  <w:num w:numId="4" w16cid:durableId="557059158">
    <w:abstractNumId w:val="5"/>
  </w:num>
  <w:num w:numId="5" w16cid:durableId="2065980099">
    <w:abstractNumId w:val="4"/>
  </w:num>
  <w:num w:numId="6" w16cid:durableId="90650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5D8C"/>
    <w:rsid w:val="0001206E"/>
    <w:rsid w:val="0001664E"/>
    <w:rsid w:val="00022890"/>
    <w:rsid w:val="0002298E"/>
    <w:rsid w:val="0003451A"/>
    <w:rsid w:val="00041786"/>
    <w:rsid w:val="00050362"/>
    <w:rsid w:val="0005225F"/>
    <w:rsid w:val="00082B0C"/>
    <w:rsid w:val="000952E9"/>
    <w:rsid w:val="000A6398"/>
    <w:rsid w:val="000B5ED9"/>
    <w:rsid w:val="000E0897"/>
    <w:rsid w:val="000E51CC"/>
    <w:rsid w:val="000E68A9"/>
    <w:rsid w:val="000F66B8"/>
    <w:rsid w:val="000F677B"/>
    <w:rsid w:val="00101308"/>
    <w:rsid w:val="00101BCB"/>
    <w:rsid w:val="0010301C"/>
    <w:rsid w:val="00106F56"/>
    <w:rsid w:val="001277EF"/>
    <w:rsid w:val="00156375"/>
    <w:rsid w:val="00156A3C"/>
    <w:rsid w:val="001642ED"/>
    <w:rsid w:val="001651C1"/>
    <w:rsid w:val="00173195"/>
    <w:rsid w:val="00177B6F"/>
    <w:rsid w:val="00184FD9"/>
    <w:rsid w:val="001904D8"/>
    <w:rsid w:val="001B092F"/>
    <w:rsid w:val="001C2267"/>
    <w:rsid w:val="001D4C91"/>
    <w:rsid w:val="001D6B8E"/>
    <w:rsid w:val="001E1DF1"/>
    <w:rsid w:val="001F2977"/>
    <w:rsid w:val="001F7B3A"/>
    <w:rsid w:val="0021198F"/>
    <w:rsid w:val="0021652D"/>
    <w:rsid w:val="002363C1"/>
    <w:rsid w:val="002375FA"/>
    <w:rsid w:val="00250A0E"/>
    <w:rsid w:val="00264706"/>
    <w:rsid w:val="002768DF"/>
    <w:rsid w:val="00283228"/>
    <w:rsid w:val="00285D8C"/>
    <w:rsid w:val="002940F4"/>
    <w:rsid w:val="002978D1"/>
    <w:rsid w:val="002B7022"/>
    <w:rsid w:val="002C1C14"/>
    <w:rsid w:val="002E1BB5"/>
    <w:rsid w:val="002E2DC4"/>
    <w:rsid w:val="00307D5F"/>
    <w:rsid w:val="003136A9"/>
    <w:rsid w:val="00320BB3"/>
    <w:rsid w:val="00321D8C"/>
    <w:rsid w:val="0034238B"/>
    <w:rsid w:val="003426B0"/>
    <w:rsid w:val="00387AC3"/>
    <w:rsid w:val="003927F7"/>
    <w:rsid w:val="003B5092"/>
    <w:rsid w:val="003B6F94"/>
    <w:rsid w:val="003C5967"/>
    <w:rsid w:val="003C7708"/>
    <w:rsid w:val="003D7E6B"/>
    <w:rsid w:val="003E384A"/>
    <w:rsid w:val="003E5DF7"/>
    <w:rsid w:val="003E601D"/>
    <w:rsid w:val="00402960"/>
    <w:rsid w:val="00420249"/>
    <w:rsid w:val="004234BC"/>
    <w:rsid w:val="00424AF8"/>
    <w:rsid w:val="0042795A"/>
    <w:rsid w:val="00435EB4"/>
    <w:rsid w:val="00437F21"/>
    <w:rsid w:val="00447F5E"/>
    <w:rsid w:val="004950C8"/>
    <w:rsid w:val="004963CA"/>
    <w:rsid w:val="0049650A"/>
    <w:rsid w:val="004A48A3"/>
    <w:rsid w:val="004B292D"/>
    <w:rsid w:val="004C71D1"/>
    <w:rsid w:val="004D150C"/>
    <w:rsid w:val="004E1863"/>
    <w:rsid w:val="004F1B97"/>
    <w:rsid w:val="004F4D2D"/>
    <w:rsid w:val="004F5D32"/>
    <w:rsid w:val="005061D5"/>
    <w:rsid w:val="00514B65"/>
    <w:rsid w:val="0051764E"/>
    <w:rsid w:val="00557605"/>
    <w:rsid w:val="005605AD"/>
    <w:rsid w:val="005611B3"/>
    <w:rsid w:val="005812D6"/>
    <w:rsid w:val="00591EDC"/>
    <w:rsid w:val="005959A3"/>
    <w:rsid w:val="00595DD2"/>
    <w:rsid w:val="005B271A"/>
    <w:rsid w:val="005B7105"/>
    <w:rsid w:val="005B7AC9"/>
    <w:rsid w:val="005C35AE"/>
    <w:rsid w:val="005D6839"/>
    <w:rsid w:val="005D6C1A"/>
    <w:rsid w:val="005E1168"/>
    <w:rsid w:val="005E463F"/>
    <w:rsid w:val="005F2660"/>
    <w:rsid w:val="005F6903"/>
    <w:rsid w:val="006020D6"/>
    <w:rsid w:val="00605102"/>
    <w:rsid w:val="006052D8"/>
    <w:rsid w:val="006160E8"/>
    <w:rsid w:val="00661EF5"/>
    <w:rsid w:val="00664B9C"/>
    <w:rsid w:val="0066696F"/>
    <w:rsid w:val="00667DFF"/>
    <w:rsid w:val="00670C68"/>
    <w:rsid w:val="006B1AA4"/>
    <w:rsid w:val="006B450A"/>
    <w:rsid w:val="006B4C3C"/>
    <w:rsid w:val="006C3660"/>
    <w:rsid w:val="006C36D3"/>
    <w:rsid w:val="006D53CC"/>
    <w:rsid w:val="006E1F0B"/>
    <w:rsid w:val="006E5228"/>
    <w:rsid w:val="0070048F"/>
    <w:rsid w:val="007006A4"/>
    <w:rsid w:val="00705197"/>
    <w:rsid w:val="007231DC"/>
    <w:rsid w:val="00725551"/>
    <w:rsid w:val="0073070D"/>
    <w:rsid w:val="00734643"/>
    <w:rsid w:val="00741ED1"/>
    <w:rsid w:val="00744259"/>
    <w:rsid w:val="00744557"/>
    <w:rsid w:val="007559FB"/>
    <w:rsid w:val="00763449"/>
    <w:rsid w:val="00786309"/>
    <w:rsid w:val="00790B90"/>
    <w:rsid w:val="00791C62"/>
    <w:rsid w:val="007A7A6D"/>
    <w:rsid w:val="007B0CCE"/>
    <w:rsid w:val="007D22A5"/>
    <w:rsid w:val="007E3F66"/>
    <w:rsid w:val="007E4C0F"/>
    <w:rsid w:val="007F4810"/>
    <w:rsid w:val="00804959"/>
    <w:rsid w:val="00814C9C"/>
    <w:rsid w:val="00815BFA"/>
    <w:rsid w:val="008162EF"/>
    <w:rsid w:val="00817D7E"/>
    <w:rsid w:val="00824390"/>
    <w:rsid w:val="00827C42"/>
    <w:rsid w:val="00836AF4"/>
    <w:rsid w:val="00860702"/>
    <w:rsid w:val="008744CB"/>
    <w:rsid w:val="00877684"/>
    <w:rsid w:val="00883B0F"/>
    <w:rsid w:val="0088487E"/>
    <w:rsid w:val="008852E5"/>
    <w:rsid w:val="008A59BA"/>
    <w:rsid w:val="008A691B"/>
    <w:rsid w:val="008B0D3E"/>
    <w:rsid w:val="008B4EA5"/>
    <w:rsid w:val="008C4195"/>
    <w:rsid w:val="008C5982"/>
    <w:rsid w:val="008D4375"/>
    <w:rsid w:val="008F09F1"/>
    <w:rsid w:val="00900BA4"/>
    <w:rsid w:val="009127DE"/>
    <w:rsid w:val="0091284D"/>
    <w:rsid w:val="009211D7"/>
    <w:rsid w:val="00925B13"/>
    <w:rsid w:val="009454E8"/>
    <w:rsid w:val="0095364D"/>
    <w:rsid w:val="00953D71"/>
    <w:rsid w:val="00971C08"/>
    <w:rsid w:val="00990F1D"/>
    <w:rsid w:val="009A0355"/>
    <w:rsid w:val="009A0AB8"/>
    <w:rsid w:val="009A3D89"/>
    <w:rsid w:val="009B6499"/>
    <w:rsid w:val="009C0DFD"/>
    <w:rsid w:val="009E22D8"/>
    <w:rsid w:val="009E2CFF"/>
    <w:rsid w:val="009E4DDC"/>
    <w:rsid w:val="009F253D"/>
    <w:rsid w:val="009F5EE7"/>
    <w:rsid w:val="00A03E79"/>
    <w:rsid w:val="00A22C53"/>
    <w:rsid w:val="00A23D03"/>
    <w:rsid w:val="00A31970"/>
    <w:rsid w:val="00A46CBF"/>
    <w:rsid w:val="00A57097"/>
    <w:rsid w:val="00A57D92"/>
    <w:rsid w:val="00A72939"/>
    <w:rsid w:val="00A869A4"/>
    <w:rsid w:val="00A967A8"/>
    <w:rsid w:val="00A96EF8"/>
    <w:rsid w:val="00AA02FE"/>
    <w:rsid w:val="00AA1C40"/>
    <w:rsid w:val="00AA5A0B"/>
    <w:rsid w:val="00AA625D"/>
    <w:rsid w:val="00AB206C"/>
    <w:rsid w:val="00AC1F65"/>
    <w:rsid w:val="00AC67B8"/>
    <w:rsid w:val="00AD266B"/>
    <w:rsid w:val="00AD4C0B"/>
    <w:rsid w:val="00AD5072"/>
    <w:rsid w:val="00B01BD6"/>
    <w:rsid w:val="00B158E8"/>
    <w:rsid w:val="00B15FDE"/>
    <w:rsid w:val="00B16E94"/>
    <w:rsid w:val="00B436C4"/>
    <w:rsid w:val="00B53A05"/>
    <w:rsid w:val="00B56F11"/>
    <w:rsid w:val="00B6161B"/>
    <w:rsid w:val="00BA5F87"/>
    <w:rsid w:val="00BB5F72"/>
    <w:rsid w:val="00BC37CD"/>
    <w:rsid w:val="00BC5BC0"/>
    <w:rsid w:val="00BD6690"/>
    <w:rsid w:val="00C0499C"/>
    <w:rsid w:val="00C11C88"/>
    <w:rsid w:val="00C3076C"/>
    <w:rsid w:val="00C3253C"/>
    <w:rsid w:val="00C421D9"/>
    <w:rsid w:val="00C51FE1"/>
    <w:rsid w:val="00C71416"/>
    <w:rsid w:val="00C72889"/>
    <w:rsid w:val="00C72F76"/>
    <w:rsid w:val="00C75C9E"/>
    <w:rsid w:val="00C9139E"/>
    <w:rsid w:val="00C9227F"/>
    <w:rsid w:val="00CA0C2D"/>
    <w:rsid w:val="00CA163B"/>
    <w:rsid w:val="00CC7B0B"/>
    <w:rsid w:val="00CD60E7"/>
    <w:rsid w:val="00CE1D1C"/>
    <w:rsid w:val="00D00578"/>
    <w:rsid w:val="00D0722C"/>
    <w:rsid w:val="00D1616F"/>
    <w:rsid w:val="00D34AB0"/>
    <w:rsid w:val="00D35D77"/>
    <w:rsid w:val="00D40190"/>
    <w:rsid w:val="00D40CD7"/>
    <w:rsid w:val="00D50408"/>
    <w:rsid w:val="00D56631"/>
    <w:rsid w:val="00D723EA"/>
    <w:rsid w:val="00D85891"/>
    <w:rsid w:val="00D94791"/>
    <w:rsid w:val="00DB1483"/>
    <w:rsid w:val="00DD0ADA"/>
    <w:rsid w:val="00DD4602"/>
    <w:rsid w:val="00DD4774"/>
    <w:rsid w:val="00DD570E"/>
    <w:rsid w:val="00DE5F69"/>
    <w:rsid w:val="00DF707C"/>
    <w:rsid w:val="00E3011F"/>
    <w:rsid w:val="00E33C90"/>
    <w:rsid w:val="00E50714"/>
    <w:rsid w:val="00E517F7"/>
    <w:rsid w:val="00E611D2"/>
    <w:rsid w:val="00E8646B"/>
    <w:rsid w:val="00E87434"/>
    <w:rsid w:val="00E90A54"/>
    <w:rsid w:val="00E940C6"/>
    <w:rsid w:val="00EB11F4"/>
    <w:rsid w:val="00EB5ED1"/>
    <w:rsid w:val="00EB721C"/>
    <w:rsid w:val="00EB76BB"/>
    <w:rsid w:val="00EB7728"/>
    <w:rsid w:val="00EC0E8E"/>
    <w:rsid w:val="00ED011F"/>
    <w:rsid w:val="00ED345F"/>
    <w:rsid w:val="00ED5172"/>
    <w:rsid w:val="00F03DEF"/>
    <w:rsid w:val="00F10D8B"/>
    <w:rsid w:val="00F23514"/>
    <w:rsid w:val="00F23759"/>
    <w:rsid w:val="00F46DC2"/>
    <w:rsid w:val="00F522EB"/>
    <w:rsid w:val="00F63662"/>
    <w:rsid w:val="00F642E9"/>
    <w:rsid w:val="00F74805"/>
    <w:rsid w:val="00F82B3F"/>
    <w:rsid w:val="00F91F6A"/>
    <w:rsid w:val="00FB1331"/>
    <w:rsid w:val="00FB16D9"/>
    <w:rsid w:val="00FD56B9"/>
    <w:rsid w:val="00FD72AA"/>
    <w:rsid w:val="00FF4047"/>
    <w:rsid w:val="00FF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1B93D89"/>
  <w14:defaultImageDpi w14:val="300"/>
  <w15:chartTrackingRefBased/>
  <w15:docId w15:val="{5CA6FF82-E575-46EB-B9CB-E887027B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F642E9"/>
    <w:pPr>
      <w:keepNext/>
      <w:numPr>
        <w:numId w:val="1"/>
      </w:numPr>
      <w:suppressAutoHyphens/>
      <w:jc w:val="both"/>
      <w:outlineLvl w:val="0"/>
    </w:pPr>
    <w:rPr>
      <w:b/>
      <w:sz w:val="20"/>
      <w:szCs w:val="20"/>
      <w:lang w:eastAsia="ar-SA"/>
    </w:rPr>
  </w:style>
  <w:style w:type="paragraph" w:styleId="Heading2">
    <w:name w:val="heading 2"/>
    <w:basedOn w:val="Normal"/>
    <w:next w:val="Normal"/>
    <w:qFormat/>
    <w:rsid w:val="00F642E9"/>
    <w:pPr>
      <w:keepNext/>
      <w:numPr>
        <w:ilvl w:val="1"/>
        <w:numId w:val="1"/>
      </w:numPr>
      <w:suppressAutoHyphens/>
      <w:jc w:val="both"/>
      <w:outlineLvl w:val="1"/>
    </w:pPr>
    <w:rPr>
      <w:szCs w:val="20"/>
      <w:lang w:eastAsia="ar-SA"/>
    </w:rPr>
  </w:style>
  <w:style w:type="paragraph" w:styleId="Heading3">
    <w:name w:val="heading 3"/>
    <w:basedOn w:val="Normal"/>
    <w:next w:val="Normal"/>
    <w:qFormat/>
    <w:rsid w:val="00F642E9"/>
    <w:pPr>
      <w:keepNext/>
      <w:numPr>
        <w:ilvl w:val="2"/>
        <w:numId w:val="1"/>
      </w:numPr>
      <w:suppressAutoHyphens/>
      <w:ind w:firstLine="851"/>
      <w:jc w:val="both"/>
      <w:outlineLvl w:val="2"/>
    </w:pPr>
    <w:rPr>
      <w:b/>
      <w:sz w:val="20"/>
      <w:szCs w:val="20"/>
      <w:lang w:eastAsia="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next w:val="Subtitle"/>
    <w:qFormat/>
    <w:rsid w:val="00F642E9"/>
    <w:pPr>
      <w:suppressAutoHyphens/>
      <w:jc w:val="center"/>
    </w:pPr>
    <w:rPr>
      <w:rFonts w:cs="Arial"/>
      <w:b/>
      <w:bCs/>
      <w:kern w:val="1"/>
      <w:sz w:val="32"/>
      <w:szCs w:val="32"/>
      <w:lang w:eastAsia="ar-SA"/>
    </w:rPr>
  </w:style>
  <w:style w:type="paragraph" w:styleId="Subtitle">
    <w:name w:val="Subtitle"/>
    <w:basedOn w:val="Normal"/>
    <w:qFormat/>
    <w:rsid w:val="00F642E9"/>
    <w:pPr>
      <w:spacing w:after="60"/>
      <w:jc w:val="center"/>
      <w:outlineLvl w:val="1"/>
    </w:pPr>
    <w:rPr>
      <w:rFonts w:ascii="Arial" w:hAnsi="Arial" w:cs="Arial"/>
    </w:rPr>
  </w:style>
  <w:style w:type="paragraph" w:styleId="BodyTextIndent">
    <w:name w:val="Body Text Indent"/>
    <w:basedOn w:val="Normal"/>
    <w:rsid w:val="00F642E9"/>
    <w:pPr>
      <w:suppressAutoHyphens/>
      <w:ind w:firstLine="567"/>
      <w:jc w:val="both"/>
    </w:pPr>
    <w:rPr>
      <w:sz w:val="20"/>
      <w:szCs w:val="20"/>
      <w:lang w:eastAsia="ar-SA"/>
    </w:rPr>
  </w:style>
  <w:style w:type="paragraph" w:styleId="BodyTextIndent2">
    <w:name w:val="Body Text Indent 2"/>
    <w:basedOn w:val="Normal"/>
    <w:rsid w:val="00F642E9"/>
    <w:pPr>
      <w:suppressAutoHyphens/>
      <w:ind w:left="567" w:hanging="567"/>
      <w:jc w:val="both"/>
    </w:pPr>
    <w:rPr>
      <w:sz w:val="20"/>
      <w:szCs w:val="20"/>
      <w:lang w:eastAsia="ar-SA"/>
    </w:rPr>
  </w:style>
  <w:style w:type="paragraph" w:customStyle="1" w:styleId="Equation">
    <w:name w:val="Equation"/>
    <w:basedOn w:val="BodyTextIndent"/>
    <w:rsid w:val="00F642E9"/>
    <w:pPr>
      <w:tabs>
        <w:tab w:val="left" w:pos="57"/>
        <w:tab w:val="center" w:pos="1985"/>
        <w:tab w:val="right" w:pos="4026"/>
      </w:tabs>
      <w:ind w:firstLine="0"/>
      <w:jc w:val="left"/>
    </w:pPr>
  </w:style>
  <w:style w:type="paragraph" w:customStyle="1" w:styleId="Body">
    <w:name w:val="Body"/>
    <w:basedOn w:val="BodyTextIndent"/>
    <w:rsid w:val="00F642E9"/>
  </w:style>
  <w:style w:type="paragraph" w:customStyle="1" w:styleId="BodyAbstract">
    <w:name w:val="Body Abstract"/>
    <w:basedOn w:val="Heading1"/>
    <w:rsid w:val="00C421D9"/>
    <w:pPr>
      <w:numPr>
        <w:numId w:val="0"/>
      </w:numPr>
      <w:ind w:left="567" w:right="567"/>
      <w:outlineLvl w:val="9"/>
    </w:pPr>
    <w:rPr>
      <w:b w:val="0"/>
      <w:i/>
    </w:rPr>
  </w:style>
  <w:style w:type="paragraph" w:styleId="FootnoteText">
    <w:name w:val="footnote text"/>
    <w:basedOn w:val="Normal"/>
    <w:semiHidden/>
    <w:rsid w:val="007231DC"/>
    <w:rPr>
      <w:sz w:val="20"/>
      <w:szCs w:val="20"/>
    </w:rPr>
  </w:style>
  <w:style w:type="character" w:styleId="FootnoteReference">
    <w:name w:val="footnote reference"/>
    <w:semiHidden/>
    <w:rsid w:val="007231DC"/>
    <w:rPr>
      <w:vertAlign w:val="superscript"/>
    </w:rPr>
  </w:style>
  <w:style w:type="paragraph" w:customStyle="1" w:styleId="StyleTitle">
    <w:name w:val="Style Title"/>
    <w:basedOn w:val="Title"/>
    <w:rsid w:val="00786309"/>
    <w:rPr>
      <w:sz w:val="24"/>
    </w:rPr>
  </w:style>
  <w:style w:type="character" w:styleId="Hyperlink">
    <w:name w:val="Hyperlink"/>
    <w:rsid w:val="00EB76BB"/>
    <w:rPr>
      <w:color w:val="0000FF"/>
      <w:u w:val="single"/>
    </w:rPr>
  </w:style>
  <w:style w:type="paragraph" w:styleId="NormalWeb">
    <w:name w:val="Normal (Web)"/>
    <w:basedOn w:val="Normal"/>
    <w:rsid w:val="0021652D"/>
    <w:pPr>
      <w:spacing w:before="100" w:beforeAutospacing="1" w:after="119"/>
    </w:pPr>
  </w:style>
  <w:style w:type="paragraph" w:customStyle="1" w:styleId="Author">
    <w:name w:val="Author"/>
    <w:basedOn w:val="Normal"/>
    <w:rsid w:val="004D150C"/>
    <w:pPr>
      <w:jc w:val="center"/>
    </w:pPr>
    <w:rPr>
      <w:b/>
    </w:rPr>
  </w:style>
  <w:style w:type="paragraph" w:customStyle="1" w:styleId="AbstractTitle">
    <w:name w:val="Abstract Title"/>
    <w:basedOn w:val="Normal"/>
    <w:rsid w:val="005C35AE"/>
    <w:pPr>
      <w:jc w:val="center"/>
    </w:pPr>
    <w:rPr>
      <w:b/>
      <w:sz w:val="20"/>
      <w:szCs w:val="20"/>
    </w:rPr>
  </w:style>
  <w:style w:type="table" w:styleId="TableGrid">
    <w:name w:val="Table Grid"/>
    <w:basedOn w:val="TableNormal"/>
    <w:rsid w:val="006B1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63449"/>
    <w:pPr>
      <w:tabs>
        <w:tab w:val="center" w:pos="4320"/>
        <w:tab w:val="right" w:pos="8640"/>
      </w:tabs>
    </w:pPr>
  </w:style>
  <w:style w:type="character" w:customStyle="1" w:styleId="HeaderChar">
    <w:name w:val="Header Char"/>
    <w:link w:val="Header"/>
    <w:rsid w:val="00763449"/>
    <w:rPr>
      <w:sz w:val="24"/>
      <w:szCs w:val="24"/>
      <w:lang w:val="en-US"/>
    </w:rPr>
  </w:style>
  <w:style w:type="paragraph" w:styleId="Footer">
    <w:name w:val="footer"/>
    <w:basedOn w:val="Normal"/>
    <w:link w:val="FooterChar"/>
    <w:rsid w:val="00763449"/>
    <w:pPr>
      <w:tabs>
        <w:tab w:val="center" w:pos="4320"/>
        <w:tab w:val="right" w:pos="8640"/>
      </w:tabs>
    </w:pPr>
  </w:style>
  <w:style w:type="character" w:customStyle="1" w:styleId="FooterChar">
    <w:name w:val="Footer Char"/>
    <w:link w:val="Footer"/>
    <w:rsid w:val="00763449"/>
    <w:rPr>
      <w:sz w:val="24"/>
      <w:szCs w:val="24"/>
      <w:lang w:val="en-US"/>
    </w:rPr>
  </w:style>
  <w:style w:type="character" w:styleId="PageNumber">
    <w:name w:val="page number"/>
    <w:rsid w:val="00595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23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B4DAC04-A658-48BA-AC20-203CC81DA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2822</Words>
  <Characters>16091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Istadi_Client</dc:creator>
  <cp:keywords/>
  <cp:lastModifiedBy>sirobo</cp:lastModifiedBy>
  <cp:revision>2</cp:revision>
  <cp:lastPrinted>2018-06-29T02:28:00Z</cp:lastPrinted>
  <dcterms:created xsi:type="dcterms:W3CDTF">2026-03-31T13:37:00Z</dcterms:created>
  <dcterms:modified xsi:type="dcterms:W3CDTF">2026-03-31T13:37:00Z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