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title"/>
      </w:pPr>
      <w:r>
        <w:rPr>
          <w:b w:val="0"/>
          <w:i w:val="0"/>
          <w:u w:val="none"/>
          <w:kern w:val="48"/>
        </w:rPr>
        <w:t>Test Paper with Formulas</w:t>
      </w:r>
    </w:p>
    <w:p>
      <w:pPr>
        <w:pStyle w:val="Author"/>
        <w:sectPr>
          <w:footerReference w:type="first" r:id="rId9"/>
          <w:type w:val="continuous"/>
          <w:pgSz w:w="11906" w:h="16838"/>
          <w:pgMar w:top="540" w:right="893" w:bottom="1440" w:left="893" w:header="720" w:footer="720" w:gutter="0"/>
          <w:cols w:space="720"/>
          <w:titlePg/>
        </w:sectPr>
      </w:pPr>
    </w:p>
    <w:p>
      <w:pPr>
        <w:pStyle w:val="Author"/>
      </w:pPr>
      <w:r>
        <w:rPr>
          <w:sz w:val="18"/>
        </w:rPr>
        <w:t>Test Author</w:t>
      </w:r>
      <w:r>
        <w:br/>
      </w:r>
      <w:r>
        <w:rPr>
          <w:i/>
          <w:sz w:val="18"/>
        </w:rPr>
        <w:t>Test University</w:t>
      </w:r>
      <w:r>
        <w:br/>
      </w:r>
      <w:r>
        <w:rPr>
          <w:i/>
          <w:sz w:val="18"/>
        </w:rPr>
        <w:t>Test City</w:t>
      </w:r>
      <w:r>
        <w:br/>
      </w:r>
      <w:r>
        <w:rPr>
          <w:sz w:val="18"/>
        </w:rPr>
        <w:t>e-mail: test@test.com</w:t>
      </w:r>
    </w:p>
    <w:p>
      <w:pPr>
        <w:sectPr>
          <w:type w:val="continuous"/>
          <w:pgSz w:w="11906" w:h="16838"/>
          <w:pgMar w:top="450" w:right="893" w:bottom="1440" w:left="893" w:header="720" w:footer="720" w:gutter="0"/>
          <w:cols w:num="3" w:space="720"/>
        </w:sectPr>
      </w:pPr>
    </w:p>
    <w:p>
      <w:pPr>
        <w:sectPr>
          <w:type w:val="continuous"/>
          <w:pgSz w:w="11906" w:h="16838"/>
          <w:pgMar w:top="450" w:right="893" w:bottom="1440" w:left="893" w:header="720" w:footer="720" w:gutter="0"/>
          <w:cols w:num="3" w:space="720"/>
        </w:sectPr>
      </w:pPr>
    </w:p>
    <w:p>
      <w:pPr>
        <w:pStyle w:val="Abstract"/>
      </w:pPr>
      <w:r>
        <w:t>Abstract</w:t>
      </w:r>
      <w:r>
        <w:t>—</w:t>
      </w:r>
      <w:r>
        <w:rPr>
          <w:b w:val="0"/>
          <w:i w:val="0"/>
          <w:u w:val="none"/>
        </w:rPr>
        <w:t>This is a test paper with mathematical formulas.</w:t>
      </w:r>
    </w:p>
    <w:p>
      <w:pPr>
        <w:pStyle w:val="Keywords"/>
      </w:pPr>
      <w:r>
        <w:t>Index Terms</w:t>
      </w:r>
      <w:r>
        <w:t>—</w:t>
      </w:r>
      <w:r>
        <w:rPr>
          <w:b w:val="0"/>
          <w:i w:val="0"/>
          <w:u w:val="none"/>
        </w:rPr>
        <w:t>test, formulas.</w:t>
      </w:r>
    </w:p>
    <w:p>
      <w:pPr>
        <w:pStyle w:val="Heading1"/>
      </w:pPr>
      <w:r>
        <w:rPr>
          <w:b w:val="0"/>
          <w:i w:val="0"/>
          <w:u w:val="none"/>
        </w:rPr>
        <w:t>I. INTRODUCTION</w:t>
      </w:r>
    </w:p>
    <w:p>
      <w:pPr>
        <w:pStyle w:val="BodyText"/>
      </w:pPr>
      <w:r>
        <w:rPr>
          <w:b w:val="0"/>
          <w:i w:val="0"/>
          <w:u w:val="none"/>
        </w:rPr>
        <w:t xml:space="preserve">The Q-learning update rule uses the formula </w:t>
      </w:r>
      <m:oMath xmlns:mml="http://www.w3.org/1998/Math/MathML">
        <m:r>
          <m:t>Q(s,a)←Q(s,a)+α[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t>+γmaxQ−Q(s,a)]</m:t>
        </m:r>
      </m:oMath>
      <w:r>
        <w:rPr>
          <w:b w:val="0"/>
          <w:i w:val="0"/>
          <w:u w:val="none"/>
        </w:rPr>
        <w:t xml:space="preserve"> where </w:t>
      </w:r>
      <m:oMath xmlns:mml="http://www.w3.org/1998/Math/MathML">
        <m:r>
          <m:t>α</m:t>
        </m:r>
      </m:oMath>
      <w:r>
        <w:rPr>
          <w:b w:val="0"/>
          <w:i w:val="0"/>
          <w:u w:val="none"/>
        </w:rPr>
        <w:t xml:space="preserve"> is the learning rate and </w:t>
      </w:r>
      <m:oMath xmlns:mml="http://www.w3.org/1998/Math/MathML">
        <m:r>
          <m:t>γ</m:t>
        </m:r>
      </m:oMath>
      <w:r>
        <w:rPr>
          <w:b w:val="0"/>
          <w:i w:val="0"/>
          <w:u w:val="none"/>
        </w:rPr>
        <w:t xml:space="preserve"> is the discount factor.</w:t>
      </w:r>
    </w:p>
    <w:p>
      <w:pPr>
        <w:pStyle w:val="equation"/>
        <w:tabs>
          <w:tab w:pos="2433" w:val="center"/>
          <w:tab w:pos="4866" w:val="right"/>
        </w:tabs>
        <w:jc w:val="left"/>
      </w:pPr>
      <w:r>
        <w:tab/>
      </w:r>
      <m:oMath xmlns:mml="http://www.w3.org/1998/Math/MathML">
        <m:r>
          <m:t>Q(s,a)←Q(s,a)+α[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t>+γmaxQ−Q(s,a)]</m:t>
        </m:r>
      </m:oMath>
      <w:r>
        <w:tab/>
        <w:t>(1)</w:t>
      </w:r>
    </w:p>
    <w:p>
      <w:pPr>
        <w:pStyle w:val="BodyText"/>
      </w:pPr>
      <w:r>
        <w:rPr>
          <w:b w:val="0"/>
          <w:i w:val="0"/>
          <w:u w:val="none"/>
        </w:rPr>
        <w:t xml:space="preserve">The reward signal </w:t>
      </w:r>
      <m:oMath xmlns:mml="http://www.w3.org/1998/Math/MathML"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b w:val="0"/>
          <w:i w:val="0"/>
          <w:u w:val="none"/>
        </w:rPr>
        <w:t xml:space="preserve"> is received at each time step.</w:t>
      </w:r>
    </w:p>
    <w:p>
      <w:pPr>
        <w:pStyle w:val="Heading2"/>
      </w:pPr>
      <w:r>
        <w:rPr>
          <w:i/>
        </w:rPr>
        <w:t>A. Q-Learning Basics</w:t>
      </w:r>
    </w:p>
    <w:p>
      <w:pPr>
        <w:pStyle w:val="BodyText"/>
      </w:pPr>
      <w:r>
        <w:rPr>
          <w:b w:val="0"/>
          <w:i w:val="0"/>
          <w:u w:val="none"/>
        </w:rPr>
        <w:t>In reinforcement learning, the agent learns a policy.</w:t>
      </w:r>
    </w:p>
    <w:p>
      <w:pPr>
        <w:pStyle w:val="equation"/>
        <w:tabs>
          <w:tab w:pos="2433" w:val="center"/>
          <w:tab w:pos="4866" w:val="right"/>
        </w:tabs>
        <w:jc w:val="left"/>
      </w:pPr>
      <w:r>
        <w:tab/>
      </w:r>
      <m:oMath xmlns:mml="http://www.w3.org/1998/Math/MathML">
        <m:sSup>
          <m:e>
            <m:r>
              <m:t>π</m:t>
            </m:r>
          </m:e>
          <m:sup>
            <m:r>
              <m:t>*</m:t>
            </m:r>
          </m:sup>
        </m:sSup>
        <m:r>
          <m:t>(a|s)=</m:t>
        </m:r>
        <m:r>
          <m:rPr>
            <m:sty m:val="p"/>
          </m:rPr>
          <m:t>\arg</m:t>
        </m:r>
        <m:sSub>
          <m:e>
            <m:r>
              <m:t>max</m:t>
            </m:r>
          </m:e>
          <m:sub>
            <m:r>
              <m:t>a</m:t>
            </m:r>
          </m:sub>
        </m:sSub>
        <m:sSup>
          <m:e>
            <m:r>
              <m:t>Q</m:t>
            </m:r>
          </m:e>
          <m:sup>
            <m:r>
              <m:t>*</m:t>
            </m:r>
          </m:sup>
        </m:sSup>
        <m:r>
          <m:t>(s,a)</m:t>
        </m:r>
      </m:oMath>
      <w:r>
        <w:tab/>
        <w:t>(2)</w:t>
      </w:r>
    </w:p>
    <w:p>
      <w:pPr>
        <w:pStyle w:val="Heading1"/>
      </w:pPr>
      <w:r>
        <w:rPr>
          <w:b w:val="0"/>
          <w:i w:val="0"/>
          <w:u w:val="none"/>
        </w:rPr>
        <w:t>REFERENCES</w:t>
      </w:r>
    </w:p>
    <w:p>
      <w:pPr>
        <w:pStyle w:val="references"/>
        <w:ind w:start="354" w:hanging="354"/>
      </w:pPr>
      <w:r>
        <w:rPr>
          <w:b w:val="0"/>
          <w:i w:val="0"/>
          <w:u w:val="none"/>
        </w:rPr>
        <w:t>[1] Test reference.</w:t>
      </w:r>
    </w:p>
    <w:p>
      <w:pPr>
        <w:sectPr>
          <w:type w:val="continuous"/>
          <w:pgSz w:w="11906" w:h="16838"/>
          <w:pgMar w:top="1080" w:right="907" w:bottom="1440" w:left="907" w:header="720" w:footer="720" w:gutter="0"/>
          <w:cols w:num="2" w:space="360"/>
        </w:sectPr>
      </w:pPr>
    </w:p>
    <w:sectPr w:rsidR="00FC693F" w:rsidRPr="0006063C" w:rsidSect="00034616">
      <w:docGrid w:linePitch="360"/>
      <w:pgSz w:w="11906" w:h="16838"/>
      <w:pgMar w:top="1080" w:right="893" w:bottom="1440" w:left="893" w:header="720" w:footer="720" w:gutter="0"/>
      <w:cols w:space="720"/>
      <w:type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0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0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0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0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0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0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0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0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0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0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