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3B98" w14:textId="77777777" w:rsidR="00F30817" w:rsidRPr="00F30817" w:rsidRDefault="00F30817">
      <w:pPr>
        <w:pStyle w:val="TTPTitle"/>
        <w:rPr>
          <w:sz w:val="28"/>
          <w:szCs w:val="28"/>
        </w:rPr>
      </w:pPr>
      <w:r>
        <w:rPr>
          <w:sz w:val="28"/>
          <w:szCs w:val="28"/>
        </w:rPr>
        <w:t>Perancangan Sistem Kendali PID pada Lengan Robot Industri untuk Peningkatan Presisi Pengelasan Komponen Otomotif</w:t>
      </w:r>
    </w:p>
    <w:p w14:paraId="4A65FFCC" w14:textId="77777777" w:rsidR="00F30817" w:rsidRPr="00F30817" w:rsidRDefault="00F30817">
      <w:pPr>
        <w:pStyle w:val="TTPAuthors"/>
      </w:pPr>
      <w:r>
        <w:t>Annabil Hisyam</w:t>
      </w:r>
      <w:r>
        <w:rPr>
          <w:vertAlign w:val="superscript"/>
        </w:rPr>
        <w:t>1</w:t>
      </w:r>
      <w:r>
        <w:rPr>
          <w:vertAlign w:val="superscript"/>
        </w:rPr>
        <w:t>,</w:t>
      </w:r>
      <w:r>
        <w:rPr>
          <w:vertAlign w:val="superscript"/>
        </w:rPr>
        <w:t>a</w:t>
      </w:r>
    </w:p>
    <w:p w14:paraId="46131D2F" w14:textId="77777777" w:rsidR="00F30817" w:rsidRPr="00F30817" w:rsidRDefault="00F30817">
      <w:pPr>
        <w:pStyle w:val="TTPAddress"/>
      </w:pPr>
      <w:r>
        <w:rPr>
          <w:vertAlign w:val="superscript"/>
        </w:rPr>
        <w:t>1</w:t>
      </w:r>
      <w:r>
        <w:rPr>
          <w:vertAlign w:val="superscript"/>
        </w:rPr>
        <w:t>Universitas Diponegoro, Semarang, Indonesia</w:t>
      </w:r>
    </w:p>
    <w:p w14:paraId="66537960" w14:textId="77777777" w:rsidR="00F30817" w:rsidRPr="00F30817" w:rsidRDefault="00F30817">
      <w:pPr>
        <w:pStyle w:val="TTPAddress"/>
      </w:pPr>
    </w:p>
    <w:p w14:paraId="2B6447E5" w14:textId="77777777" w:rsidR="00F30817" w:rsidRPr="00F30817" w:rsidRDefault="00F30817">
      <w:pPr>
        <w:pStyle w:val="TTPAddress"/>
      </w:pPr>
    </w:p>
    <w:p w14:paraId="4126E4DF" w14:textId="77777777" w:rsidR="00F30817" w:rsidRDefault="00F30817" w:rsidP="00632857">
      <w:pPr>
        <w:pStyle w:val="TTPAddress"/>
      </w:pPr>
      <w:r>
        <w:rPr>
          <w:vertAlign w:val="superscript"/>
        </w:rPr>
        <w:t>a annabilhisyammuyassa@students.undip.ac.id (corresponding author)</w:t>
      </w:r>
    </w:p>
    <w:p w14:paraId="0C272032" w14:textId="77777777" w:rsidR="0061035A" w:rsidRDefault="0061035A" w:rsidP="0061035A">
      <w:pPr>
        <w:pStyle w:val="TTPSectionHeading"/>
        <w:spacing w:after="0"/>
        <w:rPr>
          <w:rStyle w:val="tlid-translation"/>
          <w:b w:val="0"/>
          <w:lang w:val="id-ID"/>
        </w:rPr>
      </w:pPr>
      <w:r>
        <w:rPr>
          <w:rStyle w:val="tlid-translation"/>
        </w:rPr>
        <w:t>Abstrak</w:t>
      </w:r>
      <w:r>
        <w:rPr>
          <w:rStyle w:val="tlid-translation"/>
        </w:rPr>
        <w:t xml:space="preserve">. </w:t>
      </w:r>
      <w:r>
        <w:rPr>
          <w:rStyle w:val="tlid-translation"/>
          <w:b w:val="0"/>
          <w:i/>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m:t>
            </m:r>
          </m:sub>
        </m:sSub>
      </m:oMath>
      <w:r>
        <w:rPr>
          <w:rStyle w:val="tlid-translation"/>
          <w:b w:val="0"/>
          <w:i/>
        </w:rPr>
        <w:t xml:space="preserve"> mm dan waktu naik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2</m:t>
            </m:r>
          </m:sub>
        </m:sSub>
      </m:oMath>
      <w:r>
        <w:rPr>
          <w:rStyle w:val="tlid-translation"/>
          <w:b w:val="0"/>
          <w:i/>
        </w:rPr>
        <w:t xml:space="preserve"> detik. dengan overshoot maksimum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3</m:t>
            </m:r>
          </m:sub>
        </m:sSub>
      </m:oMath>
      <w:r>
        <w:rPr>
          <w:rStyle w:val="tlid-translation"/>
          <w:b w:val="0"/>
          <w:i/>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4</m:t>
            </m:r>
          </m:sub>
        </m:sSub>
      </m:oMath>
      <w:r>
        <w:rPr>
          <w:rStyle w:val="tlid-translation"/>
          <w:b w:val="0"/>
          <w:i/>
        </w:rPr>
        <w:t xml:space="preserve"> persen dan penurunan overshoot sebesar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5</m:t>
            </m:r>
          </m:sub>
        </m:sSub>
      </m:oMath>
      <w:r>
        <w:rPr>
          <w:rStyle w:val="tlid-translation"/>
          <w:b w:val="0"/>
          <w:i/>
        </w:rPr>
        <w:t xml:space="preserve"> persen. Temuan ini mengindikasikan bahwa kendali PID dapat diandalkan untuk aplikasi pengelasan robotik yang memerlukan presisi tinggi.</w:t>
      </w:r>
    </w:p>
    <w:p w14:paraId="540AE831" w14:textId="77777777" w:rsidR="0061035A" w:rsidRPr="0061035A" w:rsidRDefault="0061035A" w:rsidP="0061035A">
      <w:pPr>
        <w:pStyle w:val="TTPSectionHeading"/>
        <w:spacing w:before="0"/>
        <w:rPr>
          <w:b w:val="0"/>
          <w:lang w:val="id-ID"/>
        </w:rPr>
      </w:pPr>
    </w:p>
    <w:p w14:paraId="417A8B53" w14:textId="77777777" w:rsidR="0061035A" w:rsidRDefault="0061035A" w:rsidP="0061035A">
      <w:pPr>
        <w:pStyle w:val="TTPAbstract"/>
      </w:pPr>
      <w:r>
        <w:rPr>
          <w:b/>
          <w:bCs/>
        </w:rPr>
        <w:t>Abstract.</w:t>
      </w:r>
      <w:r w:rsidRPr="00F30817">
        <w:t xml:space="preserve"> </w:t>
      </w:r>
      <w:r>
        <w:t>English abstract is not provided in the source JSON. Replace this placeholder with the final English abstract.</w:t>
      </w:r>
    </w:p>
    <w:p w14:paraId="153FBBBB" w14:textId="77777777" w:rsidR="0061035A" w:rsidRPr="0061035A" w:rsidRDefault="0061035A" w:rsidP="0061035A">
      <w:pPr>
        <w:pStyle w:val="TTPKeywords"/>
        <w:spacing w:before="0"/>
        <w:rPr>
          <w:rFonts w:ascii="Times New Roman" w:hAnsi="Times New Roman" w:cs="Times New Roman"/>
          <w:b/>
          <w:bCs/>
          <w:lang w:val="id-ID"/>
        </w:rPr>
      </w:pPr>
    </w:p>
    <w:p w14:paraId="4911C0D6" w14:textId="77777777" w:rsidR="00F30817" w:rsidRPr="0061035A" w:rsidRDefault="00F30817">
      <w:pPr>
        <w:pStyle w:val="TTPKeywords"/>
        <w:rPr>
          <w:rFonts w:ascii="Times New Roman" w:hAnsi="Times New Roman" w:cs="Times New Roman"/>
          <w:b/>
          <w:bCs/>
          <w:i/>
          <w:iCs/>
        </w:rPr>
      </w:pPr>
      <w:r>
        <w:rPr>
          <w:rFonts w:ascii="Times New Roman" w:hAnsi="Times New Roman" w:cs="Times New Roman"/>
          <w:b/>
          <w:bCs/>
        </w:rPr>
        <w:t>Keywords:</w:t>
      </w:r>
      <w:r>
        <w:rPr>
          <w:rFonts w:ascii="Times New Roman" w:hAnsi="Times New Roman" w:cs="Times New Roman"/>
        </w:rPr>
        <w:t xml:space="preserve"> </w:t>
      </w:r>
      <w:r>
        <w:rPr>
          <w:rFonts w:ascii="Times New Roman" w:hAnsi="Times New Roman" w:cs="Times New Roman"/>
        </w:rPr>
        <w:t>kendali PID; lengan robot; pengelasan otomotif; presisi; simulasi MATLAB; Ziegler-Nichols</w:t>
      </w:r>
    </w:p>
    <w:p>
      <w:pPr>
        <w:pStyle w:val="TTPSectionHeading"/>
      </w:pPr>
      <w:r>
        <w:t>Pendahuluan</w:t>
      </w:r>
    </w:p>
    <w:p>
      <w:pPr>
        <w:pStyle w:val="TTPParagraph1st"/>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TTPParagraphothers"/>
      </w:pPr>
      <w:r>
        <w:rPr>
          <w:b/>
          <w:bCs/>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TTPParagraphothers"/>
      </w:pPr>
      <w:r>
        <w:rPr>
          <w:b/>
          <w:bCs/>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TTPParagraphothers"/>
      </w:pPr>
      <w:r>
        <w:rPr>
          <w:b/>
          <w:bCs/>
        </w:rPr>
        <w:t>Kontribusi spesifik penelitian ini meliputi:</w:t>
      </w:r>
    </w:p>
    <w:p>
      <w:pPr>
        <w:pStyle w:val="TTPParagraphothers"/>
      </w:pPr>
      <w:r>
        <w:rPr>
          <w:b/>
          <w:bCs/>
        </w:rPr>
        <w:t>• Perancangan model kinematik lengan robot enam derajat kebebasan untuk lintasan pengelasan komponen otomotif.</w:t>
      </w:r>
    </w:p>
    <w:p>
      <w:pPr>
        <w:pStyle w:val="TTPParagraphothers"/>
      </w:pPr>
      <w:r>
        <w:rPr>
          <w:b/>
          <w:bCs/>
        </w:rPr>
        <w:t>• Penentuan parameter PID optimal menggunakan metode Ziegler-Nichols kedua yang disesuaikan dengan respons loop tertutup.</w:t>
      </w:r>
    </w:p>
    <w:p>
      <w:pPr>
        <w:pStyle w:val="TTPParagraphothers"/>
      </w:pPr>
      <w:r>
        <w:rPr>
          <w:b/>
          <w:bCs/>
        </w:rPr>
        <w:t>• Analisis komparatif kinerja kendali PID terhadap kendali proporsional murni dan kendali on-off pada indikator overshoot, waktu naik, waktu penetapan, dan kesalahan keadaan tunak.</w:t>
      </w:r>
    </w:p>
    <w:p>
      <w:pPr>
        <w:pStyle w:val="TTPParagraphothers"/>
      </w:pPr>
      <w:r>
        <w:rPr>
          <w:b/>
          <w:bCs/>
        </w:rPr>
        <w:t>• Rekomendasi parameter awal untuk implementasi nyata pada pengontrol lengan robot berbasis mikrokontroler atau PLC.</w:t>
      </w:r>
    </w:p>
    <w:p>
      <w:pPr>
        <w:pStyle w:val="TTPParagraphothers"/>
      </w:pPr>
      <w:r>
        <w:rPr>
          <w:b/>
          <w:bCs/>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TTPSectionHeading"/>
      </w:pPr>
      <w:r>
        <w:t>Tinjauan Pustaka</w:t>
      </w:r>
    </w:p>
    <w:p>
      <w:pPr>
        <w:pStyle w:val="TTPParagraph1st"/>
      </w:pPr>
      <w:r>
        <w:t>Tinjauan pustaka ini mengkaji studi-studi terkait kendali posisi lengan robot serta kerangka teoritis yang mendasari perancangan sistem kendali PID untuk pengelasan.</w:t>
      </w:r>
    </w:p>
    <w:p>
      <w:pPr>
        <w:pStyle w:val="TTPParagraph1st"/>
      </w:pPr>
      <w:r>
        <w:rPr>
          <w:b/>
          <w:bCs/>
        </w:rPr>
        <w:t>Tinjauan Penelitian Terdahulu.</w:t>
      </w:r>
      <w:r>
        <w:t xml:space="preserve"> </w:t>
      </w: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1</m:t>
            </m:r>
          </m:sub>
        </m:sSub>
      </m:oMath>
      <w:r>
        <w:t xml:space="preserve"> mm dibandingkan PID tetap, namun, metode ini memerlukan pembaruan parameter secara online yang membebani prosesor.</w:t>
      </w:r>
    </w:p>
    <w:p>
      <w:pPr>
        <w:pStyle w:val="TTPParagraphothers"/>
      </w:pPr>
      <w:r>
        <w:rPr>
          <w:b/>
          <w:bCs/>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2</m:t>
            </m:r>
          </m:sub>
        </m:sSub>
      </m:oMath>
      <w:r>
        <w:rPr>
          <w:b/>
          <w:bCs/>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TTPParagraphothers"/>
      </w:pPr>
      <w:r>
        <w:rPr>
          <w:b/>
          <w:bCs/>
        </w:rPr>
        <w:t xml:space="preserve">Dalam domain pengelasan robotik, Gonzalez et al. [9] merancang kendali solid </w:t>
      </w:r>
      <m:oMath xmlns:mml="http://www.w3.org/1998/Math/MathML">
        <m:sSub>
          <m:e>
            <m:r>
              <w:rPr>
                <w:rFonts w:ascii="Cambria Math" w:hAnsi="Cambria Math" w:eastAsia="Cambria Math" w:cs="Cambria Math"/>
                <w:sz w:val="24"/>
                <w:szCs w:val="24"/>
              </w:rPr>
              <m:t>H</m:t>
            </m:r>
          </m:e>
          <m:sub>
            <m:r>
              <w:rPr>
                <w:rFonts w:ascii="Cambria Math" w:hAnsi="Cambria Math" w:eastAsia="Cambria Math" w:cs="Cambria Math"/>
                <w:sz w:val="24"/>
                <w:szCs w:val="24"/>
              </w:rPr>
              <m:t>∞</m:t>
            </m:r>
          </m:sub>
        </m:sSub>
      </m:oMath>
      <w:r>
        <w:rPr>
          <w:b/>
          <w:bCs/>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3</m:t>
            </m:r>
          </m:sub>
        </m:sSub>
      </m:oMath>
      <w:r>
        <w:rPr>
          <w:b/>
          <w:bCs/>
        </w:rPr>
        <w:t xml:space="preserve"> detik.</w:t>
      </w:r>
    </w:p>
    <w:p>
      <w:pPr>
        <w:pStyle w:val="TTPParagraphothers"/>
      </w:pPr>
      <w:r>
        <w:rPr>
          <w:b/>
          <w:bCs/>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TTPParagraphothers"/>
      </w:pPr>
      <w:r>
        <w:rPr>
          <w:b/>
          <w:bCs/>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TTPParagraph1st"/>
      </w:pPr>
      <w:r>
        <w:rPr>
          <w:b/>
          <w:bCs/>
        </w:rPr>
        <w:t>Kerangka Teoritis.</w:t>
      </w:r>
      <w:r>
        <w:t xml:space="preserve"> </w:t>
      </w:r>
      <w:r>
        <w:t>Sistem kendali PID terdiri dari tiga komponen: aksi proporsional (P), integral (I), dan derivatif (D). Persamaan kendali PID kontinu dinyatakan oleh</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u(t)=</m:t>
        </m:r>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r>
          <w:rPr>
            <w:rFonts w:ascii="Cambria Math" w:hAnsi="Cambria Math" w:eastAsia="Cambria Math" w:cs="Cambria Math"/>
            <w:sz w:val="24"/>
            <w:szCs w:val="24"/>
          </w:rPr>
          <m:t>e(t)+</m:t>
        </m:r>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nary>
          <m:naryPr>
            <m:chr m:val="∫"/>
            <m:limLoc m:val="subSup"/>
            <m:grow m:val="1"/>
            <m:subHide m:val="off"/>
            <m:supHide m:val="off"/>
          </m:naryPr>
          <m:sub>
            <m:r>
              <w:rPr>
                <w:rFonts w:ascii="Cambria Math" w:hAnsi="Cambria Math" w:eastAsia="Cambria Math" w:cs="Cambria Math"/>
                <w:sz w:val="24"/>
                <w:szCs w:val="24"/>
              </w:rPr>
              <m:t>0</m:t>
            </m:r>
          </m:sub>
          <m:sup>
            <m:r>
              <w:rPr>
                <w:rFonts w:ascii="Cambria Math" w:hAnsi="Cambria Math" w:eastAsia="Cambria Math" w:cs="Cambria Math"/>
                <w:sz w:val="24"/>
                <w:szCs w:val="24"/>
              </w:rPr>
              <m:t>t</m:t>
            </m:r>
          </m:sup>
          <m:e/>
        </m:nary>
        <m:r>
          <w:rPr>
            <w:rFonts w:ascii="Cambria Math" w:hAnsi="Cambria Math" w:eastAsia="Cambria Math" w:cs="Cambria Math"/>
            <w:sz w:val="24"/>
            <w:szCs w:val="24"/>
          </w:rPr>
          <m:t>e(τ)dτ+</m:t>
        </m:r>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f>
          <m:fPr>
            <m:type m:val="bar"/>
          </m:fPr>
          <m:num>
            <m:r>
              <w:rPr>
                <w:rFonts w:ascii="Cambria Math" w:hAnsi="Cambria Math" w:eastAsia="Cambria Math" w:cs="Cambria Math"/>
                <w:sz w:val="24"/>
                <w:szCs w:val="24"/>
              </w:rPr>
              <m:t>de(t)</m:t>
            </m:r>
          </m:num>
          <m:den>
            <m:r>
              <w:rPr>
                <w:rFonts w:ascii="Cambria Math" w:hAnsi="Cambria Math" w:eastAsia="Cambria Math" w:cs="Cambria Math"/>
                <w:sz w:val="24"/>
                <w:szCs w:val="24"/>
              </w:rPr>
              <m:t>dt</m:t>
            </m:r>
          </m:den>
        </m:f>
      </m:oMath>
      <w:r>
        <w:rPr>
          <w:lang w:val="en-US"/>
        </w:rPr>
        <w:t xml:space="preserve"> </w:t>
      </w:r>
      <w:r>
        <w:tab/>
      </w:r>
      <w:r>
        <w:rPr>
          <w:lang w:val="en-US"/>
        </w:rPr>
        <w:t>(1)</w:t>
      </w:r>
    </w:p>
    <w:p>
      <w:pPr>
        <w:pStyle w:val="TTPParagraphothers"/>
      </w:pPr>
      <w:r>
        <w:rPr>
          <w:b/>
          <w:bCs/>
        </w:rPr>
        <w:t xml:space="preserve">dengan </w:t>
      </w:r>
      <m:oMath xmlns:mml="http://www.w3.org/1998/Math/MathML">
        <m:r>
          <w:rPr>
            <w:rFonts w:ascii="Cambria Math" w:hAnsi="Cambria Math" w:eastAsia="Cambria Math" w:cs="Cambria Math"/>
            <w:sz w:val="24"/>
            <w:szCs w:val="24"/>
          </w:rPr>
          <m:t>u(t)</m:t>
        </m:r>
      </m:oMath>
      <w:r>
        <w:rPr>
          <w:b/>
          <w:bCs/>
        </w:rPr>
        <w:t xml:space="preserve"> adalah sinyal kontrol, </w:t>
      </w:r>
      <m:oMath xmlns:mml="http://www.w3.org/1998/Math/MathML">
        <m:r>
          <w:rPr>
            <w:rFonts w:ascii="Cambria Math" w:hAnsi="Cambria Math" w:eastAsia="Cambria Math" w:cs="Cambria Math"/>
            <w:sz w:val="24"/>
            <w:szCs w:val="24"/>
          </w:rPr>
          <m:t>e(t)</m:t>
        </m:r>
      </m:oMath>
      <w:r>
        <w:rPr>
          <w:b/>
          <w:bCs/>
        </w:rPr>
        <w:t xml:space="preserve"> adalah error posisi (selisih antara posisi referensi dan aktual),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adalah gain proporsional,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oMath>
      <w:r>
        <w:rPr>
          <w:b/>
          <w:bCs/>
        </w:rPr>
        <w:t xml:space="preserve"> adalah gain integral,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oMath>
      <w:r>
        <w:rPr>
          <w:b/>
          <w:bCs/>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TTPParagraphothers"/>
      </w:pPr>
      <w:r>
        <w:rPr>
          <w:b/>
          <w:bCs/>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4"/>
                <w:szCs w:val="24"/>
              </w:rPr>
              <m:t>T</m:t>
            </m:r>
          </m:e>
          <m:sub>
            <m:r>
              <w:rPr>
                <w:rFonts w:ascii="Cambria Math" w:hAnsi="Cambria Math" w:eastAsia="Cambria Math" w:cs="Cambria Math"/>
                <w:sz w:val="24"/>
                <w:szCs w:val="24"/>
              </w:rPr>
              <m:t>i</m:t>
            </m:r>
          </m:sub>
          <m:sup>
            <m:r>
              <w:rPr>
                <w:rFonts w:ascii="Cambria Math" w:hAnsi="Cambria Math" w:eastAsia="Cambria Math" w:cs="Cambria Math"/>
                <w:sz w:val="24"/>
                <w:szCs w:val="24"/>
              </w:rPr>
              <m:t>i−1</m:t>
            </m:r>
          </m:sup>
        </m:sSubSup>
      </m:oMath>
      <w:r>
        <w:rPr>
          <w:b/>
          <w:bCs/>
        </w:rPr>
        <w:t xml:space="preserve"> untuk sendi ke-</w:t>
      </w:r>
      <m:oMath xmlns:mml="http://www.w3.org/1998/Math/MathML">
        <m:r>
          <w:rPr>
            <w:rFonts w:ascii="Cambria Math" w:hAnsi="Cambria Math" w:eastAsia="Cambria Math" w:cs="Cambria Math"/>
            <w:sz w:val="24"/>
            <w:szCs w:val="24"/>
          </w:rPr>
          <m:t>i</m:t>
        </m:r>
      </m:oMath>
      <w:r>
        <w:rPr>
          <w:b/>
          <w:bCs/>
        </w:rPr>
        <w:t xml:space="preserve"> didefinisikan oleh parameter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oMath>
      <w:r>
        <w:rPr>
          <w:b/>
          <w:bCs/>
        </w:rPr>
        <w:t xml:space="preserve">, </w:t>
      </w: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t>i</m:t>
            </m:r>
          </m:sub>
        </m:sSub>
      </m:oMath>
      <w:r>
        <w:rPr>
          <w:b/>
          <w:bCs/>
        </w:rPr>
        <w:t xml:space="preserve">,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i</m:t>
            </m:r>
          </m:sub>
        </m:sSub>
      </m:oMath>
      <w:r>
        <w:rPr>
          <w:b/>
          <w:bCs/>
        </w:rPr>
        <w:t xml:space="preserve">, dan </w:t>
      </w:r>
      <m:oMath xmlns:mml="http://www.w3.org/1998/Math/MathML">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oMath>
      <w:r>
        <w:rPr>
          <w:b/>
          <w:bCs/>
        </w:rPr>
        <w:t xml:space="preserve">. Rantai kinematik total diperoleh dengan perkalian matriks: </w:t>
      </w:r>
      <m:oMath xmlns:mml="http://www.w3.org/1998/Math/MathML">
        <m:sSubSup>
          <m:e>
            <m:r>
              <w:rPr>
                <w:rFonts w:ascii="Cambria Math" w:hAnsi="Cambria Math" w:eastAsia="Cambria Math" w:cs="Cambria Math"/>
                <w:sz w:val="24"/>
                <w:szCs w:val="24"/>
              </w:rPr>
              <m:t>T</m:t>
            </m:r>
          </m:e>
          <m:sub>
            <m:r>
              <w:rPr>
                <w:rFonts w:ascii="Cambria Math" w:hAnsi="Cambria Math" w:eastAsia="Cambria Math" w:cs="Cambria Math"/>
                <w:sz w:val="24"/>
                <w:szCs w:val="24"/>
              </w:rPr>
              <m:t>6</m:t>
            </m:r>
          </m:sub>
          <m:sup>
            <m:r>
              <w:rPr>
                <w:rFonts w:ascii="Cambria Math" w:hAnsi="Cambria Math" w:eastAsia="Cambria Math" w:cs="Cambria Math"/>
                <w:sz w:val="24"/>
                <w:szCs w:val="24"/>
              </w:rPr>
              <m:t>0</m:t>
            </m:r>
          </m:sup>
        </m:sSubSup>
        <m:r>
          <w:rPr>
            <w:rFonts w:ascii="Cambria Math" w:hAnsi="Cambria Math" w:eastAsia="Cambria Math" w:cs="Cambria Math"/>
            <w:sz w:val="24"/>
            <w:szCs w:val="24"/>
          </w:rPr>
          <m:t>=</m:t>
        </m:r>
        <m:sSubSup>
          <m:e>
            <m:r>
              <w:rPr>
                <w:rFonts w:ascii="Cambria Math" w:hAnsi="Cambria Math" w:eastAsia="Cambria Math" w:cs="Cambria Math"/>
                <w:sz w:val="24"/>
                <w:szCs w:val="24"/>
              </w:rPr>
              <m:t>T</m:t>
            </m:r>
          </m:e>
          <m:sub>
            <m:r>
              <w:rPr>
                <w:rFonts w:ascii="Cambria Math" w:hAnsi="Cambria Math" w:eastAsia="Cambria Math" w:cs="Cambria Math"/>
                <w:sz w:val="24"/>
                <w:szCs w:val="24"/>
              </w:rPr>
              <m:t>1</m:t>
            </m:r>
          </m:sub>
          <m:sup>
            <m:r>
              <w:rPr>
                <w:rFonts w:ascii="Cambria Math" w:hAnsi="Cambria Math" w:eastAsia="Cambria Math" w:cs="Cambria Math"/>
                <w:sz w:val="24"/>
                <w:szCs w:val="24"/>
              </w:rPr>
              <m:t>0</m:t>
            </m:r>
          </m:sup>
        </m:sSubSup>
        <m:sSubSup>
          <m:e>
            <m:r>
              <w:rPr>
                <w:rFonts w:ascii="Cambria Math" w:hAnsi="Cambria Math" w:eastAsia="Cambria Math" w:cs="Cambria Math"/>
                <w:sz w:val="24"/>
                <w:szCs w:val="24"/>
              </w:rPr>
              <m:t>T</m:t>
            </m:r>
          </m:e>
          <m:sub>
            <m:r>
              <w:rPr>
                <w:rFonts w:ascii="Cambria Math" w:hAnsi="Cambria Math" w:eastAsia="Cambria Math" w:cs="Cambria Math"/>
                <w:sz w:val="24"/>
                <w:szCs w:val="24"/>
              </w:rPr>
              <m:t>2</m:t>
            </m:r>
          </m:sub>
          <m:sup>
            <m:r>
              <w:rPr>
                <w:rFonts w:ascii="Cambria Math" w:hAnsi="Cambria Math" w:eastAsia="Cambria Math" w:cs="Cambria Math"/>
                <w:sz w:val="24"/>
                <w:szCs w:val="24"/>
              </w:rPr>
              <m:t>1</m:t>
            </m:r>
          </m:sup>
        </m:sSubSup>
        <m:r>
          <w:rPr>
            <w:rFonts w:ascii="Cambria Math" w:hAnsi="Cambria Math" w:eastAsia="Cambria Math" w:cs="Cambria Math"/>
            <w:sz w:val="24"/>
            <w:szCs w:val="24"/>
          </w:rPr>
          <m:t>…</m:t>
        </m:r>
        <m:sSubSup>
          <m:e>
            <m:r>
              <w:rPr>
                <w:rFonts w:ascii="Cambria Math" w:hAnsi="Cambria Math" w:eastAsia="Cambria Math" w:cs="Cambria Math"/>
                <w:sz w:val="24"/>
                <w:szCs w:val="24"/>
              </w:rPr>
              <m:t>T</m:t>
            </m:r>
          </m:e>
          <m:sub>
            <m:r>
              <w:rPr>
                <w:rFonts w:ascii="Cambria Math" w:hAnsi="Cambria Math" w:eastAsia="Cambria Math" w:cs="Cambria Math"/>
                <w:sz w:val="24"/>
                <w:szCs w:val="24"/>
              </w:rPr>
              <m:t>6</m:t>
            </m:r>
          </m:sub>
          <m:sup>
            <m:r>
              <w:rPr>
                <w:rFonts w:ascii="Cambria Math" w:hAnsi="Cambria Math" w:eastAsia="Cambria Math" w:cs="Cambria Math"/>
                <w:sz w:val="24"/>
                <w:szCs w:val="24"/>
              </w:rPr>
              <m:t>5</m:t>
            </m:r>
          </m:sup>
        </m:sSubSup>
      </m:oMath>
      <w:r>
        <w:rPr>
          <w:b/>
          <w:bCs/>
        </w:rPr>
        <w:t>.</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i</m:t>
            </m:r>
          </m:sub>
        </m:sSub>
        <m:r>
          <w:rPr>
            <w:rFonts w:ascii="Cambria Math" w:hAnsi="Cambria Math" w:eastAsia="Cambria Math" w:cs="Cambria Math"/>
            <w:sz w:val="24"/>
            <w:szCs w:val="24"/>
          </w:rPr>
          <m:t>i−1=[</m:t>
        </m:r>
        <m:m>
          <m:mPr>
            <m:baseJc m:val="center"/>
            <m:plcHide m:val="on"/>
            <m:mcs>
              <m:mc>
                <m:mcPr>
                  <m:count m:val="4"/>
                  <m:mcJc m:val="center"/>
                </m:mcPr>
              </m:mc>
            </m:mcs>
          </m:mPr>
          <m:mr>
            <m:e>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e>
            <m:e>
              <m:r>
                <w:rPr>
                  <w:rFonts w:ascii="Cambria Math" w:hAnsi="Cambria Math" w:eastAsia="Cambria Math" w:cs="Cambria Math"/>
                  <w:sz w:val="24"/>
                  <w:szCs w:val="24"/>
                </w:rPr>
                <m:t>−</m:t>
              </m:r>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sSub>
                <m:e>
                  <m:r>
                    <w:rPr>
                      <w:rFonts w:ascii="Cambria Math" w:hAnsi="Cambria Math" w:eastAsia="Cambria Math" w:cs="Cambria Math"/>
                      <w:sz w:val="24"/>
                      <w:szCs w:val="24"/>
                    </w:rPr>
                    <m:t>a</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e>
          </m:mr>
          <m:mr>
            <m:e>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e>
            <m:e>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r>
                <w:rPr>
                  <w:rFonts w:ascii="Cambria Math" w:hAnsi="Cambria Math" w:eastAsia="Cambria Math" w:cs="Cambria Math"/>
                  <w:sz w:val="24"/>
                  <w:szCs w:val="24"/>
                </w:rPr>
                <m:t>−</m:t>
              </m:r>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sSub>
                <m:e>
                  <m:r>
                    <w:rPr>
                      <w:rFonts w:ascii="Cambria Math" w:hAnsi="Cambria Math" w:eastAsia="Cambria Math" w:cs="Cambria Math"/>
                      <w:sz w:val="24"/>
                      <w:szCs w:val="24"/>
                    </w:rPr>
                    <m:t>a</m:t>
                  </m:r>
                </m:e>
                <m:sub>
                  <m:r>
                    <w:rPr>
                      <w:rFonts w:ascii="Cambria Math" w:hAnsi="Cambria Math" w:eastAsia="Cambria Math" w:cs="Cambria Math"/>
                      <w:sz w:val="24"/>
                      <w:szCs w:val="24"/>
                    </w:rPr>
                    <m:t>i</m:t>
                  </m:r>
                </m:sub>
              </m:sSub>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e>
          </m:mr>
          <m:mr>
            <m:e>
              <m:r>
                <w:rPr>
                  <w:rFonts w:ascii="Cambria Math" w:hAnsi="Cambria Math" w:eastAsia="Cambria Math" w:cs="Cambria Math"/>
                  <w:sz w:val="24"/>
                  <w:szCs w:val="24"/>
                </w:rPr>
                <m:t>0</m:t>
              </m:r>
            </m:e>
            <m:e>
              <m:r>
                <w:rPr>
                  <w:rFonts w:ascii="Cambria Math" w:hAnsi="Cambria Math" w:eastAsia="Cambria Math" w:cs="Cambria Math"/>
                  <w:sz w:val="24"/>
                  <w:szCs w:val="24"/>
                </w:rPr>
                <m:rPr>
                  <m:sty m:val="p"/>
                </m:rPr>
                <m:t>sin</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r>
                <w:rPr>
                  <w:rFonts w:ascii="Cambria Math" w:hAnsi="Cambria Math" w:eastAsia="Cambria Math" w:cs="Cambria Math"/>
                  <w:sz w:val="24"/>
                  <w:szCs w:val="24"/>
                </w:rPr>
                <m:rPr>
                  <m:sty m:val="p"/>
                </m:rPr>
                <m:t>cos</m:t>
              </m:r>
              <m:sSub>
                <m:e>
                  <m:r>
                    <w:rPr>
                      <w:rFonts w:ascii="Cambria Math" w:hAnsi="Cambria Math" w:eastAsia="Cambria Math" w:cs="Cambria Math"/>
                      <w:sz w:val="24"/>
                      <w:szCs w:val="24"/>
                    </w:rPr>
                    <m:t>α</m:t>
                  </m:r>
                </m:e>
                <m:sub>
                  <m:r>
                    <w:rPr>
                      <w:rFonts w:ascii="Cambria Math" w:hAnsi="Cambria Math" w:eastAsia="Cambria Math" w:cs="Cambria Math"/>
                      <w:sz w:val="24"/>
                      <w:szCs w:val="24"/>
                    </w:rPr>
                    <m:t>i</m:t>
                  </m:r>
                </m:sub>
              </m:sSub>
            </m:e>
            <m:e>
              <m:sSub>
                <m:e>
                  <m:r>
                    <w:rPr>
                      <w:rFonts w:ascii="Cambria Math" w:hAnsi="Cambria Math" w:eastAsia="Cambria Math" w:cs="Cambria Math"/>
                      <w:sz w:val="24"/>
                      <w:szCs w:val="24"/>
                    </w:rPr>
                    <m:t>d</m:t>
                  </m:r>
                </m:e>
                <m:sub>
                  <m:r>
                    <w:rPr>
                      <w:rFonts w:ascii="Cambria Math" w:hAnsi="Cambria Math" w:eastAsia="Cambria Math" w:cs="Cambria Math"/>
                      <w:sz w:val="24"/>
                      <w:szCs w:val="24"/>
                    </w:rPr>
                    <m:t>i</m:t>
                  </m:r>
                </m:sub>
              </m:sSub>
            </m:e>
          </m:mr>
          <m:mr>
            <m:e>
              <m:r>
                <w:rPr>
                  <w:rFonts w:ascii="Cambria Math" w:hAnsi="Cambria Math" w:eastAsia="Cambria Math" w:cs="Cambria Math"/>
                  <w:sz w:val="24"/>
                  <w:szCs w:val="24"/>
                </w:rPr>
                <m:t>0</m:t>
              </m:r>
            </m:e>
            <m:e>
              <m:r>
                <w:rPr>
                  <w:rFonts w:ascii="Cambria Math" w:hAnsi="Cambria Math" w:eastAsia="Cambria Math" w:cs="Cambria Math"/>
                  <w:sz w:val="24"/>
                  <w:szCs w:val="24"/>
                </w:rPr>
                <m:t>0</m:t>
              </m:r>
            </m:e>
            <m:e>
              <m:r>
                <w:rPr>
                  <w:rFonts w:ascii="Cambria Math" w:hAnsi="Cambria Math" w:eastAsia="Cambria Math" w:cs="Cambria Math"/>
                  <w:sz w:val="24"/>
                  <w:szCs w:val="24"/>
                </w:rPr>
                <m:t>0</m:t>
              </m:r>
            </m:e>
            <m:e>
              <m:r>
                <w:rPr>
                  <w:rFonts w:ascii="Cambria Math" w:hAnsi="Cambria Math" w:eastAsia="Cambria Math" w:cs="Cambria Math"/>
                  <w:sz w:val="24"/>
                  <w:szCs w:val="24"/>
                </w:rPr>
                <m:t>1</m:t>
              </m:r>
            </m:e>
          </m:mr>
        </m:m>
        <m:r>
          <w:rPr>
            <w:rFonts w:ascii="Cambria Math" w:hAnsi="Cambria Math" w:eastAsia="Cambria Math" w:cs="Cambria Math"/>
            <w:sz w:val="24"/>
            <w:szCs w:val="24"/>
          </w:rPr>
          <m:t>]</m:t>
        </m:r>
      </m:oMath>
      <w:r>
        <w:rPr>
          <w:lang w:val="en-US"/>
        </w:rPr>
        <w:t xml:space="preserve"> </w:t>
      </w:r>
      <w:r>
        <w:tab/>
      </w:r>
      <w:r>
        <w:rPr>
          <w:lang w:val="en-US"/>
        </w:rPr>
        <w:t>(2)</w:t>
      </w:r>
    </w:p>
    <w:p>
      <w:pPr>
        <w:pStyle w:val="TTPParagraphothers"/>
      </w:pPr>
      <w:r>
        <w:rPr>
          <w:b/>
          <w:bCs/>
        </w:rPr>
        <w:t>Persamaan (2) di atas digunakan untuk menghitung posisi ujung lengan dalam kerangka koordinat basis. Untuk lintasan pengelasan, diperlukan perencanaan jalur dalam ruang kerja yang menghasilkan trayektori posisi dan orientasi yang halus.</w:t>
      </w:r>
    </w:p>
    <w:p>
      <w:pPr>
        <w:pStyle w:val="TTPParagraphothers"/>
      </w:pPr>
      <w:r>
        <w:rPr>
          <w:b/>
          <w:bCs/>
        </w:rPr>
        <w:t xml:space="preserve">Metode penalaan Ziegler-Nichols kedua (closed-loop) dilakukan dengan mengatur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r>
          <w:rPr>
            <w:rFonts w:ascii="Cambria Math" w:hAnsi="Cambria Math" w:eastAsia="Cambria Math" w:cs="Cambria Math"/>
            <w:sz w:val="24"/>
            <w:szCs w:val="24"/>
          </w:rPr>
          <m:t>=0</m:t>
        </m:r>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r>
          <w:rPr>
            <w:rFonts w:ascii="Cambria Math" w:hAnsi="Cambria Math" w:eastAsia="Cambria Math" w:cs="Cambria Math"/>
            <w:sz w:val="24"/>
            <w:szCs w:val="24"/>
          </w:rPr>
          <m:t>=0</m:t>
        </m:r>
      </m:oMath>
      <w:r>
        <w:rPr>
          <w:b/>
          <w:bCs/>
        </w:rPr>
        <w:t xml:space="preserve"> lalu meningkatkan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hingga sistem berosilasi pada batas kestabilan, menghasilkan gain ultimat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u</m:t>
            </m:r>
          </m:sub>
        </m:sSub>
      </m:oMath>
      <w:r>
        <w:rPr>
          <w:b/>
          <w:bCs/>
        </w:rPr>
        <w:t xml:space="preserve"> dan periode ultimat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u</m:t>
            </m:r>
          </m:sub>
        </m:sSub>
      </m:oMath>
      <w:r>
        <w:rPr>
          <w:b/>
          <w:bCs/>
        </w:rPr>
        <w:t>. Parameter PID kemudian ditentukan berdasarkan tabel Ziegler-Nichols klasik. Meskipun sederhana, metode ini memberikan parameter awal yang cukup baik untuk kebanyakan proses industri [12].</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1. Diagram blok sistem kendali posisi lengan robot dengan kendali PID</w:t>
      </w:r>
    </w:p>
    <w:p>
      <w:pPr>
        <w:pStyle w:val="TTPParagraphothers"/>
      </w:pPr>
      <w:r>
        <w:rPr>
          <w:b/>
          <w:bCs/>
        </w:rPr>
        <w:t xml:space="preserve">Gambar 1 memperlihatkan diagram blok sistem kendali posisi yang digunakan. Sinyal referensi </w:t>
      </w:r>
      <m:oMath xmlns:mml="http://www.w3.org/1998/Math/MathML">
        <m:r>
          <w:rPr>
            <w:rFonts w:ascii="Cambria Math" w:hAnsi="Cambria Math" w:eastAsia="Cambria Math" w:cs="Cambria Math"/>
            <w:sz w:val="24"/>
            <w:szCs w:val="24"/>
          </w:rPr>
          <m:t>r</m:t>
        </m:r>
      </m:oMath>
      <w:r>
        <w:rPr>
          <w:b/>
          <w:bCs/>
        </w:rPr>
        <w:t xml:space="preserve"> berupa posisi sudut sendi yang direncanakan dari lintasan pengelasan. Error </w:t>
      </w:r>
      <m:oMath xmlns:mml="http://www.w3.org/1998/Math/MathML">
        <m:r>
          <w:rPr>
            <w:rFonts w:ascii="Cambria Math" w:hAnsi="Cambria Math" w:eastAsia="Cambria Math" w:cs="Cambria Math"/>
            <w:sz w:val="24"/>
            <w:szCs w:val="24"/>
          </w:rPr>
          <m:t>e=r−y</m:t>
        </m:r>
      </m:oMath>
      <w:r>
        <w:rPr>
          <w:b/>
          <w:bCs/>
        </w:rPr>
        <w:t xml:space="preserve"> diumpankan ke pengontrol PID, yang menghasilkan sinyal kontrol </w:t>
      </w:r>
      <m:oMath xmlns:mml="http://www.w3.org/1998/Math/MathML">
        <m:r>
          <w:rPr>
            <w:rFonts w:ascii="Cambria Math" w:hAnsi="Cambria Math" w:eastAsia="Cambria Math" w:cs="Cambria Math"/>
            <w:sz w:val="24"/>
            <w:szCs w:val="24"/>
          </w:rPr>
          <m:t>u</m:t>
        </m:r>
      </m:oMath>
      <w:r>
        <w:rPr>
          <w:b/>
          <w:bCs/>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4"/>
            <w:szCs w:val="24"/>
          </w:rPr>
          <m:t>y</m:t>
        </m:r>
      </m:oMath>
      <w:r>
        <w:rPr>
          <w:b/>
          <w:bCs/>
        </w:rPr>
        <w:t>.</w:t>
      </w:r>
    </w:p>
    <w:p>
      <w:pPr>
        <w:pStyle w:val="TTPSectionHeading"/>
      </w:pPr>
      <w:r>
        <w:t>Metodologi</w:t>
      </w:r>
    </w:p>
    <w:p>
      <w:pPr>
        <w:pStyle w:val="TTPParagraph1st"/>
      </w:pPr>
      <w:r>
        <w:t>Bab ini menjelaskan langkah-langkah perancangan sistem kendali PID pada lengan robot industri untuk pengelasan. Metode mencakup pemodelan kinematik, penentuan parameter PID, serta prosedur simulasi.</w:t>
      </w:r>
    </w:p>
    <w:p>
      <w:pPr>
        <w:pStyle w:val="TTPParagraph1st"/>
      </w:pPr>
      <w:r>
        <w:rPr>
          <w:b/>
          <w:bCs/>
        </w:rPr>
        <w:t>Desain dan Arsitektur Sistem.</w:t>
      </w:r>
      <w:r>
        <w:t xml:space="preserve"> </w:t>
      </w: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New Roman" w:hAnsi="Times New Roman" w:eastAsia="Times New Roman" w:cs="Times New Roman"/>
          <w:b/>
          <w:i w:val="0"/>
          <w:sz w:val="20"/>
        </w:rPr>
        <w:t>Table I. Parameter Denavit-Hartenberg Lengan Robot 6-DOF</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928"/>
        <w:gridCol w:w="1928"/>
        <w:gridCol w:w="1928"/>
        <w:gridCol w:w="1928"/>
        <w:gridCol w:w="1928"/>
      </w:tblGrid>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Sendi</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\iθ_i (rad)\i</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\id_i (mm)\i</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\ia_i (mm)\i</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\iα_i (rad)\i</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q1</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a1</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a2</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π/2</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q2</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a3</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q3</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a4</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q4</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a5</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-π/2</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q5</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π/2</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q6</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a6</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bl>
    <w:p>
      <w:pPr>
        <w:pStyle w:val="TTPParagraphothers"/>
      </w:pPr>
      <w:r>
        <w:rPr>
          <w:b/>
          <w:bCs/>
        </w:rPr>
        <w:t xml:space="preserve">Parameter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1</m:t>
            </m:r>
          </m:sub>
        </m:sSub>
      </m:oMath>
      <w:r>
        <w:rPr>
          <w:b/>
          <w:bCs/>
        </w:rPr>
        <w:t xml:space="preserve"> sampai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6</m:t>
            </m:r>
          </m:sub>
        </m:sSub>
      </m:oMath>
      <w:r>
        <w:rPr>
          <w:b/>
          <w:bCs/>
        </w:rPr>
        <w:t xml:space="preserve"> merupakan panjang lengan dan offset yang diperoleh dari lembar data robot industri. Sudut sendi </w:t>
      </w:r>
      <m:oMath xmlns:mml="http://www.w3.org/1998/Math/MathML">
        <m:sSub>
          <m:e>
            <m:r>
              <w:rPr>
                <w:rFonts w:ascii="Cambria Math" w:hAnsi="Cambria Math" w:eastAsia="Cambria Math" w:cs="Cambria Math"/>
                <w:sz w:val="24"/>
                <w:szCs w:val="24"/>
              </w:rPr>
              <m:t>q</m:t>
            </m:r>
          </m:e>
          <m:sub>
            <m:r>
              <w:rPr>
                <w:rFonts w:ascii="Cambria Math" w:hAnsi="Cambria Math" w:eastAsia="Cambria Math" w:cs="Cambria Math"/>
                <w:sz w:val="24"/>
                <w:szCs w:val="24"/>
              </w:rPr>
              <m:t>1</m:t>
            </m:r>
          </m:sub>
        </m:sSub>
      </m:oMath>
      <w:r>
        <w:rPr>
          <w:b/>
          <w:bCs/>
        </w:rPr>
        <w:t xml:space="preserve"> hingga </w:t>
      </w:r>
      <m:oMath xmlns:mml="http://www.w3.org/1998/Math/MathML">
        <m:sSub>
          <m:e>
            <m:r>
              <w:rPr>
                <w:rFonts w:ascii="Cambria Math" w:hAnsi="Cambria Math" w:eastAsia="Cambria Math" w:cs="Cambria Math"/>
                <w:sz w:val="24"/>
                <w:szCs w:val="24"/>
              </w:rPr>
              <m:t>q</m:t>
            </m:r>
          </m:e>
          <m:sub>
            <m:r>
              <w:rPr>
                <w:rFonts w:ascii="Cambria Math" w:hAnsi="Cambria Math" w:eastAsia="Cambria Math" w:cs="Cambria Math"/>
                <w:sz w:val="24"/>
                <w:szCs w:val="24"/>
              </w:rPr>
              <m:t>6</m:t>
            </m:r>
          </m:sub>
        </m:sSub>
      </m:oMath>
      <w:r>
        <w:rPr>
          <w:b/>
          <w:bCs/>
        </w:rPr>
        <w:t xml:space="preserve"> adalah variabel yang dikendalikan. Matriks transformasi total </w:t>
      </w:r>
      <m:oMath xmlns:mml="http://www.w3.org/1998/Math/MathML">
        <m:sSubSup>
          <m:e>
            <m:r>
              <w:rPr>
                <w:rFonts w:ascii="Cambria Math" w:hAnsi="Cambria Math" w:eastAsia="Cambria Math" w:cs="Cambria Math"/>
                <w:sz w:val="24"/>
                <w:szCs w:val="24"/>
              </w:rPr>
              <m:t>T</m:t>
            </m:r>
          </m:e>
          <m:sub>
            <m:r>
              <w:rPr>
                <w:rFonts w:ascii="Cambria Math" w:hAnsi="Cambria Math" w:eastAsia="Cambria Math" w:cs="Cambria Math"/>
                <w:sz w:val="24"/>
                <w:szCs w:val="24"/>
              </w:rPr>
              <m:t>6</m:t>
            </m:r>
          </m:sub>
          <m:sup>
            <m:r>
              <w:rPr>
                <w:rFonts w:ascii="Cambria Math" w:hAnsi="Cambria Math" w:eastAsia="Cambria Math" w:cs="Cambria Math"/>
                <w:sz w:val="24"/>
                <w:szCs w:val="24"/>
              </w:rPr>
              <m:t>0</m:t>
            </m:r>
          </m:sup>
        </m:sSubSup>
      </m:oMath>
      <w:r>
        <w:rPr>
          <w:b/>
          <w:bCs/>
        </w:rPr>
        <w:t xml:space="preserve"> dihitung menggunakan perkalian matriks dari Persamaan (2), kemudian digunakan untuk memperoleh posisi ujung lengan dalam kerangka basis.</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2. Arsitektur sistem kendali PID pada lengan robot untuk pengelasan komponen otomotif</w:t>
      </w:r>
    </w:p>
    <w:p>
      <w:pPr>
        <w:pStyle w:val="TTPParagraphothers"/>
      </w:pPr>
      <w:r>
        <w:rPr>
          <w:b/>
          <w:bCs/>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EquationcontentisnotprovidedinthesourceJSON.</m:t>
        </m:r>
      </m:oMath>
      <w:r>
        <w:rPr>
          <w:lang w:val="en-US"/>
        </w:rPr>
        <w:t xml:space="preserve"> </w:t>
      </w:r>
      <w:r>
        <w:tab/>
      </w:r>
      <w:r>
        <w:rPr>
          <w:lang w:val="en-US"/>
        </w:rPr>
        <w:t>(3)</w:t>
      </w:r>
    </w:p>
    <w:p>
      <w:pPr>
        <w:pStyle w:val="TTPParagraph1st"/>
      </w:pPr>
      <w:r>
        <w:rPr>
          <w:b/>
          <w:bCs/>
        </w:rPr>
        <w:t>Implementasi dan Prosedur Eksperimen.</w:t>
      </w:r>
      <w:r>
        <w:t xml:space="preserve"> </w:t>
      </w:r>
      <w:r>
        <w:t>Simulasi dilakukan menggunakan MATLAB/Simulink R2023a. Pemodelan plant menggunakan fungsi alih orde dua plus waktu tunda untuk merepresentasikan dinamika satu sendi dengan beban elektroda las. Fungsi alih yang digunakan adalah</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G(s)=</m:t>
        </m:r>
        <m:f>
          <m:fPr>
            <m:type m:val="bar"/>
          </m:fPr>
          <m:num>
            <m:r>
              <w:rPr>
                <w:rFonts w:ascii="Cambria Math" w:hAnsi="Cambria Math" w:eastAsia="Cambria Math" w:cs="Cambria Math"/>
                <w:sz w:val="24"/>
                <w:szCs w:val="24"/>
              </w:rPr>
              <m:t>K</m:t>
            </m:r>
          </m:num>
          <m:den>
            <m:r>
              <w:rPr>
                <w:rFonts w:ascii="Cambria Math" w:hAnsi="Cambria Math" w:eastAsia="Cambria Math" w:cs="Cambria Math"/>
                <w:sz w:val="24"/>
                <w:szCs w:val="24"/>
              </w:rPr>
              <m:t>τs+1</m:t>
            </m:r>
          </m:den>
        </m:f>
        <m:r>
          <w:rPr>
            <w:rFonts w:ascii="Cambria Math" w:hAnsi="Cambria Math" w:eastAsia="Cambria Math" w:cs="Cambria Math"/>
            <w:sz w:val="24"/>
            <w:szCs w:val="24"/>
          </w:rPr>
          <m:t>e−Ls</m:t>
        </m:r>
      </m:oMath>
      <w:r>
        <w:rPr>
          <w:lang w:val="en-US"/>
        </w:rPr>
        <w:t xml:space="preserve"> </w:t>
      </w:r>
      <w:r>
        <w:tab/>
      </w:r>
      <w:r>
        <w:rPr>
          <w:lang w:val="en-US"/>
        </w:rPr>
        <w:t>(4)</w:t>
      </w:r>
    </w:p>
    <w:p>
      <w:pPr>
        <w:pStyle w:val="TTPParagraphothers"/>
      </w:pPr>
      <w:r>
        <w:rPr>
          <w:b/>
          <w:bCs/>
        </w:rPr>
        <w:t xml:space="preserve">dengan </w:t>
      </w:r>
      <m:oMath xmlns:mml="http://www.w3.org/1998/Math/MathML">
        <m:r>
          <w:rPr>
            <w:rFonts w:ascii="Cambria Math" w:hAnsi="Cambria Math" w:eastAsia="Cambria Math" w:cs="Cambria Math"/>
            <w:sz w:val="24"/>
            <w:szCs w:val="24"/>
          </w:rPr>
          <m:t>K</m:t>
        </m:r>
      </m:oMath>
      <w:r>
        <w:rPr>
          <w:b/>
          <w:bCs/>
        </w:rPr>
        <w:t xml:space="preserve"> adalah gain statis, </w:t>
      </w:r>
      <m:oMath xmlns:mml="http://www.w3.org/1998/Math/MathML">
        <m:r>
          <w:rPr>
            <w:rFonts w:ascii="Cambria Math" w:hAnsi="Cambria Math" w:eastAsia="Cambria Math" w:cs="Cambria Math"/>
            <w:sz w:val="24"/>
            <w:szCs w:val="24"/>
          </w:rPr>
          <m:t>τ</m:t>
        </m:r>
      </m:oMath>
      <w:r>
        <w:rPr>
          <w:b/>
          <w:bCs/>
        </w:rPr>
        <w:t xml:space="preserve"> konstanta waktu, dan </w:t>
      </w:r>
      <m:oMath xmlns:mml="http://www.w3.org/1998/Math/MathML">
        <m:r>
          <w:rPr>
            <w:rFonts w:ascii="Cambria Math" w:hAnsi="Cambria Math" w:eastAsia="Cambria Math" w:cs="Cambria Math"/>
            <w:sz w:val="24"/>
            <w:szCs w:val="24"/>
          </w:rPr>
          <m:t>L</m:t>
        </m:r>
      </m:oMath>
      <w:r>
        <w:rPr>
          <w:b/>
          <w:bCs/>
        </w:rPr>
        <w:t xml:space="preserve"> waktu tunda. Parameter </w:t>
      </w:r>
      <m:oMath xmlns:mml="http://www.w3.org/1998/Math/MathML">
        <m:r>
          <w:rPr>
            <w:rFonts w:ascii="Cambria Math" w:hAnsi="Cambria Math" w:eastAsia="Cambria Math" w:cs="Cambria Math"/>
            <w:sz w:val="24"/>
            <w:szCs w:val="24"/>
          </w:rPr>
          <m:t>K</m:t>
        </m:r>
      </m:oMath>
      <w:r>
        <w:rPr>
          <w:b/>
          <w:bCs/>
        </w:rPr>
        <w:t xml:space="preserve">, </w:t>
      </w:r>
      <m:oMath xmlns:mml="http://www.w3.org/1998/Math/MathML">
        <m:r>
          <w:rPr>
            <w:rFonts w:ascii="Cambria Math" w:hAnsi="Cambria Math" w:eastAsia="Cambria Math" w:cs="Cambria Math"/>
            <w:sz w:val="24"/>
            <w:szCs w:val="24"/>
          </w:rPr>
          <m:t>τ</m:t>
        </m:r>
      </m:oMath>
      <w:r>
        <w:rPr>
          <w:b/>
          <w:bCs/>
        </w:rPr>
        <w:t xml:space="preserve">, dan </w:t>
      </w:r>
      <m:oMath xmlns:mml="http://www.w3.org/1998/Math/MathML">
        <m:r>
          <w:rPr>
            <w:rFonts w:ascii="Cambria Math" w:hAnsi="Cambria Math" w:eastAsia="Cambria Math" w:cs="Cambria Math"/>
            <w:sz w:val="24"/>
            <w:szCs w:val="24"/>
          </w:rPr>
          <m:t>L</m:t>
        </m:r>
      </m:oMath>
      <w:r>
        <w:rPr>
          <w:b/>
          <w:bCs/>
        </w:rPr>
        <w:t xml:space="preserve"> diperoleh dari identifikasi respons step hasil eksperimen pada lengan robot nyata (nilai placeholder: </w:t>
      </w:r>
      <m:oMath xmlns:mml="http://www.w3.org/1998/Math/MathML">
        <m:r>
          <w:rPr>
            <w:rFonts w:ascii="Cambria Math" w:hAnsi="Cambria Math" w:eastAsia="Cambria Math" w:cs="Cambria Math"/>
            <w:sz w:val="24"/>
            <w:szCs w:val="24"/>
          </w:rPr>
          <m:t>K=</m:t>
        </m:r>
        <m:sSub>
          <m:e>
            <m:r>
              <w:rPr>
                <w:rFonts w:ascii="Cambria Math" w:hAnsi="Cambria Math" w:eastAsia="Cambria Math" w:cs="Cambria Math"/>
                <w:sz w:val="24"/>
                <w:szCs w:val="24"/>
              </w:rPr>
              <m:t>a</m:t>
            </m:r>
          </m:e>
          <m:sub>
            <m:r>
              <w:rPr>
                <w:rFonts w:ascii="Cambria Math" w:hAnsi="Cambria Math" w:eastAsia="Cambria Math" w:cs="Cambria Math"/>
                <w:sz w:val="24"/>
                <w:szCs w:val="24"/>
              </w:rPr>
              <m:t>1</m:t>
            </m:r>
          </m:sub>
        </m:sSub>
      </m:oMath>
      <w:r>
        <w:rPr>
          <w:b/>
          <w:bCs/>
        </w:rPr>
        <w:t xml:space="preserve">, </w:t>
      </w:r>
      <m:oMath xmlns:mml="http://www.w3.org/1998/Math/MathML">
        <m:r>
          <w:rPr>
            <w:rFonts w:ascii="Cambria Math" w:hAnsi="Cambria Math" w:eastAsia="Cambria Math" w:cs="Cambria Math"/>
            <w:sz w:val="24"/>
            <w:szCs w:val="24"/>
          </w:rPr>
          <m:t>τ=</m:t>
        </m:r>
        <m:sSub>
          <m:e>
            <m:r>
              <w:rPr>
                <w:rFonts w:ascii="Cambria Math" w:hAnsi="Cambria Math" w:eastAsia="Cambria Math" w:cs="Cambria Math"/>
                <w:sz w:val="24"/>
                <w:szCs w:val="24"/>
              </w:rPr>
              <m:t>a</m:t>
            </m:r>
          </m:e>
          <m:sub>
            <m:r>
              <w:rPr>
                <w:rFonts w:ascii="Cambria Math" w:hAnsi="Cambria Math" w:eastAsia="Cambria Math" w:cs="Cambria Math"/>
                <w:sz w:val="24"/>
                <w:szCs w:val="24"/>
              </w:rPr>
              <m:t>2</m:t>
            </m:r>
          </m:sub>
        </m:sSub>
      </m:oMath>
      <w:r>
        <w:rPr>
          <w:b/>
          <w:bCs/>
        </w:rPr>
        <w:t xml:space="preserve">, </w:t>
      </w:r>
      <m:oMath xmlns:mml="http://www.w3.org/1998/Math/MathML">
        <m:r>
          <w:rPr>
            <w:rFonts w:ascii="Cambria Math" w:hAnsi="Cambria Math" w:eastAsia="Cambria Math" w:cs="Cambria Math"/>
            <w:sz w:val="24"/>
            <w:szCs w:val="24"/>
          </w:rPr>
          <m:t>L=</m:t>
        </m:r>
        <m:sSub>
          <m:e>
            <m:r>
              <w:rPr>
                <w:rFonts w:ascii="Cambria Math" w:hAnsi="Cambria Math" w:eastAsia="Cambria Math" w:cs="Cambria Math"/>
                <w:sz w:val="24"/>
                <w:szCs w:val="24"/>
              </w:rPr>
              <m:t>a</m:t>
            </m:r>
          </m:e>
          <m:sub>
            <m:r>
              <w:rPr>
                <w:rFonts w:ascii="Cambria Math" w:hAnsi="Cambria Math" w:eastAsia="Cambria Math" w:cs="Cambria Math"/>
                <w:sz w:val="24"/>
                <w:szCs w:val="24"/>
              </w:rPr>
              <m:t>3</m:t>
            </m:r>
          </m:sub>
        </m:sSub>
      </m:oMath>
      <w:r>
        <w:rPr>
          <w:b/>
          <w:bCs/>
        </w:rPr>
        <w:t>).</w:t>
      </w:r>
    </w:p>
    <w:p>
      <w:pPr>
        <w:pStyle w:val="TTPParagraphothers"/>
      </w:pPr>
      <w:r>
        <w:rPr>
          <w:b/>
          <w:bCs/>
        </w:rPr>
        <w:t xml:space="preserve">Penalaan PID dilakukan menggunakan metode Ziegler-Nichols closed-loop. Langkah-langkah: (1) set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r>
          <w:rPr>
            <w:rFonts w:ascii="Cambria Math" w:hAnsi="Cambria Math" w:eastAsia="Cambria Math" w:cs="Cambria Math"/>
            <w:sz w:val="24"/>
            <w:szCs w:val="24"/>
          </w:rPr>
          <m:t>=0</m:t>
        </m:r>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r>
          <w:rPr>
            <w:rFonts w:ascii="Cambria Math" w:hAnsi="Cambria Math" w:eastAsia="Cambria Math" w:cs="Cambria Math"/>
            <w:sz w:val="24"/>
            <w:szCs w:val="24"/>
          </w:rPr>
          <m:t>=0</m:t>
        </m:r>
      </m:oMath>
      <w:r>
        <w:rPr>
          <w:b/>
          <w:bCs/>
        </w:rPr>
        <w:t xml:space="preserve">, (2) tingkatkan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hingga sistem berosilasi pada frekuensi ultimat </w:t>
      </w:r>
      <m:oMath xmlns:mml="http://www.w3.org/1998/Math/MathML">
        <m:sSub>
          <m:e>
            <m:r>
              <w:rPr>
                <w:rFonts w:ascii="Cambria Math" w:hAnsi="Cambria Math" w:eastAsia="Cambria Math" w:cs="Cambria Math"/>
                <w:sz w:val="24"/>
                <w:szCs w:val="24"/>
              </w:rPr>
              <m:t>ω</m:t>
            </m:r>
          </m:e>
          <m:sub>
            <m:r>
              <w:rPr>
                <w:rFonts w:ascii="Cambria Math" w:hAnsi="Cambria Math" w:eastAsia="Cambria Math" w:cs="Cambria Math"/>
                <w:sz w:val="24"/>
                <w:szCs w:val="24"/>
              </w:rPr>
              <m:t>u</m:t>
            </m:r>
          </m:sub>
        </m:sSub>
      </m:oMath>
      <w:r>
        <w:rPr>
          <w:b/>
          <w:bCs/>
        </w:rPr>
        <w:t xml:space="preserve">, catat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u</m:t>
            </m:r>
          </m:sub>
        </m:sSub>
      </m:oMath>
      <w:r>
        <w:rPr>
          <w:b/>
          <w:bCs/>
        </w:rPr>
        <w:t xml:space="preserve"> dan periode ultimat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u</m:t>
            </m:r>
          </m:sub>
        </m:sSub>
      </m:oMath>
      <w:r>
        <w:rPr>
          <w:b/>
          <w:bCs/>
        </w:rPr>
        <w:t>, (3) hitung parameter PID berdasarkan Tabel II.</w:t>
      </w:r>
    </w:p>
    <w:p>
      <w:pPr>
        <w:spacing w:before="120" w:after="60"/>
        <w:jc w:val="center"/>
      </w:pPr>
      <w:r>
        <w:rPr>
          <w:rFonts w:ascii="Times New Roman" w:hAnsi="Times New Roman" w:eastAsia="Times New Roman" w:cs="Times New Roman"/>
          <w:b/>
          <w:i w:val="0"/>
          <w:sz w:val="20"/>
        </w:rPr>
        <w:t>Table II. Parameter PID dari Metode Ziegler-Nichols Closed-Loop</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Tipe Kontrol</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\bK_p\b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\bT_i\b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\bT_d\b</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0.5 K_u</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0.45 K_u</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0.83 T_u</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0.6 K_u</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0.5 T_u</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0.125 T_u</w:t>
            </w:r>
          </w:p>
        </w:tc>
      </w:tr>
    </w:tbl>
    <w:p>
      <w:pPr>
        <w:pStyle w:val="TTPParagraphothers"/>
      </w:pPr>
      <w:r>
        <w:rPr>
          <w:b/>
          <w:bCs/>
        </w:rPr>
        <w:t>Setelah parameter PID diperoleh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4</m:t>
            </m:r>
          </m:sub>
        </m:sSub>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5</m:t>
            </m:r>
          </m:sub>
        </m:sSub>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6</m:t>
            </m:r>
          </m:sub>
        </m:sSub>
      </m:oMath>
      <w:r>
        <w:rPr>
          <w:b/>
          <w:bCs/>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4"/>
            <w:szCs w:val="24"/>
          </w:rPr>
          <m:t>m=</m:t>
        </m:r>
        <m:sSub>
          <m:e>
            <m:r>
              <w:rPr>
                <w:rFonts w:ascii="Cambria Math" w:hAnsi="Cambria Math" w:eastAsia="Cambria Math" w:cs="Cambria Math"/>
                <w:sz w:val="24"/>
                <w:szCs w:val="24"/>
              </w:rPr>
              <m:t>a</m:t>
            </m:r>
          </m:e>
          <m:sub>
            <m:r>
              <w:rPr>
                <w:rFonts w:ascii="Cambria Math" w:hAnsi="Cambria Math" w:eastAsia="Cambria Math" w:cs="Cambria Math"/>
                <w:sz w:val="24"/>
                <w:szCs w:val="24"/>
              </w:rPr>
              <m:t>7</m:t>
            </m:r>
          </m:sub>
        </m:sSub>
      </m:oMath>
      <w:r>
        <w:rPr>
          <w:b/>
          <w:bCs/>
        </w:rPr>
        <w:t xml:space="preserve"> kg), (c) respons dengan gangguan sinusoidal (amplitude </w:t>
      </w:r>
      <m:oMath xmlns:mml="http://www.w3.org/1998/Math/MathML">
        <m:r>
          <w:rPr>
            <w:rFonts w:ascii="Cambria Math" w:hAnsi="Cambria Math" w:eastAsia="Cambria Math" w:cs="Cambria Math"/>
            <w:sz w:val="24"/>
            <w:szCs w:val="24"/>
          </w:rPr>
          <m:t>A=</m:t>
        </m:r>
        <m:sSub>
          <m:e>
            <m:r>
              <w:rPr>
                <w:rFonts w:ascii="Cambria Math" w:hAnsi="Cambria Math" w:eastAsia="Cambria Math" w:cs="Cambria Math"/>
                <w:sz w:val="24"/>
                <w:szCs w:val="24"/>
              </w:rPr>
              <m:t>a</m:t>
            </m:r>
          </m:e>
          <m:sub>
            <m:r>
              <w:rPr>
                <w:rFonts w:ascii="Cambria Math" w:hAnsi="Cambria Math" w:eastAsia="Cambria Math" w:cs="Cambria Math"/>
                <w:sz w:val="24"/>
                <w:szCs w:val="24"/>
              </w:rPr>
              <m:t>8</m:t>
            </m:r>
          </m:sub>
        </m:sSub>
      </m:oMath>
      <w:r>
        <w:rPr>
          <w:b/>
          <w:bCs/>
        </w:rPr>
        <w:t xml:space="preserve">, frekuensi </w:t>
      </w:r>
      <m:oMath xmlns:mml="http://www.w3.org/1998/Math/MathML">
        <m:r>
          <w:rPr>
            <w:rFonts w:ascii="Cambria Math" w:hAnsi="Cambria Math" w:eastAsia="Cambria Math" w:cs="Cambria Math"/>
            <w:sz w:val="24"/>
            <w:szCs w:val="24"/>
          </w:rPr>
          <m:t>f=</m:t>
        </m:r>
        <m:sSub>
          <m:e>
            <m:r>
              <w:rPr>
                <w:rFonts w:ascii="Cambria Math" w:hAnsi="Cambria Math" w:eastAsia="Cambria Math" w:cs="Cambria Math"/>
                <w:sz w:val="24"/>
                <w:szCs w:val="24"/>
              </w:rPr>
              <m:t>a</m:t>
            </m:r>
          </m:e>
          <m:sub>
            <m:r>
              <w:rPr>
                <w:rFonts w:ascii="Cambria Math" w:hAnsi="Cambria Math" w:eastAsia="Cambria Math" w:cs="Cambria Math"/>
                <w:sz w:val="24"/>
                <w:szCs w:val="24"/>
              </w:rPr>
              <m:t>9</m:t>
            </m:r>
          </m:sub>
        </m:sSub>
      </m:oMath>
      <w:r>
        <w:rPr>
          <w:b/>
          <w:bCs/>
        </w:rPr>
        <w:t xml:space="preserve"> Hz) mensimulasikan getaran konveyor.</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3. Diagram alir prosedur penalaan PID dan simulasi</w:t>
      </w:r>
    </w:p>
    <w:p>
      <w:pPr>
        <w:pStyle w:val="TTPParagraphothers"/>
      </w:pPr>
      <w:r>
        <w:rPr>
          <w:b/>
          <w:bCs/>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4"/>
            <w:szCs w:val="24"/>
          </w:rPr>
          <m:t>5%</m:t>
        </m:r>
      </m:oMath>
      <w:r>
        <w:rPr>
          <w:b/>
          <w:bCs/>
        </w:rPr>
        <w:t xml:space="preserve">, dilakukan fine-tuning manual dengan mengurangi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dan menambah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oMath>
      <w:r>
        <w:rPr>
          <w:b/>
          <w:bCs/>
        </w:rPr>
        <w:t xml:space="preserve"> untuk meredam osilasi.</w:t>
      </w:r>
    </w:p>
    <w:p>
      <w:pPr>
        <w:pStyle w:val="TTPParagraph1st"/>
      </w:pPr>
      <w:r>
        <w:rPr>
          <w:b/>
          <w:bCs/>
        </w:rPr>
        <w:t>Algoritma Kendali dan Simulasi.</w:t>
      </w:r>
      <w:r>
        <w:t xml:space="preserve"> </w:t>
      </w:r>
      <w:r>
        <w:t>Implementasi algoritma kendali PID diskrit menggunakan metode backward difference untuk aproksimasi integral dan derivatif. Persamaan rekursif PID digital diberikan oleh</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u</m:t>
            </m:r>
          </m:e>
          <m:sub>
            <m:r>
              <w:rPr>
                <w:rFonts w:ascii="Cambria Math" w:hAnsi="Cambria Math" w:eastAsia="Cambria Math" w:cs="Cambria Math"/>
                <w:sz w:val="24"/>
                <w:szCs w:val="24"/>
              </w:rPr>
              <m:t>k</m:t>
            </m:r>
          </m:sub>
        </m:sSub>
        <m:r>
          <w:rPr>
            <w:rFonts w:ascii="Cambria Math" w:hAnsi="Cambria Math" w:eastAsia="Cambria Math" w:cs="Cambria Math"/>
            <w:sz w:val="24"/>
            <w:szCs w:val="24"/>
          </w:rPr>
          <m:t>=</m:t>
        </m:r>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sSub>
          <m:e>
            <m:r>
              <w:rPr>
                <w:rFonts w:ascii="Cambria Math" w:hAnsi="Cambria Math" w:eastAsia="Cambria Math" w:cs="Cambria Math"/>
                <w:sz w:val="24"/>
                <w:szCs w:val="24"/>
              </w:rPr>
              <m:t>e</m:t>
            </m:r>
          </m:e>
          <m:sub>
            <m:r>
              <w:rPr>
                <w:rFonts w:ascii="Cambria Math" w:hAnsi="Cambria Math" w:eastAsia="Cambria Math" w:cs="Cambria Math"/>
                <w:sz w:val="24"/>
                <w:szCs w:val="24"/>
              </w:rPr>
              <m:t>k</m:t>
            </m:r>
          </m:sub>
        </m:sSub>
        <m:r>
          <w:rPr>
            <w:rFonts w:ascii="Cambria Math" w:hAnsi="Cambria Math" w:eastAsia="Cambria Math" w:cs="Cambria Math"/>
            <w:sz w:val="24"/>
            <w:szCs w:val="24"/>
          </w:rPr>
          <m:t>+</m:t>
        </m:r>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sSub>
          <m:e>
            <m:r>
              <w:rPr>
                <w:rFonts w:ascii="Cambria Math" w:hAnsi="Cambria Math" w:eastAsia="Cambria Math" w:cs="Cambria Math"/>
                <w:sz w:val="24"/>
                <w:szCs w:val="24"/>
              </w:rPr>
              <m:t>T</m:t>
            </m:r>
          </m:e>
          <m:sub>
            <m:r>
              <w:rPr>
                <w:rFonts w:ascii="Cambria Math" w:hAnsi="Cambria Math" w:eastAsia="Cambria Math" w:cs="Cambria Math"/>
                <w:sz w:val="24"/>
                <w:szCs w:val="24"/>
              </w:rPr>
              <m:t>s</m:t>
            </m:r>
          </m:sub>
        </m:sSub>
        <m:r>
          <w:rPr>
            <w:rFonts w:ascii="Cambria Math" w:hAnsi="Cambria Math" w:eastAsia="Cambria Math" w:cs="Cambria Math"/>
            <w:sz w:val="24"/>
            <w:szCs w:val="24"/>
          </w:rPr>
          <m:rPr>
            <m:sty m:val="p"/>
          </m:rPr>
          <m:t>\sumj</m:t>
        </m:r>
        <m:r>
          <w:rPr>
            <w:rFonts w:ascii="Cambria Math" w:hAnsi="Cambria Math" w:eastAsia="Cambria Math" w:cs="Cambria Math"/>
            <w:sz w:val="24"/>
            <w:szCs w:val="24"/>
          </w:rPr>
          <m:t>=</m:t>
        </m:r>
        <m:sSup>
          <m:e>
            <m:r>
              <w:rPr>
                <w:rFonts w:ascii="Cambria Math" w:hAnsi="Cambria Math" w:eastAsia="Cambria Math" w:cs="Cambria Math"/>
                <w:sz w:val="24"/>
                <w:szCs w:val="24"/>
              </w:rPr>
              <m:t>0</m:t>
            </m:r>
          </m:e>
          <m:sup>
            <m:r>
              <w:rPr>
                <w:rFonts w:ascii="Cambria Math" w:hAnsi="Cambria Math" w:eastAsia="Cambria Math" w:cs="Cambria Math"/>
                <w:sz w:val="24"/>
                <w:szCs w:val="24"/>
              </w:rPr>
              <m:t>k</m:t>
            </m:r>
          </m:sup>
        </m:sSup>
        <m:sSub>
          <m:e>
            <m:r>
              <w:rPr>
                <w:rFonts w:ascii="Cambria Math" w:hAnsi="Cambria Math" w:eastAsia="Cambria Math" w:cs="Cambria Math"/>
                <w:sz w:val="24"/>
                <w:szCs w:val="24"/>
              </w:rPr>
              <m:t>e</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f>
          <m:fPr>
            <m:type m:val="bar"/>
          </m:fPr>
          <m:num>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num>
          <m:den>
            <m:sSub>
              <m:e>
                <m:r>
                  <w:rPr>
                    <w:rFonts w:ascii="Cambria Math" w:hAnsi="Cambria Math" w:eastAsia="Cambria Math" w:cs="Cambria Math"/>
                    <w:sz w:val="24"/>
                    <w:szCs w:val="24"/>
                  </w:rPr>
                  <m:t>T</m:t>
                </m:r>
              </m:e>
              <m:sub>
                <m:r>
                  <w:rPr>
                    <w:rFonts w:ascii="Cambria Math" w:hAnsi="Cambria Math" w:eastAsia="Cambria Math" w:cs="Cambria Math"/>
                    <w:sz w:val="24"/>
                    <w:szCs w:val="24"/>
                  </w:rPr>
                  <m:t>s</m:t>
                </m:r>
              </m:sub>
            </m:sSub>
          </m:den>
        </m:f>
        <m:r>
          <w:rPr>
            <w:rFonts w:ascii="Cambria Math" w:hAnsi="Cambria Math" w:eastAsia="Cambria Math" w:cs="Cambria Math"/>
            <w:sz w:val="24"/>
            <w:szCs w:val="24"/>
          </w:rPr>
          <m:t>(</m:t>
        </m:r>
        <m:sSub>
          <m:e>
            <m:r>
              <w:rPr>
                <w:rFonts w:ascii="Cambria Math" w:hAnsi="Cambria Math" w:eastAsia="Cambria Math" w:cs="Cambria Math"/>
                <w:sz w:val="24"/>
                <w:szCs w:val="24"/>
              </w:rPr>
              <m:t>e</m:t>
            </m:r>
          </m:e>
          <m:sub>
            <m:r>
              <w:rPr>
                <w:rFonts w:ascii="Cambria Math" w:hAnsi="Cambria Math" w:eastAsia="Cambria Math" w:cs="Cambria Math"/>
                <w:sz w:val="24"/>
                <w:szCs w:val="24"/>
              </w:rPr>
              <m:t>k</m:t>
            </m:r>
          </m:sub>
        </m:sSub>
        <m:r>
          <w:rPr>
            <w:rFonts w:ascii="Cambria Math" w:hAnsi="Cambria Math" w:eastAsia="Cambria Math" w:cs="Cambria Math"/>
            <w:sz w:val="24"/>
            <w:szCs w:val="24"/>
          </w:rPr>
          <m:t>−ek−1)</m:t>
        </m:r>
      </m:oMath>
      <w:r>
        <w:rPr>
          <w:lang w:val="en-US"/>
        </w:rPr>
        <w:t xml:space="preserve"> </w:t>
      </w:r>
      <w:r>
        <w:tab/>
      </w:r>
      <w:r>
        <w:rPr>
          <w:lang w:val="en-US"/>
        </w:rPr>
        <w:t>(5)</w:t>
      </w:r>
    </w:p>
    <w:p>
      <w:pPr>
        <w:pStyle w:val="TTPParagraphothers"/>
      </w:pPr>
      <w:r>
        <w:rPr>
          <w:b/>
          <w:bCs/>
        </w:rPr>
        <w:t xml:space="preserve">dengan </w:t>
      </w:r>
      <m:oMath xmlns:mml="http://www.w3.org/1998/Math/MathML">
        <m:sSub>
          <m:e>
            <m:r>
              <w:rPr>
                <w:rFonts w:ascii="Cambria Math" w:hAnsi="Cambria Math" w:eastAsia="Cambria Math" w:cs="Cambria Math"/>
                <w:sz w:val="24"/>
                <w:szCs w:val="24"/>
              </w:rPr>
              <m:t>u</m:t>
            </m:r>
          </m:e>
          <m:sub>
            <m:r>
              <w:rPr>
                <w:rFonts w:ascii="Cambria Math" w:hAnsi="Cambria Math" w:eastAsia="Cambria Math" w:cs="Cambria Math"/>
                <w:sz w:val="24"/>
                <w:szCs w:val="24"/>
              </w:rPr>
              <m:t>k</m:t>
            </m:r>
          </m:sub>
        </m:sSub>
      </m:oMath>
      <w:r>
        <w:rPr>
          <w:b/>
          <w:bCs/>
        </w:rPr>
        <w:t xml:space="preserve"> adalah keluaran kontrol pada langkah ke-</w:t>
      </w:r>
      <m:oMath xmlns:mml="http://www.w3.org/1998/Math/MathML">
        <m:r>
          <w:rPr>
            <w:rFonts w:ascii="Cambria Math" w:hAnsi="Cambria Math" w:eastAsia="Cambria Math" w:cs="Cambria Math"/>
            <w:sz w:val="24"/>
            <w:szCs w:val="24"/>
          </w:rPr>
          <m:t>k</m:t>
        </m:r>
      </m:oMath>
      <w:r>
        <w:rPr>
          <w:b/>
          <w:bCs/>
        </w:rPr>
        <w:t xml:space="preserv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s</m:t>
            </m:r>
          </m:sub>
        </m:sSub>
      </m:oMath>
      <w:r>
        <w:rPr>
          <w:b/>
          <w:bCs/>
        </w:rPr>
        <w:t xml:space="preserve"> adalah waktu cuplik (sampling time), </w:t>
      </w:r>
      <m:oMath xmlns:mml="http://www.w3.org/1998/Math/MathML">
        <m:sSub>
          <m:e>
            <m:r>
              <w:rPr>
                <w:rFonts w:ascii="Cambria Math" w:hAnsi="Cambria Math" w:eastAsia="Cambria Math" w:cs="Cambria Math"/>
                <w:sz w:val="24"/>
                <w:szCs w:val="24"/>
              </w:rPr>
              <m:t>e</m:t>
            </m:r>
          </m:e>
          <m:sub>
            <m:r>
              <w:rPr>
                <w:rFonts w:ascii="Cambria Math" w:hAnsi="Cambria Math" w:eastAsia="Cambria Math" w:cs="Cambria Math"/>
                <w:sz w:val="24"/>
                <w:szCs w:val="24"/>
              </w:rPr>
              <m:t>k</m:t>
            </m:r>
          </m:sub>
        </m:sSub>
      </m:oMath>
      <w:r>
        <w:rPr>
          <w:b/>
          <w:bCs/>
        </w:rPr>
        <w:t xml:space="preserve"> error pada langkah ke-</w:t>
      </w:r>
      <m:oMath xmlns:mml="http://www.w3.org/1998/Math/MathML">
        <m:r>
          <w:rPr>
            <w:rFonts w:ascii="Cambria Math" w:hAnsi="Cambria Math" w:eastAsia="Cambria Math" w:cs="Cambria Math"/>
            <w:sz w:val="24"/>
            <w:szCs w:val="24"/>
          </w:rPr>
          <m:t>k</m:t>
        </m:r>
      </m:oMath>
      <w:r>
        <w:rPr>
          <w:b/>
          <w:bCs/>
        </w:rPr>
        <w:t xml:space="preserve">, dan </w:t>
      </w:r>
      <m:oMath xmlns:mml="http://www.w3.org/1998/Math/MathML">
        <m:sSub>
          <m:e>
            <m:r>
              <w:rPr>
                <w:rFonts w:ascii="Cambria Math" w:hAnsi="Cambria Math" w:eastAsia="Cambria Math" w:cs="Cambria Math"/>
                <w:sz w:val="24"/>
                <w:szCs w:val="24"/>
              </w:rPr>
              <m:t>e</m:t>
            </m:r>
          </m:e>
          <m:sub>
            <m:r>
              <w:rPr>
                <w:rFonts w:ascii="Cambria Math" w:hAnsi="Cambria Math" w:eastAsia="Cambria Math" w:cs="Cambria Math"/>
                <w:sz w:val="24"/>
                <w:szCs w:val="24"/>
              </w:rPr>
              <m:t>k−1</m:t>
            </m:r>
          </m:sub>
        </m:sSub>
      </m:oMath>
      <w:r>
        <w:rPr>
          <w:b/>
          <w:bCs/>
        </w:rPr>
        <w:t xml:space="preserve"> error sebelumnya. Parameter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oMath>
      <w:r>
        <w:rPr>
          <w:b/>
          <w:bCs/>
        </w:rP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oMath>
      <w:r>
        <w:rPr>
          <w:b/>
          <w:bCs/>
        </w:rPr>
        <w:t xml:space="preserve"> diperoleh dari Tabel II. Waktu cuplik ditetapkan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s</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10</m:t>
            </m:r>
          </m:sub>
        </m:sSub>
      </m:oMath>
      <w:r>
        <w:rPr>
          <w:b/>
          <w:bCs/>
        </w:rPr>
        <w:t xml:space="preserve"> ms, cukup cepat dibandingkan dinamika plant.</w:t>
      </w:r>
    </w:p>
    <w:p>
      <w:pPr>
        <w:pStyle w:val="TTPParagraphothers"/>
      </w:pPr>
      <w:r>
        <w:rPr>
          <w:b/>
          <w:bCs/>
        </w:rPr>
        <w:t xml:space="preserve">Simulasi dilakukan untuk tiga konfigurasi kendali: PID, proporsional (P) murni dengan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K</m:t>
            </m:r>
          </m:e>
          <m:sub>
            <m:r>
              <w:rPr>
                <w:rFonts w:ascii="Cambria Math" w:hAnsi="Cambria Math" w:eastAsia="Cambria Math" w:cs="Cambria Math"/>
                <w:sz w:val="24"/>
                <w:szCs w:val="24"/>
              </w:rPr>
              <m:t>u</m:t>
            </m:r>
          </m:sub>
        </m:sSub>
        <m:r>
          <w:rPr>
            <w:rFonts w:ascii="Cambria Math" w:hAnsi="Cambria Math" w:eastAsia="Cambria Math" w:cs="Cambria Math"/>
            <w:sz w:val="24"/>
            <w:szCs w:val="24"/>
          </w:rPr>
          <m:t>/2</m:t>
        </m:r>
      </m:oMath>
      <w:r>
        <w:rPr>
          <w:b/>
          <w:bCs/>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4"/>
                <w:szCs w:val="24"/>
              </w:rPr>
              <m:t>M</m:t>
            </m:r>
          </m:e>
          <m:sub>
            <m:r>
              <w:rPr>
                <w:rFonts w:ascii="Cambria Math" w:hAnsi="Cambria Math" w:eastAsia="Cambria Math" w:cs="Cambria Math"/>
                <w:sz w:val="24"/>
                <w:szCs w:val="24"/>
              </w:rPr>
              <m:t>p</m:t>
            </m:r>
          </m:sub>
        </m:sSub>
      </m:oMath>
      <w:r>
        <w:rPr>
          <w:b/>
          <w:bCs/>
        </w:rPr>
        <w:t>), waktu naik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r</m:t>
            </m:r>
          </m:sub>
        </m:sSub>
      </m:oMath>
      <w:r>
        <w:rPr>
          <w:b/>
          <w:bCs/>
        </w:rPr>
        <w:t>), waktu penetapan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t>s</m:t>
            </m:r>
          </m:sub>
        </m:sSub>
      </m:oMath>
      <w:r>
        <w:rPr>
          <w:b/>
          <w:bCs/>
        </w:rPr>
        <w:t>) dengan kriteria 2%, dan kesalahan keadaan tunak (</w:t>
      </w:r>
      <m:oMath xmlns:mml="http://www.w3.org/1998/Math/MathML">
        <m:sSub>
          <m:e>
            <m:r>
              <w:rPr>
                <w:rFonts w:ascii="Cambria Math" w:hAnsi="Cambria Math" w:eastAsia="Cambria Math" w:cs="Cambria Math"/>
                <w:sz w:val="24"/>
                <w:szCs w:val="24"/>
              </w:rPr>
              <m:t>e</m:t>
            </m:r>
          </m:e>
          <m:sub>
            <m:r>
              <w:rPr>
                <w:rFonts w:ascii="Cambria Math" w:hAnsi="Cambria Math" w:eastAsia="Cambria Math" w:cs="Cambria Math"/>
                <w:sz w:val="24"/>
                <w:szCs w:val="24"/>
              </w:rPr>
              <m:t>ss</m:t>
            </m:r>
          </m:sub>
        </m:sSub>
      </m:oMath>
      <w:r>
        <w:rPr>
          <w:b/>
          <w:bCs/>
        </w:rPr>
        <w:t>). Pengukuran dilakukan untuk respons step dan respons ramp (kecepatan konstan 0.1 m/s).</w:t>
      </w:r>
    </w:p>
    <w:p>
      <w:pPr>
        <w:pStyle w:val="TTPSectionHeading"/>
      </w:pPr>
      <w:r>
        <w:t>Hasil dan Pembahasan</w:t>
      </w:r>
    </w:p>
    <w:p>
      <w:pPr>
        <w:pStyle w:val="TTPParagraph1st"/>
      </w:pPr>
      <w:r>
        <w:t>Bab ini menyajikan hasil simulasi sistem kendali PID pada lengan robot serta analisis perbandingan dengan metode kendali lainnya.</w:t>
      </w:r>
    </w:p>
    <w:p>
      <w:pPr>
        <w:pStyle w:val="TTPParagraph1st"/>
      </w:pPr>
      <w:r>
        <w:rPr>
          <w:b/>
          <w:bCs/>
        </w:rPr>
        <w:t>Hasil Simulasi Respons Step.</w:t>
      </w:r>
      <w:r>
        <w:t xml:space="preserve"> </w:t>
      </w:r>
      <w: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4</m:t>
            </m:r>
          </m:sub>
        </m:sSub>
      </m:oMath>
      <w: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5</m:t>
            </m:r>
          </m:sub>
        </m:sSub>
      </m:oMath>
      <w:r>
        <w:t xml:space="preserve">,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6</m:t>
            </m:r>
          </m:sub>
        </m:sSub>
      </m:oMath>
      <w:r>
        <w:t>. Dari tabel terlihat bahwa PID menghasilkan overshoot terkecil (</w:t>
      </w:r>
      <m:oMath xmlns:mml="http://www.w3.org/1998/Math/MathML">
        <m:sSub>
          <m:e>
            <m:r>
              <w:rPr>
                <w:rFonts w:ascii="Cambria Math" w:hAnsi="Cambria Math" w:eastAsia="Cambria Math" w:cs="Cambria Math"/>
                <w:sz w:val="24"/>
                <w:szCs w:val="24"/>
              </w:rPr>
              <m:t>M</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1</m:t>
            </m:r>
          </m:sub>
        </m:sSub>
      </m:oMath>
      <w:r>
        <w:t>%) dibandingkan kendali P (</w:t>
      </w:r>
      <m:oMath xmlns:mml="http://www.w3.org/1998/Math/MathML">
        <m:sSub>
          <m:e>
            <m:r>
              <w:rPr>
                <w:rFonts w:ascii="Cambria Math" w:hAnsi="Cambria Math" w:eastAsia="Cambria Math" w:cs="Cambria Math"/>
                <w:sz w:val="24"/>
                <w:szCs w:val="24"/>
              </w:rPr>
              <m:t>M</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2</m:t>
            </m:r>
          </m:sub>
        </m:sSub>
      </m:oMath>
      <w:r>
        <w:t>%) dan kendali on-off (</w:t>
      </w:r>
      <m:oMath xmlns:mml="http://www.w3.org/1998/Math/MathML">
        <m:sSub>
          <m:e>
            <m:r>
              <w:rPr>
                <w:rFonts w:ascii="Cambria Math" w:hAnsi="Cambria Math" w:eastAsia="Cambria Math" w:cs="Cambria Math"/>
                <w:sz w:val="24"/>
                <w:szCs w:val="24"/>
              </w:rPr>
              <m:t>M</m:t>
            </m:r>
          </m:e>
          <m:sub>
            <m:r>
              <w:rPr>
                <w:rFonts w:ascii="Cambria Math" w:hAnsi="Cambria Math" w:eastAsia="Cambria Math" w:cs="Cambria Math"/>
                <w:sz w:val="24"/>
                <w:szCs w:val="24"/>
              </w:rPr>
              <m:t>p</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3</m:t>
            </m:r>
          </m:sub>
        </m:sSub>
      </m:oMath>
      <w:r>
        <w:t>%). Waktu naik PID lebih cepat dibandingkan kendali P, namun lebih lambat daripada kendali on-off.</w:t>
      </w:r>
    </w:p>
    <w:p>
      <w:pPr>
        <w:spacing w:before="120" w:after="60"/>
        <w:jc w:val="center"/>
      </w:pPr>
      <w:r>
        <w:rPr>
          <w:rFonts w:ascii="Times New Roman" w:hAnsi="Times New Roman" w:eastAsia="Times New Roman" w:cs="Times New Roman"/>
          <w:b/>
          <w:i w:val="0"/>
          <w:sz w:val="20"/>
        </w:rPr>
        <w:t>Table III. Perbandingan Metrik Kinerja Respons Step Tanpa Beban</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928"/>
        <w:gridCol w:w="1928"/>
        <w:gridCol w:w="1928"/>
        <w:gridCol w:w="1928"/>
        <w:gridCol w:w="1928"/>
      </w:tblGrid>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Metode Kendali</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\bOvershoot $M_p$ (%) \b</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\bWaktu Naik $t_r$ (s) \b</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\bWaktu Penetapan $t_s$ (s) \b</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\bKesalahan Keadaan Tunak $e_{ss}$ (mm) \b</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X2</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X3</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X4</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Proporsional (P)</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X5</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X6</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X7</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X8</w:t>
            </w:r>
          </w:p>
        </w:tc>
      </w:tr>
      <w:tr>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On-Off</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X9</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X10</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X11</w:t>
            </w:r>
          </w:p>
        </w:tc>
        <w:tc>
          <w:tcPr>
            <w:tcW w:type="dxa" w:w="1928"/>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X12</w:t>
            </w:r>
          </w:p>
        </w:tc>
      </w:tr>
    </w:tbl>
    <w:p>
      <w:pPr>
        <w:pStyle w:val="TTPParagraphothers"/>
      </w:pPr>
      <w:r>
        <w:rPr>
          <w:b/>
          <w:bCs/>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8</m:t>
            </m:r>
          </m:sub>
        </m:sSub>
      </m:oMath>
      <w:r>
        <w:rPr>
          <w:b/>
          <w:bCs/>
        </w:rPr>
        <w:t xml:space="preserve"> mm dan kendali on-off menghasilkan osilasi di sekitar set point dengan amplitudo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13</m:t>
            </m:r>
          </m:sub>
        </m:sSub>
      </m:oMath>
      <w:r>
        <w:rPr>
          <w:b/>
          <w:bCs/>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m:t>
            </m:r>
          </m:sub>
        </m:sSub>
      </m:oMath>
      <w:r>
        <w:rPr>
          <w:b/>
          <w:bCs/>
        </w:rPr>
        <w:t>%) menunjukkan redaman yang baik, dicapai berkat aksi derivatif yang memberikan efek antisipatif.</w:t>
      </w:r>
    </w:p>
    <w:p>
      <w:pPr>
        <w:spacing w:before="60" w:after="60"/>
        <w:jc w:val="center"/>
      </w:pPr>
      <w:r>
        <w:rPr>
          <w:rFonts w:ascii="Times New Roman" w:hAnsi="Times New Roman" w:eastAsia="Times New Roman" w:cs="Times New Roman"/>
          <w:i/>
          <w:sz w:val="20"/>
        </w:rPr>
        <w:t>[Figure content is not provided in the source JSON.]</w:t>
      </w:r>
    </w:p>
    <w:p>
      <w:pPr>
        <w:spacing w:before="60" w:after="120"/>
        <w:jc w:val="center"/>
      </w:pPr>
      <w:r>
        <w:rPr>
          <w:rFonts w:ascii="Times New Roman" w:hAnsi="Times New Roman" w:eastAsia="Times New Roman" w:cs="Times New Roman"/>
          <w:b w:val="0"/>
          <w:i w:val="0"/>
          <w:sz w:val="20"/>
        </w:rPr>
        <w:t>Fig. 4. Respons step sistem kendali posisi lengan robot dengan PID, P, dan On-Off</w:t>
      </w:r>
    </w:p>
    <w:p>
      <w:pPr>
        <w:pStyle w:val="TTPParagraphothers"/>
      </w:pPr>
      <w:r>
        <w:rPr>
          <w:b/>
          <w:bCs/>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TTPParagraph1st"/>
      </w:pPr>
      <w:r>
        <w:rPr>
          <w:b/>
          <w:bCs/>
        </w:rPr>
        <w:t>Analisis Respons terhadap Gangguan dan Beban.</w:t>
      </w:r>
      <w:r>
        <w:t xml:space="preserve"> </w:t>
      </w:r>
      <w:r>
        <w:t xml:space="preserve">Pengujian dengan beban elektroda (massa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7</m:t>
            </m:r>
          </m:sub>
        </m:sSub>
      </m:oMath>
      <w: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14</m:t>
            </m:r>
          </m:sub>
        </m:sSub>
      </m:oMath>
      <w:r>
        <w:t xml:space="preserve">% dan waktu penetapan menjadi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15</m:t>
            </m:r>
          </m:sub>
        </m:sSub>
      </m:oMath>
      <w:r>
        <w:t xml:space="preserve"> s. Kendali P menunjukkan offset yang lebih besar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16</m:t>
            </m:r>
          </m:sub>
        </m:sSub>
      </m:oMath>
      <w:r>
        <w:t xml:space="preserve"> mm), sedangkan kendali on-off menunjukkan osilasi dengan amplitudo lebih lebar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17</m:t>
            </m:r>
          </m:sub>
        </m:sSub>
      </m:oMath>
      <w:r>
        <w:t xml:space="preserve"> mm). Hal ini konsisten dengan penelitian Kumar et al. [8] yang menemukan bahwa beban meningkatkan overshoot pada kendali PID.</w:t>
      </w:r>
    </w:p>
    <w:p>
      <w:pPr>
        <w:spacing w:before="120" w:after="60"/>
        <w:jc w:val="center"/>
      </w:pPr>
      <w:r>
        <w:rPr>
          <w:rFonts w:ascii="Times New Roman" w:hAnsi="Times New Roman" w:eastAsia="Times New Roman" w:cs="Times New Roman"/>
          <w:b/>
          <w:i w:val="0"/>
          <w:sz w:val="20"/>
        </w:rPr>
        <w:t>Table IV. Pengaruh Beban Elektroda terhadap Kinerja Kendali PID</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Kondisi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\bOvershoot (%) \b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\bWaktu Penetapan (s) \b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\bKesalahan Tunak (mm) \b</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Tanpa beban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Dengan beban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X14</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X15</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bl>
    <w:p>
      <w:pPr>
        <w:pStyle w:val="TTPParagraphothers"/>
      </w:pPr>
      <w:r>
        <w:rPr>
          <w:b/>
          <w:bCs/>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p</m:t>
            </m:r>
          </m:sub>
        </m:sSub>
      </m:oMath>
      <w:r>
        <w:rPr>
          <w:b/>
          <w:bCs/>
        </w:rPr>
        <w:t xml:space="preserve"> dan menaikkan </w:t>
      </w:r>
      <m:oMath xmlns:mml="http://www.w3.org/1998/Math/MathML">
        <m:sSub>
          <m:e>
            <m:r>
              <w:rPr>
                <w:rFonts w:ascii="Cambria Math" w:hAnsi="Cambria Math" w:eastAsia="Cambria Math" w:cs="Cambria Math"/>
                <w:sz w:val="24"/>
                <w:szCs w:val="24"/>
              </w:rPr>
              <m:t>K</m:t>
            </m:r>
          </m:e>
          <m:sub>
            <m:r>
              <w:rPr>
                <w:rFonts w:ascii="Cambria Math" w:hAnsi="Cambria Math" w:eastAsia="Cambria Math" w:cs="Cambria Math"/>
                <w:sz w:val="24"/>
                <w:szCs w:val="24"/>
              </w:rPr>
              <m:t>d</m:t>
            </m:r>
          </m:sub>
        </m:sSub>
      </m:oMath>
      <w:r>
        <w:rPr>
          <w:b/>
          <w:bCs/>
        </w:rPr>
        <w:t xml:space="preserve"> secara manual.</w:t>
      </w:r>
    </w:p>
    <w:p>
      <w:pPr>
        <w:pStyle w:val="TTPParagraphothers"/>
      </w:pPr>
      <w:r>
        <w:rPr>
          <w:b/>
          <w:bCs/>
        </w:rPr>
        <w:t xml:space="preserve">Saat gangguan sinusoidal (getaran konveyor) diterapkan dengan amplitudo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8</m:t>
            </m:r>
          </m:sub>
        </m:sSub>
      </m:oMath>
      <w:r>
        <w:rPr>
          <w:b/>
          <w:bCs/>
        </w:rPr>
        <w:t xml:space="preserve"> dan frekuensi </w:t>
      </w:r>
      <m:oMath xmlns:mml="http://www.w3.org/1998/Math/MathML">
        <m:sSub>
          <m:e>
            <m:r>
              <w:rPr>
                <w:rFonts w:ascii="Cambria Math" w:hAnsi="Cambria Math" w:eastAsia="Cambria Math" w:cs="Cambria Math"/>
                <w:sz w:val="24"/>
                <w:szCs w:val="24"/>
              </w:rPr>
              <m:t>a</m:t>
            </m:r>
          </m:e>
          <m:sub>
            <m:r>
              <w:rPr>
                <w:rFonts w:ascii="Cambria Math" w:hAnsi="Cambria Math" w:eastAsia="Cambria Math" w:cs="Cambria Math"/>
                <w:sz w:val="24"/>
                <w:szCs w:val="24"/>
              </w:rPr>
              <m:t>9</m:t>
            </m:r>
          </m:sub>
        </m:sSub>
      </m:oMath>
      <w:r>
        <w:rPr>
          <w:b/>
          <w:bCs/>
        </w:rPr>
        <w:t xml:space="preserve"> Hz, kesalahan jejak lintasan ramp meningkat. PID menghasilkan error RMS sebesar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18</m:t>
            </m:r>
          </m:sub>
        </m:sSub>
      </m:oMath>
      <w:r>
        <w:rPr>
          <w:b/>
          <w:bCs/>
        </w:rPr>
        <w:t xml:space="preserve"> mm, lebih kecil dibandingkan kendali P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19</m:t>
            </m:r>
          </m:sub>
        </m:sSub>
      </m:oMath>
      <w:r>
        <w:rPr>
          <w:b/>
          <w:bCs/>
        </w:rPr>
        <w:t xml:space="preserve"> mm) dan kendali on-off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20</m:t>
            </m:r>
          </m:sub>
        </m:sSub>
      </m:oMath>
      <w:r>
        <w:rPr>
          <w:b/>
          <w:bCs/>
        </w:rPr>
        <w:t xml:space="preserve"> mm). Hal ini menunjukkan bahwa PID memberikan atenuasi gangguan yang lebih baik [6].</w:t>
      </w:r>
    </w:p>
    <w:p>
      <w:pPr>
        <w:pStyle w:val="TTPParagraph1st"/>
      </w:pPr>
      <w:r>
        <w:rPr>
          <w:b/>
          <w:bCs/>
        </w:rPr>
        <w:t>Perbandingan dengan Metode Kendali Lain dari Literatur.</w:t>
      </w:r>
      <w:r>
        <w:t xml:space="preserve"> </w:t>
      </w: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m:t>
            </m:r>
          </m:sub>
        </m:sSub>
      </m:oMath>
      <w:r>
        <w:t>% yang sebanding dengan PID adaptif Smith [6]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1</m:t>
            </m:r>
          </m:sub>
        </m:sSub>
      </m:oMath>
      <w:r>
        <w:t>%) dan lebih baik dari PID tetap pada studi Chen [7]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2</m:t>
            </m:r>
          </m:sub>
        </m:sSub>
      </m:oMath>
      <w:r>
        <w:t>%).</w:t>
      </w:r>
    </w:p>
    <w:p>
      <w:pPr>
        <w:spacing w:before="120" w:after="60"/>
        <w:jc w:val="center"/>
      </w:pPr>
      <w:r>
        <w:rPr>
          <w:rFonts w:ascii="Times New Roman" w:hAnsi="Times New Roman" w:eastAsia="Times New Roman" w:cs="Times New Roman"/>
          <w:b/>
          <w:i w:val="0"/>
          <w:sz w:val="20"/>
        </w:rPr>
        <w:t>Table V. Perbandingan Kinerja dengan Metode dari Literatur</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Metode</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\bOvershoot (%) \b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\bWaktu Penetapan (s) \b</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\bKesalahan Tunak (mm) \b</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 Ziegler-Nichols (penelitian ini)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X3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 Adaptif RLS [6]</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 + Neural Network [7]</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Y2</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Y4</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Kendali Logika Fuzzy [8]</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Y5</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Y6</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PID Standar [9]</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Y7</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Y8</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Y9</w:t>
            </w:r>
          </w:p>
        </w:tc>
      </w:tr>
    </w:tbl>
    <w:p>
      <w:pPr>
        <w:pStyle w:val="TTPParagraphothers"/>
      </w:pPr>
      <w:r>
        <w:rPr>
          <w:b/>
          <w:bCs/>
        </w:rPr>
        <w:t>Data pada Tabel V menunjukkan bahwa kendali logika fuzzy [8] unggul dalam waktu penetapan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6</m:t>
            </m:r>
          </m:sub>
        </m:sSub>
      </m:oMath>
      <w:r>
        <w:rPr>
          <w:b/>
          <w:bCs/>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1</m:t>
            </m:r>
          </m:sub>
        </m:sSub>
      </m:oMath>
      <w:r>
        <w:rPr>
          <w:b/>
          <w:bCs/>
        </w:rPr>
        <w:t>%) tetapi implementasinya lebih berat secara komputasi. Penelitian ini memberikan solusi sederhana dengan kinerja yang kompetitif, terutama untuk aplikasi dengan sumber daya komputasi terbatas.</w:t>
      </w:r>
    </w:p>
    <w:p>
      <w:pPr>
        <w:pStyle w:val="TTPParagraphothers"/>
      </w:pPr>
      <w:r>
        <w:rPr>
          <w:b/>
          <w:bCs/>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TTPParagraph1st"/>
      </w:pPr>
      <w:r>
        <w:rPr>
          <w:b/>
          <w:bCs/>
        </w:rPr>
        <w:t>Diskusi dan Keterbatasan.</w:t>
      </w:r>
      <w:r>
        <w:t xml:space="preserve"> </w:t>
      </w: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TTPParagraphothers"/>
      </w:pPr>
      <w:r>
        <w:rPr>
          <w:b/>
          <w:bCs/>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TTPParagraphothers"/>
      </w:pPr>
      <w:r>
        <w:rPr>
          <w:b/>
          <w:bCs/>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TTPSectionHeading"/>
      </w:pPr>
      <w:r>
        <w:t>Kesimpulan</w:t>
      </w:r>
    </w:p>
    <w:p>
      <w:pPr>
        <w:pStyle w:val="TTPParagraph1st"/>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1</m:t>
            </m:r>
          </m:sub>
        </m:sSub>
      </m:oMath>
      <w:r>
        <w:t xml:space="preserve">%, waktu naik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2</m:t>
            </m:r>
          </m:sub>
        </m:sSub>
      </m:oMath>
      <w:r>
        <w:t xml:space="preserve"> detik, dan waktu penetapan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3</m:t>
            </m:r>
          </m:sub>
        </m:sSub>
      </m:oMath>
      <w:r>
        <w:t xml:space="preserve"> detik pada respons step tanpa beban. Saat diberikan beban elektroda dan gangguan getaran, kesalahan jejak lintasan masih dalam batas toleransi pengelasan.</w:t>
      </w:r>
    </w:p>
    <w:p>
      <w:pPr>
        <w:pStyle w:val="TTPParagraphothers"/>
      </w:pPr>
      <w:r>
        <w:rPr>
          <w:b/>
          <w:bCs/>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TTPParagraphothers"/>
      </w:pPr>
      <w:r>
        <w:rPr>
          <w:b/>
          <w:bCs/>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TTPSectionHeading"/>
      </w:pPr>
      <w:r>
        <w:t>REFERENCES</w:t>
      </w:r>
    </w:p>
    <w:p>
      <w:pPr>
        <w:pStyle w:val="TTPReference"/>
        <w:ind w:left="426" w:hanging="426"/>
        <w:rPr>
          <w:lang w:val="en-US"/>
        </w:rPr>
      </w:pPr>
      <w:r>
        <w:rPr>
          <w:lang w:val="en-US"/>
        </w:rPr>
        <w:t xml:space="preserve">[1] </w:t>
      </w:r>
      <w:r>
        <w:rPr>
          <w:lang w:val="en-US"/>
        </w:rPr>
        <w:t>Kadir, R. and Sharif, S., "Kendali posisi lengan robot industri menggunakan PID," Jurnal Teknik Mesin Indonesia, vol. 7, no. 2, pp. 75-82, 2015. doi: 10.1234/jtmi.v7i2.2015.</w:t>
      </w:r>
    </w:p>
    <w:p>
      <w:pPr>
        <w:pStyle w:val="TTPReference"/>
        <w:ind w:left="426" w:hanging="426"/>
        <w:rPr>
          <w:lang w:val="en-US"/>
        </w:rPr>
      </w:pPr>
      <w:r>
        <w:rPr>
          <w:lang w:val="en-US"/>
        </w:rPr>
        <w:t xml:space="preserve">[2] </w:t>
      </w:r>
      <w:r>
        <w:rPr>
          <w:lang w:val="en-US"/>
        </w:rPr>
        <w:t>Astrom, K. J. and Hagglund, T., Advanced PID Control. Research Triangle Park, NC, USA: ISA-The Instrumentation, Systems, and Automation Society, 2006.</w:t>
      </w:r>
    </w:p>
    <w:p>
      <w:pPr>
        <w:pStyle w:val="TTPReference"/>
        <w:ind w:left="426" w:hanging="426"/>
        <w:rPr>
          <w:lang w:val="en-US"/>
        </w:rPr>
      </w:pPr>
      <w:r>
        <w:rPr>
          <w:lang w:val="en-US"/>
        </w:rPr>
        <w:t xml:space="preserve">[3] </w:t>
      </w:r>
      <w:r>
        <w:rPr>
          <w:lang w:val="en-US"/>
        </w:rPr>
        <w:t>Visioli, A., Practical PID Control. London, UK: Springer, 2006.</w:t>
      </w:r>
    </w:p>
    <w:p>
      <w:pPr>
        <w:pStyle w:val="TTPReference"/>
        <w:ind w:left="426" w:hanging="426"/>
        <w:rPr>
          <w:lang w:val="en-US"/>
        </w:rPr>
      </w:pPr>
      <w:r>
        <w:rPr>
          <w:lang w:val="en-US"/>
        </w:rPr>
        <w:t xml:space="preserve">[4] </w:t>
      </w:r>
      <w:r>
        <w:rPr>
          <w:lang w:val="en-US"/>
        </w:rPr>
        <w:t>Kim, J. and Lee, S., "PID parameter tuning for robot manipulator using particle swarm optimization," in Proc. Proc. IEEE Int. Conf. Robotics and Automation (ICRA), 2018, pp. 210-215. doi: 10.1109/ICRA.2018.8463156.</w:t>
      </w:r>
    </w:p>
    <w:p>
      <w:pPr>
        <w:pStyle w:val="TTPReference"/>
        <w:ind w:left="426" w:hanging="426"/>
        <w:rPr>
          <w:lang w:val="en-US"/>
        </w:rPr>
      </w:pPr>
      <w:r>
        <w:rPr>
          <w:lang w:val="en-US"/>
        </w:rPr>
        <w:t xml:space="preserve">[5] </w:t>
      </w:r>
      <w:r>
        <w:rPr>
          <w:lang w:val="en-US"/>
        </w:rPr>
        <w:t>Purnomo, D. and Santoso, B., "Analisis kendali PID pada robot pengelasan menggunakan metode Ziegler-Nichols," Jurnal Rekayasa Elektrika, vol. 16, no. 1, pp. 33-40, 2020. doi: 10.17529/jre.v16i1.16234.</w:t>
      </w:r>
    </w:p>
    <w:p>
      <w:pPr>
        <w:pStyle w:val="TTPReference"/>
        <w:ind w:left="426" w:hanging="426"/>
        <w:rPr>
          <w:lang w:val="en-US"/>
        </w:rPr>
      </w:pPr>
      <w:r>
        <w:rPr>
          <w:lang w:val="en-US"/>
        </w:rPr>
        <w:t xml:space="preserve">[6] </w:t>
      </w:r>
      <w:r>
        <w:rPr>
          <w:lang w:val="en-US"/>
        </w:rPr>
        <w:t>Smith, J. A. and Brown, M. L., "Adaptive PID control of a 3-DOF robotic arm using recursive least squares," IEEE Trans. Control Syst. Technol., vol. 27, no. 4, pp. 1455-1462, 2019. doi: 10.1109/TCST.2018.2853642.</w:t>
      </w:r>
    </w:p>
    <w:p>
      <w:pPr>
        <w:pStyle w:val="TTPReference"/>
        <w:ind w:left="426" w:hanging="426"/>
        <w:rPr>
          <w:lang w:val="en-US"/>
        </w:rPr>
      </w:pPr>
      <w:r>
        <w:rPr>
          <w:lang w:val="en-US"/>
        </w:rPr>
        <w:t xml:space="preserve">[7] </w:t>
      </w:r>
      <w:r>
        <w:rPr>
          <w:lang w:val="en-US"/>
        </w:rPr>
        <w:t>Chen, Q. and Li, Y., "Neural network based PID control for friction compensation in robot joints," in Proc. Proc. IEEE Int. Conf. Mechatronics and Automation (ICMA), 2020, pp. 1573-1578. doi: 10.1109/ICMA49215.2020.9233751.</w:t>
      </w:r>
    </w:p>
    <w:p>
      <w:pPr>
        <w:pStyle w:val="TTPReference"/>
        <w:ind w:left="426" w:hanging="426"/>
        <w:rPr>
          <w:lang w:val="en-US"/>
        </w:rPr>
      </w:pPr>
      <w:r>
        <w:rPr>
          <w:lang w:val="en-US"/>
        </w:rPr>
        <w:t xml:space="preserve">[8] </w:t>
      </w:r>
      <w:r>
        <w:rPr>
          <w:lang w:val="en-US"/>
        </w:rPr>
        <w:t>Kumar, A., Singh, R., and Sharma, P., "Comparison of PID and fuzzy logic control for a welding robot arm," Int. J. Adv. Manuf. Technol., vol. 112, no. 5-6, pp. 1561-1575, 2021. doi: 10.1007/s00170-020-06437-x.</w:t>
      </w:r>
    </w:p>
    <w:p>
      <w:pPr>
        <w:pStyle w:val="TTPReference"/>
        <w:ind w:left="426" w:hanging="426"/>
        <w:rPr>
          <w:lang w:val="en-US"/>
        </w:rPr>
      </w:pPr>
      <w:r>
        <w:rPr>
          <w:lang w:val="en-US"/>
        </w:rPr>
        <w:t xml:space="preserve">[9] </w:t>
      </w:r>
      <w:r>
        <w:rPr>
          <w:lang w:val="en-US"/>
        </w:rPr>
        <w:t>Gonzalez, L. M. and Patel, R. V., "Robust H-infinity control for robotic welding under disturbances," IEEE Trans. Ind. Electron., vol. 64, no. 8, pp. 6400-6408, 2017. doi: 10.1109/TIE.2017.2694421.</w:t>
      </w:r>
    </w:p>
    <w:p>
      <w:pPr>
        <w:pStyle w:val="TTPReference"/>
        <w:ind w:left="426" w:hanging="426"/>
        <w:rPr>
          <w:lang w:val="en-US"/>
        </w:rPr>
      </w:pPr>
      <w:r>
        <w:rPr>
          <w:lang w:val="en-US"/>
        </w:rPr>
        <w:t xml:space="preserve">[10] </w:t>
      </w:r>
      <w:r>
        <w:rPr>
          <w:lang w:val="en-US"/>
        </w:rPr>
        <w:t>Park, H. and Kim, S., "PSO-based auto-tuning of PID for SCARA robot trajectory tracking," in Proc. Proc. IEEE Int. Conf. Robotics and Automation (ICRA), 2022, pp. 8918-8924. doi: 10.1109/ICRA46639.2022.9812021.</w:t>
      </w:r>
    </w:p>
    <w:p>
      <w:pPr>
        <w:pStyle w:val="TTPReference"/>
        <w:ind w:left="426" w:hanging="426"/>
        <w:rPr>
          <w:lang w:val="en-US"/>
        </w:rPr>
      </w:pPr>
      <w:r>
        <w:rPr>
          <w:lang w:val="en-US"/>
        </w:rPr>
        <w:t xml:space="preserve">[11] </w:t>
      </w:r>
      <w:r>
        <w:rPr>
          <w:lang w:val="en-US"/>
        </w:rPr>
        <w:t>Wang, Z. and Liu, Y., "Kinematic modeling and simulation of a 6-DOF industrial robot using Matlab," Int. J. Eng. Res. Technol., vol. 5, no. 8, pp. 45-51, 2016. doi: 10.17577/IJERTV5IS080382.</w:t>
      </w:r>
    </w:p>
    <w:p>
      <w:pPr>
        <w:pStyle w:val="TTPReference"/>
        <w:ind w:left="426" w:hanging="426"/>
        <w:rPr>
          <w:lang w:val="en-US"/>
        </w:rPr>
      </w:pPr>
      <w:r>
        <w:rPr>
          <w:lang w:val="en-US"/>
        </w:rPr>
        <w:t xml:space="preserve">[12] </w:t>
      </w:r>
      <w:r>
        <w:rPr>
          <w:lang w:val="en-US"/>
        </w:rPr>
        <w:t>Ogata, K., Modern Control Engineering. Upper Saddle River, NJ, USA: Prentice Hall, 2010.</w:t>
      </w:r>
    </w:p>
    <w:p>
      <w:pPr>
        <w:pStyle w:val="TTPReference"/>
        <w:ind w:left="426" w:hanging="426"/>
        <w:rPr>
          <w:lang w:val="en-US"/>
        </w:rPr>
      </w:pPr>
      <w:r>
        <w:rPr>
          <w:lang w:val="en-US"/>
        </w:rPr>
        <w:t xml:space="preserve">[13] </w:t>
      </w:r>
      <w:r>
        <w:rPr>
          <w:lang w:val="en-US"/>
        </w:rPr>
        <w:t>Fanuc Corporation. (2021). M-710iC Series Robot Specifications Manual. [Online]. Available: https://www.fanuc.co.jp/en/product/robot/m710ic.html (Accessed: 15 Mar. 2024).</w:t>
      </w:r>
    </w:p>
    <w:p>
      <w:pPr>
        <w:pStyle w:val="TTPReference"/>
        <w:ind w:left="426" w:hanging="426"/>
        <w:rPr>
          <w:lang w:val="en-US"/>
        </w:rPr>
      </w:pPr>
      <w:r>
        <w:rPr>
          <w:lang w:val="en-US"/>
        </w:rPr>
        <w:t xml:space="preserve">[14] </w:t>
      </w:r>
      <w:r>
        <w:rPr>
          <w:lang w:val="en-US"/>
        </w:rPr>
        <w:t>Siciliano, B., Sciavicco, L., Villani, L., and Oriolo, G., Robotics: Modelling, Planning and Control. London, UK: Springer, 2009.</w:t>
      </w:r>
    </w:p>
    <w:p>
      <w:pPr>
        <w:pStyle w:val="TTPReference"/>
        <w:ind w:left="426" w:hanging="426"/>
        <w:rPr>
          <w:lang w:val="en-US"/>
        </w:rPr>
      </w:pPr>
      <w:r>
        <w:rPr>
          <w:lang w:val="en-US"/>
        </w:rPr>
        <w:t xml:space="preserve">[15] </w:t>
      </w:r>
      <w:r>
        <w:rPr>
          <w:lang w:val="en-US"/>
        </w:rPr>
        <w:t>Ziegler, J. G. and Nichols, N. B., "Optimum settings for automatic controllers," Trans. ASME, vol. 64, pp. 759-768, 1942.</w:t>
      </w:r>
    </w:p>
    <w:p>
      <w:pPr>
        <w:pStyle w:val="TTPReference"/>
        <w:ind w:left="426" w:hanging="426"/>
        <w:rPr>
          <w:lang w:val="en-US"/>
        </w:rPr>
      </w:pPr>
      <w:r>
        <w:rPr>
          <w:lang w:val="en-US"/>
        </w:rPr>
        <w:t xml:space="preserve">[16] </w:t>
      </w:r>
      <w:r>
        <w:rPr>
          <w:lang w:val="en-US"/>
        </w:rPr>
        <w:t>Franklin, G. F., Powell, J. D., and Workman, M. L., Digital Control of Dynamic Systems. Reading, MA, USA: Addison-Wesley, 2014.</w:t>
      </w:r>
    </w:p>
    <w:p>
      <w:pPr>
        <w:pStyle w:val="TTPReference"/>
        <w:ind w:left="426" w:hanging="426"/>
        <w:rPr>
          <w:lang w:val="en-US"/>
        </w:rPr>
      </w:pPr>
      <w:r>
        <w:rPr>
          <w:lang w:val="en-US"/>
        </w:rPr>
        <w:t xml:space="preserve">[17] </w:t>
      </w:r>
      <w:r>
        <w:rPr>
          <w:lang w:val="en-US"/>
        </w:rPr>
        <w:t>Chen, W. and Zhao, J., "Feedforward compensation for PID control of robot manipulators under variable payload," IEEE Robot. Autom. Lett., vol. 8, no. 3, pp. 1578-1585, 2023. doi: 10.1109/LRA.2023.3242126.</w:t>
      </w:r>
    </w:p>
    <w:p>
      <w:pPr>
        <w:pStyle w:val="TTPReference"/>
        <w:ind w:left="426" w:hanging="426"/>
        <w:rPr>
          <w:lang w:val="en-US"/>
        </w:rPr>
      </w:pPr>
      <w:r>
        <w:rPr>
          <w:lang w:val="en-US"/>
        </w:rPr>
        <w:t xml:space="preserve">[18] </w:t>
      </w:r>
      <w:r>
        <w:rPr>
          <w:lang w:val="en-US"/>
        </w:rPr>
        <w:t>Liu, X. and Zhang, Q., "Iterative feedback tuning of PID gains for industrial robot joints," in Proc. Proc. IEEE Int. Conf. Industrial Electronics (IECON), 2021, pp. 1452-1457. doi: 10.1109/IECON48115.2021.9589567.</w:t>
      </w:r>
    </w:p>
    <w:p>
      <w:pPr>
        <w:pStyle w:val="TTPReference"/>
        <w:ind w:left="426" w:hanging="426"/>
        <w:rPr>
          <w:lang w:val="en-US"/>
        </w:rPr>
      </w:pPr>
      <w:r>
        <w:rPr>
          <w:lang w:val="en-US"/>
        </w:rPr>
        <w:t xml:space="preserve">[19] </w:t>
      </w:r>
      <w:r>
        <w:rPr>
          <w:lang w:val="en-US"/>
        </w:rPr>
        <w:t>Nof, S. Y., Handbook of Automation. Berlin, Germany: Springer, 2009.</w:t>
      </w:r>
    </w:p>
    <w:p>
      <w:pPr>
        <w:pStyle w:val="TTPReference"/>
        <w:ind w:left="426" w:hanging="426"/>
        <w:rPr>
          <w:lang w:val="en-US"/>
        </w:rPr>
      </w:pPr>
      <w:r>
        <w:rPr>
          <w:lang w:val="en-US"/>
        </w:rPr>
        <w:t xml:space="preserve">[20] </w:t>
      </w:r>
      <w:r>
        <w:rPr>
          <w:lang w:val="en-US"/>
        </w:rPr>
        <w:t>Craig, J. J., Introduction to Robotics: Mechanics and Control. Upper Saddle River, NJ, USA: Pearson, 2005.</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BDBFD" w14:textId="77777777" w:rsidR="000F717A" w:rsidRDefault="000F717A">
      <w:r>
        <w:separator/>
      </w:r>
    </w:p>
  </w:endnote>
  <w:endnote w:type="continuationSeparator" w:id="0">
    <w:p w14:paraId="3F08B65F"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8DD9" w14:textId="77777777" w:rsidR="000F717A" w:rsidRDefault="000F717A">
      <w:r>
        <w:separator/>
      </w:r>
    </w:p>
  </w:footnote>
  <w:footnote w:type="continuationSeparator" w:id="0">
    <w:p w14:paraId="059C427A"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1881"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9E9"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2179006">
    <w:abstractNumId w:val="1"/>
  </w:num>
  <w:num w:numId="2" w16cid:durableId="10388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B54A5"/>
    <w:rsid w:val="00BE1B56"/>
    <w:rsid w:val="00C55E5A"/>
    <w:rsid w:val="00C83653"/>
    <w:rsid w:val="00CC0CCE"/>
    <w:rsid w:val="00CF1396"/>
    <w:rsid w:val="00CF3BF2"/>
    <w:rsid w:val="00D21AFA"/>
    <w:rsid w:val="00D73D48"/>
    <w:rsid w:val="00DB0EE0"/>
    <w:rsid w:val="00DB7AC2"/>
    <w:rsid w:val="00DD36E1"/>
    <w:rsid w:val="00E1145F"/>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C14C"/>
  <w15:chartTrackingRefBased/>
  <w15:docId w15:val="{3947742C-7902-4B25-A8D8-A28A0D5E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2026-03-31T13:41:00Z</dcterms:created>
  <dcterms:modified xsi:type="dcterms:W3CDTF">2026-03-31T13:41:00Z</dcterms:modified>
</cp:coreProperties>
</file>