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CambriaMath-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left"/>
        <w:rPr>
          <w:rFonts w:ascii="Times New Roman" w:cs="Times New Roman" w:eastAsia="Times New Roman" w:hAnsi="Times New Roman"/>
          <w:b w:val="1"/>
          <w:sz w:val="28"/>
          <w:szCs w:val="28"/>
        </w:rPr>
      </w:pPr>
    </w:p>
    <w:p>
      <w:pPr>
        <w:spacing w:line="240" w:lineRule="auto"/>
        <w:ind w:left="2880" w:firstLine="720"/>
        <w:jc w:val="left"/>
        <w:rPr>
          <w:rFonts w:ascii="Times New Roman" w:cs="Times New Roman" w:eastAsia="Times New Roman" w:hAnsi="Times New Roman"/>
          <w:sz w:val="28"/>
          <w:szCs w:val="28"/>
        </w:rPr>
      </w:pPr>
      <w:r>
        <w:rPr>
          <w:rFonts w:ascii="Times New Roman" w:cs="Times New Roman" w:eastAsia="Times New Roman" w:hAnsi="Times New Roman"/>
          <w:b w:val="1"/>
          <w:sz w:val="28"/>
          <w:szCs w:val="28"/>
          <w:rtl w:val="0"/>
        </w:rPr>
        <w:t>Perancangan Sistem Kendali PID pada Lengan Robot Industri untuk Peningkatan Presisi Pengelasan Komponen Otomotif</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Annabil Hisyam</w:t>
      </w:r>
      <w:r>
        <w:rPr>
          <w:rFonts w:ascii="Times New Roman" w:cs="Times New Roman" w:eastAsia="Times New Roman" w:hAnsi="Times New Roman"/>
          <w:sz w:val="24"/>
          <w:szCs w:val="24"/>
          <w:vertAlign w:val="superscript"/>
          <w:rtl w:val="0"/>
        </w:rPr>
        <w:t>1*)</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vertAlign w:val="superscript"/>
          <w:rtl w:val="0"/>
        </w:rPr>
        <w:t>1</w:t>
      </w:r>
      <w:r>
        <w:rPr>
          <w:rFonts w:ascii="Times New Roman" w:cs="Times New Roman" w:eastAsia="Times New Roman" w:hAnsi="Times New Roman"/>
          <w:sz w:val="20"/>
          <w:szCs w:val="20"/>
          <w:rtl w:val="0"/>
        </w:rPr>
        <w:t>Universitas Diponegoro, Semarang, Indonesia</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0"/>
          <w:szCs w:val="20"/>
        </w:rPr>
      </w:pPr>
      <w:r>
        <w:rPr>
          <w:rFonts w:ascii="Times New Roman" w:cs="Times New Roman" w:eastAsia="Times New Roman" w:hAnsi="Times New Roman"/>
          <w:i w:val="1"/>
          <w:sz w:val="20"/>
          <w:szCs w:val="20"/>
          <w:vertAlign w:val="superscript"/>
          <w:rtl w:val="0"/>
        </w:rPr>
        <w:t>*</w:t>
      </w:r>
      <w:r>
        <w:rPr>
          <w:rFonts w:ascii="Times New Roman" w:cs="Times New Roman" w:eastAsia="Times New Roman" w:hAnsi="Times New Roman"/>
          <w:i w:val="1"/>
          <w:sz w:val="20"/>
          <w:szCs w:val="20"/>
          <w:rtl w:val="0"/>
        </w:rPr>
        <w:t>Penulis korespondensi, E-mail: annabilhisyammuyassa@students.undip.ac.id</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i/>
          <w:sz w:val="24"/>
          <w:szCs w:val="24"/>
          <w:vertAlign w:val="superscript"/>
          <w:rtl w:val="0"/>
        </w:rPr>
        <w:t>Abstrak</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xml:space="preserve"> mm dan waktu naik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rFonts w:ascii="Times New Roman" w:cs="Times New Roman" w:eastAsia="Times New Roman" w:hAnsi="Times New Roman"/>
          <w:sz w:val="20"/>
          <w:szCs w:val="20"/>
          <w:rtl w:val="0"/>
        </w:rPr>
        <w:t xml:space="preserve"> detik. dengan overshoot maksimum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rFonts w:ascii="Times New Roman" w:cs="Times New Roman" w:eastAsia="Times New Roman" w:hAnsi="Times New Roman"/>
          <w:sz w:val="20"/>
          <w:szCs w:val="20"/>
          <w:rtl w:val="0"/>
        </w:rPr>
        <w:t xml:space="preserve"> persen. Dibandingkan dengan kendali proporsional murni dan kendali on-off, PID memberikan perbaikan waktu penetapan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4</m:t>
            </m:r>
          </m:sub>
        </m:sSub>
      </m:oMath>
      <w:r>
        <w:rPr>
          <w:rFonts w:ascii="Times New Roman" w:cs="Times New Roman" w:eastAsia="Times New Roman" w:hAnsi="Times New Roman"/>
          <w:sz w:val="20"/>
          <w:szCs w:val="20"/>
          <w:rtl w:val="0"/>
        </w:rPr>
        <w:t xml:space="preserve"> persen dan penurunan overshoot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5</m:t>
            </m:r>
          </m:sub>
        </m:sSub>
      </m:oMath>
      <w:r>
        <w:rPr>
          <w:rFonts w:ascii="Times New Roman" w:cs="Times New Roman" w:eastAsia="Times New Roman" w:hAnsi="Times New Roman"/>
          <w:sz w:val="20"/>
          <w:szCs w:val="20"/>
          <w:rtl w:val="0"/>
        </w:rPr>
        <w:t xml:space="preserve"> persen. Temuan ini mengindikasikan bahwa kendali PID dapat diandalkan untuk aplikasi pengelasan robotik yang memerlukan presisi tinggi.</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Kata kunci: kendali PID, lengan robot, pengelasan otomotif, presisi, simulasi MATLAB, Ziegler-Nichols</w:t>
      </w: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8"/>
          <w:szCs w:val="28"/>
        </w:rPr>
      </w:pPr>
    </w:p>
    <w:p>
      <w:pPr>
        <w:spacing w:line="24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Abstract</w:t>
      </w:r>
    </w:p>
    <w:p>
      <w:pPr>
        <w:spacing w:line="240" w:lineRule="auto"/>
        <w:jc w:val="center"/>
        <w:rPr>
          <w:rFonts w:ascii="Times New Roman" w:cs="Times New Roman" w:eastAsia="Times New Roman" w:hAnsi="Times New Roman"/>
          <w:sz w:val="28"/>
          <w:szCs w:val="28"/>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This paper presents Perancangan Sistem Kendali PID pada Lengan Robot Industri untuk Peningkatan Presisi Pengelasan Komponen Otomotif. A dedicated English abstract was not provided in the source JSON, so this placeholder summary preserves the JTRANSIENT abstract format for verification.</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i w:val="1"/>
          <w:sz w:val="20"/>
          <w:szCs w:val="20"/>
          <w:rtl w:val="0"/>
        </w:rPr>
        <w:t>Keywords: kendali PID, lengan robot, pengelasan otomotif, presisi, simulasi MATLAB, Ziegler-Nichols</w:t>
      </w:r>
    </w:p>
    <w:p>
      <w:pPr>
        <w:spacing w:line="240" w:lineRule="auto"/>
        <w:jc w:val="both"/>
        <w:rPr>
          <w:rFonts w:ascii="Times New Roman" w:cs="Times New Roman" w:eastAsia="Times New Roman" w:hAnsi="Times New Roman"/>
          <w:sz w:val="24"/>
          <w:szCs w:val="24"/>
        </w:rPr>
      </w:pPr>
    </w:p>
    <w:p>
      <w:pPr>
        <w:spacing w:line="240" w:lineRule="auto"/>
        <w:jc w:val="both"/>
        <w:rPr>
          <w:rFonts w:ascii="Times New Roman" w:cs="Times New Roman" w:eastAsia="Times New Roman" w:hAnsi="Times New Roman"/>
          <w:sz w:val="20"/>
          <w:szCs w:val="20"/>
        </w:rPr>
        <w:sectPr>
          <w:headerReference r:id="rId8" w:type="default"/>
          <w:headerReference r:id="rId9" w:type="first"/>
          <w:headerReference r:id="rId10" w:type="even"/>
          <w:footerReference r:id="rId11" w:type="default"/>
          <w:footerReference r:id="rId12" w:type="first"/>
          <w:footerReference r:id="rId13" w:type="even"/>
          <w:pgSz w:h="16839" w:w="11907" w:orient="portrait"/>
          <w:pgMar w:bottom="1418" w:top="1985" w:left="1134" w:right="1134" w:header="720" w:footer="720"/>
          <w:pgNumType w:start="1"/>
          <w:titlePg w:val="1"/>
        </w:sectPr>
      </w:pPr>
    </w:p>
    <w:p>
      <w:pPr>
        <w:spacing w:line="240" w:lineRule="auto"/>
        <w:jc w:val="both"/>
        <w:rPr>
          <w:rFonts w:ascii="Times New Roman" w:cs="Times New Roman" w:eastAsia="Times New Roman" w:hAnsi="Times New Roman"/>
          <w:sz w:val="24"/>
          <w:szCs w:val="24"/>
        </w:rPr>
        <w:sectPr>
          <w:type w:val="continuous"/>
          <w:pgSz w:h="16839" w:w="11907" w:orient="portrait"/>
          <w:pgMar w:bottom="1418" w:top="1985" w:left="1134" w:right="1134" w:header="720" w:footer="720"/>
          <w:pgNumType w:start="1"/>
          <w:cols w:equalWidth="0" w:num="2">
            <w:col w:space="284" w:w="4677.5"/>
            <w:col w:space="0" w:w="4677.5"/>
          </w:cols>
          <w:titlePg w:val="1"/>
        </w:sectPr>
      </w:pP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1. Pendahuluan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Kontribusi spesifik penelitian ini meliputi: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Perancangan model kinematik lengan robot enam derajat kebebasan untuk lintasan pengelasan komponen otomotif.</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Penentuan parameter PID optimal menggunakan metode Ziegler-Nichols kedua yang disesuaikan dengan respons loop tertutup.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Analisis komparatif kinerja kendali PID terhadap kendali proporsional murni dan kendali on-off pada indikator overshoot, waktu naik, waktu penetapan, dan kesalahan keadaan tunak.</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Rekomendasi parameter awal untuk implementasi nyata pada pengontrol lengan robot berbasis mikrokontroler atau PLC.</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2. Tinjauan Pustaka</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Tinjauan pustaka ini mengkaji studi-studi terkait kendali posisi lengan robot serta kerangka teoritis yang mendasari perancangan sistem kendali PID untuk pengelasan.</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2.1.</w:t>
        <w:tab/>
        <w:t>Tinjauan Penelitian Terdahulu</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xml:space="preserve"> mm dibandingkan PID tetap, namun, metode ini memerlukan pembaruan parameter secara online yang membebani prosesor.</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Chen dan Li [7] mengusulkan kendali PID berbasis jaringan syaraf tiruan untuk kompensasi gesekan pada sendi robot. Skema ini berhasil menurunkan overshoot hingga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2</m:t>
            </m:r>
          </m:sub>
        </m:sSub>
      </m:oMath>
      <w:r>
        <w:rPr>
          <w:rFonts w:ascii="Times New Roman" w:cs="Times New Roman" w:eastAsia="Times New Roman" w:hAnsi="Times New Roman"/>
          <w:sz w:val="20"/>
          <w:szCs w:val="20"/>
          <w:rtl w:val="0"/>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Dalam domain pengelasan robotik, Gonzalez et al. [9] merancang kendali solid </w:t>
      </w:r>
      <m:oMath xmlns:mml="http://www.w3.org/1998/Math/MathML">
        <m:sSub>
          <m:e>
            <m:r>
              <w:rPr>
                <w:rFonts w:ascii="Cambria Math" w:hAnsi="Cambria Math" w:eastAsia="Cambria Math" w:cs="Cambria Math"/>
                <w:sz w:val="20"/>
                <w:szCs w:val="20"/>
              </w:rPr>
              <m:t>H</m:t>
            </m:r>
          </m:e>
          <m:sub>
            <m:r>
              <w:rPr>
                <w:rFonts w:ascii="Cambria Math" w:hAnsi="Cambria Math" w:eastAsia="Cambria Math" w:cs="Cambria Math"/>
                <w:sz w:val="20"/>
                <w:szCs w:val="20"/>
              </w:rPr>
              <m:t>∞</m:t>
            </m:r>
          </m:sub>
        </m:sSub>
      </m:oMath>
      <w:r>
        <w:rPr>
          <w:rFonts w:ascii="Times New Roman" w:cs="Times New Roman" w:eastAsia="Times New Roman" w:hAnsi="Times New Roman"/>
          <w:sz w:val="20"/>
          <w:szCs w:val="20"/>
          <w:rtl w:val="0"/>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3</m:t>
            </m:r>
          </m:sub>
        </m:sSub>
      </m:oMath>
      <w:r>
        <w:rPr>
          <w:rFonts w:ascii="Times New Roman" w:cs="Times New Roman" w:eastAsia="Times New Roman" w:hAnsi="Times New Roman"/>
          <w:sz w:val="20"/>
          <w:szCs w:val="20"/>
          <w:rtl w:val="0"/>
        </w:rPr>
        <w:t xml:space="preserve"> detik.</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Selain itu, beberapa studi menggunakan data eksperimental nyata, namun penelitian ini memanfaatkan simulasi untuk menyediakan baseline perbandingan yang terkontrol. Hal ini penting karena variasi kondisi lapangan sulit direproduksi secara konsisten [11].</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2.2.</w:t>
        <w:tab/>
        <w:t>Kerangka Teoritis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Sistem kendali PID terdiri dari tiga komponen: aksi proporsional (P), integral (I), dan derivatif (D). Persamaan kendali PID kontinu dinyatakan oleh</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u(t)=</m:t>
        </m:r>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e(t)+</m:t>
        </m:r>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nary>
          <m:naryPr>
            <m:chr m:val="∫"/>
            <m:limLoc m:val="subSup"/>
            <m:grow m:val="1"/>
            <m:subHide m:val="off"/>
            <m:supHide m:val="off"/>
          </m:naryPr>
          <m:sub>
            <m:r>
              <w:rPr>
                <w:rFonts w:ascii="Cambria Math" w:hAnsi="Cambria Math" w:eastAsia="Cambria Math" w:cs="Cambria Math"/>
                <w:sz w:val="20"/>
                <w:szCs w:val="20"/>
              </w:rPr>
              <m:t>0</m:t>
            </m:r>
          </m:sub>
          <m:sup>
            <m:r>
              <w:rPr>
                <w:rFonts w:ascii="Cambria Math" w:hAnsi="Cambria Math" w:eastAsia="Cambria Math" w:cs="Cambria Math"/>
                <w:sz w:val="20"/>
                <w:szCs w:val="20"/>
              </w:rPr>
              <m:t>t</m:t>
            </m:r>
          </m:sup>
          <m:e/>
        </m:nary>
        <m:r>
          <w:rPr>
            <w:rFonts w:ascii="Cambria Math" w:hAnsi="Cambria Math" w:eastAsia="Cambria Math" w:cs="Cambria Math"/>
            <w:sz w:val="20"/>
            <w:szCs w:val="20"/>
          </w:rPr>
          <m:t>e(τ)dτ+</m:t>
        </m:r>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f>
          <m:fPr>
            <m:type m:val="bar"/>
          </m:fPr>
          <m:num>
            <m:r>
              <w:rPr>
                <w:rFonts w:ascii="Cambria Math" w:hAnsi="Cambria Math" w:eastAsia="Cambria Math" w:cs="Cambria Math"/>
                <w:sz w:val="20"/>
                <w:szCs w:val="20"/>
              </w:rPr>
              <m:t>de(t)</m:t>
            </m:r>
          </m:num>
          <m:den>
            <m:r>
              <w:rPr>
                <w:rFonts w:ascii="Cambria Math" w:hAnsi="Cambria Math" w:eastAsia="Cambria Math" w:cs="Cambria Math"/>
                <w:sz w:val="20"/>
                <w:szCs w:val="20"/>
              </w:rPr>
              <m:t>dt</m:t>
            </m:r>
          </m:den>
        </m:f>
      </m:oMath>
      <w:r>
        <w:rPr>
          <w:rFonts w:ascii="Times New Roman" w:cs="Times New Roman" w:eastAsia="Times New Roman" w:hAnsi="Times New Roman"/>
          <w:sz w:val="20"/>
          <w:szCs w:val="20"/>
          <w:rtl w:val="0"/>
        </w:rPr>
        <w:tab/>
        <w:tab/>
        <w:tab/>
        <w:tab/>
        <w:t>(1)</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dengan </w:t>
      </w:r>
      <m:oMath xmlns:mml="http://www.w3.org/1998/Math/MathML">
        <m:r>
          <w:rPr>
            <w:rFonts w:ascii="Cambria Math" w:hAnsi="Cambria Math" w:eastAsia="Cambria Math" w:cs="Cambria Math"/>
            <w:sz w:val="20"/>
            <w:szCs w:val="20"/>
          </w:rPr>
          <m:t>u(t)</m:t>
        </m:r>
      </m:oMath>
      <w:r>
        <w:rPr>
          <w:rFonts w:ascii="Times New Roman" w:cs="Times New Roman" w:eastAsia="Times New Roman" w:hAnsi="Times New Roman"/>
          <w:sz w:val="20"/>
          <w:szCs w:val="20"/>
          <w:rtl w:val="0"/>
        </w:rPr>
        <w:t xml:space="preserve"> adalah sinyal kontrol, </w:t>
      </w:r>
      <m:oMath xmlns:mml="http://www.w3.org/1998/Math/MathML">
        <m:r>
          <w:rPr>
            <w:rFonts w:ascii="Cambria Math" w:hAnsi="Cambria Math" w:eastAsia="Cambria Math" w:cs="Cambria Math"/>
            <w:sz w:val="20"/>
            <w:szCs w:val="20"/>
          </w:rPr>
          <m:t>e(t)</m:t>
        </m:r>
      </m:oMath>
      <w:r>
        <w:rPr>
          <w:rFonts w:ascii="Times New Roman" w:cs="Times New Roman" w:eastAsia="Times New Roman" w:hAnsi="Times New Roman"/>
          <w:sz w:val="20"/>
          <w:szCs w:val="20"/>
          <w:rtl w:val="0"/>
        </w:rPr>
        <w:t xml:space="preserve"> adalah error posisi (selisih antara posisi referensi dan aktual),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xml:space="preserve"> adalah gain proporsional,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adalah gain integral,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rFonts w:ascii="Times New Roman" w:cs="Times New Roman" w:eastAsia="Times New Roman" w:hAnsi="Times New Roman"/>
          <w:sz w:val="20"/>
          <w:szCs w:val="20"/>
          <w:rtl w:val="0"/>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Pemodelan kinematik lengan robot menggunakan parameter Denavit-Hartenberg (DH) menyediakan hubungan antara sudut sendi dengan posisi dan orientasi ujung lengan. Matriks transformasi homogen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i</m:t>
            </m:r>
          </m:sub>
          <m:sup>
            <m:r>
              <w:rPr>
                <w:rFonts w:ascii="Cambria Math" w:hAnsi="Cambria Math" w:eastAsia="Cambria Math" w:cs="Cambria Math"/>
                <w:sz w:val="20"/>
                <w:szCs w:val="20"/>
              </w:rPr>
              <m:t>i−1</m:t>
            </m:r>
          </m:sup>
        </m:sSubSup>
      </m:oMath>
      <w:r>
        <w:rPr>
          <w:rFonts w:ascii="Times New Roman" w:cs="Times New Roman" w:eastAsia="Times New Roman" w:hAnsi="Times New Roman"/>
          <w:sz w:val="20"/>
          <w:szCs w:val="20"/>
          <w:rtl w:val="0"/>
        </w:rPr>
        <w:t xml:space="preserve"> untuk sendi ke-</w:t>
      </w:r>
      <m:oMath xmlns:mml="http://www.w3.org/1998/Math/MathML">
        <m:r>
          <w:rPr>
            <w:rFonts w:ascii="Cambria Math" w:hAnsi="Cambria Math" w:eastAsia="Cambria Math" w:cs="Cambria Math"/>
            <w:sz w:val="20"/>
            <w:szCs w:val="20"/>
          </w:rPr>
          <m:t>i</m:t>
        </m:r>
      </m:oMath>
      <w:r>
        <w:rPr>
          <w:rFonts w:ascii="Times New Roman" w:cs="Times New Roman" w:eastAsia="Times New Roman" w:hAnsi="Times New Roman"/>
          <w:sz w:val="20"/>
          <w:szCs w:val="20"/>
          <w:rtl w:val="0"/>
        </w:rPr>
        <w:t xml:space="preserve"> didefinisikan oleh parameter </w:t>
      </w:r>
      <m:oMath xmlns:mml="http://www.w3.org/1998/Math/MathML">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d</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dan </w:t>
      </w:r>
      <m:oMath xmlns:mml="http://www.w3.org/1998/Math/MathML">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Rantai kinematik total diperoleh dengan perkalian matriks: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0</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T</m:t>
            </m:r>
          </m:e>
          <m:sub>
            <m:r>
              <w:rPr>
                <w:rFonts w:ascii="Cambria Math" w:hAnsi="Cambria Math" w:eastAsia="Cambria Math" w:cs="Cambria Math"/>
                <w:sz w:val="20"/>
                <w:szCs w:val="20"/>
              </w:rPr>
              <m:t>1</m:t>
            </m:r>
          </m:sub>
          <m:sup>
            <m:r>
              <w:rPr>
                <w:rFonts w:ascii="Cambria Math" w:hAnsi="Cambria Math" w:eastAsia="Cambria Math" w:cs="Cambria Math"/>
                <w:sz w:val="20"/>
                <w:szCs w:val="20"/>
              </w:rPr>
              <m:t>0</m:t>
            </m:r>
          </m:sup>
        </m:sSubSup>
        <m:sSubSup>
          <m:e>
            <m:r>
              <w:rPr>
                <w:rFonts w:ascii="Cambria Math" w:hAnsi="Cambria Math" w:eastAsia="Cambria Math" w:cs="Cambria Math"/>
                <w:sz w:val="20"/>
                <w:szCs w:val="20"/>
              </w:rPr>
              <m:t>T</m:t>
            </m:r>
          </m:e>
          <m:sub>
            <m:r>
              <w:rPr>
                <w:rFonts w:ascii="Cambria Math" w:hAnsi="Cambria Math" w:eastAsia="Cambria Math" w:cs="Cambria Math"/>
                <w:sz w:val="20"/>
                <w:szCs w:val="20"/>
              </w:rPr>
              <m:t>2</m:t>
            </m:r>
          </m:sub>
          <m:sup>
            <m:r>
              <w:rPr>
                <w:rFonts w:ascii="Cambria Math" w:hAnsi="Cambria Math" w:eastAsia="Cambria Math" w:cs="Cambria Math"/>
                <w:sz w:val="20"/>
                <w:szCs w:val="20"/>
              </w:rPr>
              <m:t>1</m:t>
            </m:r>
          </m:sup>
        </m:sSubSup>
        <m:r>
          <w:rPr>
            <w:rFonts w:ascii="Cambria Math" w:hAnsi="Cambria Math" w:eastAsia="Cambria Math" w:cs="Cambria Math"/>
            <w:sz w:val="20"/>
            <w:szCs w:val="20"/>
          </w:rPr>
          <m:t>…</m:t>
        </m:r>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5</m:t>
            </m:r>
          </m:sup>
        </m:sSubSup>
      </m:oMath>
      <w:r>
        <w:rPr>
          <w:rFonts w:ascii="Times New Roman" w:cs="Times New Roman" w:eastAsia="Times New Roman" w:hAnsi="Times New Roman"/>
          <w:sz w:val="20"/>
          <w:szCs w:val="20"/>
          <w:rtl w:val="0"/>
        </w:rPr>
        <w:t>.</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i</m:t>
            </m:r>
          </m:sub>
        </m:sSub>
        <m:r>
          <w:rPr>
            <w:rFonts w:ascii="Cambria Math" w:hAnsi="Cambria Math" w:eastAsia="Cambria Math" w:cs="Cambria Math"/>
            <w:sz w:val="20"/>
            <w:szCs w:val="20"/>
          </w:rPr>
          <m:t>i−1=[</m:t>
        </m:r>
        <m:m>
          <m:mPr>
            <m:baseJc m:val="center"/>
            <m:plcHide m:val="on"/>
            <m:mcs>
              <m:mc>
                <m:mcPr>
                  <m:count m:val="4"/>
                  <m:mcJc m:val="center"/>
                </m:mcPr>
              </m:mc>
            </m:mcs>
          </m:mPr>
          <m:mr>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t>−</m:t>
              </m:r>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t>−</m:t>
              </m:r>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a</m:t>
                  </m:r>
                </m:e>
                <m:sub>
                  <m:r>
                    <w:rPr>
                      <w:rFonts w:ascii="Cambria Math" w:hAnsi="Cambria Math" w:eastAsia="Cambria Math" w:cs="Cambria Math"/>
                      <w:sz w:val="20"/>
                      <w:szCs w:val="20"/>
                    </w:rPr>
                    <m:t>i</m:t>
                  </m:r>
                </m:sub>
              </m:sSub>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θ</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t>0</m:t>
              </m:r>
            </m:e>
            <m:e>
              <m:r>
                <w:rPr>
                  <w:rFonts w:ascii="Cambria Math" w:hAnsi="Cambria Math" w:eastAsia="Cambria Math" w:cs="Cambria Math"/>
                  <w:sz w:val="20"/>
                  <w:szCs w:val="20"/>
                </w:rPr>
                <m:rPr>
                  <m:sty m:val="p"/>
                </m:rPr>
                <m:t>sin</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r>
                <w:rPr>
                  <w:rFonts w:ascii="Cambria Math" w:hAnsi="Cambria Math" w:eastAsia="Cambria Math" w:cs="Cambria Math"/>
                  <w:sz w:val="20"/>
                  <w:szCs w:val="20"/>
                </w:rPr>
                <m:rPr>
                  <m:sty m:val="p"/>
                </m:rPr>
                <m:t>cos</m:t>
              </m:r>
              <m:sSub>
                <m:e>
                  <m:r>
                    <w:rPr>
                      <w:rFonts w:ascii="Cambria Math" w:hAnsi="Cambria Math" w:eastAsia="Cambria Math" w:cs="Cambria Math"/>
                      <w:sz w:val="20"/>
                      <w:szCs w:val="20"/>
                    </w:rPr>
                    <m:t>α</m:t>
                  </m:r>
                </m:e>
                <m:sub>
                  <m:r>
                    <w:rPr>
                      <w:rFonts w:ascii="Cambria Math" w:hAnsi="Cambria Math" w:eastAsia="Cambria Math" w:cs="Cambria Math"/>
                      <w:sz w:val="20"/>
                      <w:szCs w:val="20"/>
                    </w:rPr>
                    <m:t>i</m:t>
                  </m:r>
                </m:sub>
              </m:sSub>
            </m:e>
            <m:e>
              <m:sSub>
                <m:e>
                  <m:r>
                    <w:rPr>
                      <w:rFonts w:ascii="Cambria Math" w:hAnsi="Cambria Math" w:eastAsia="Cambria Math" w:cs="Cambria Math"/>
                      <w:sz w:val="20"/>
                      <w:szCs w:val="20"/>
                    </w:rPr>
                    <m:t>d</m:t>
                  </m:r>
                </m:e>
                <m:sub>
                  <m:r>
                    <w:rPr>
                      <w:rFonts w:ascii="Cambria Math" w:hAnsi="Cambria Math" w:eastAsia="Cambria Math" w:cs="Cambria Math"/>
                      <w:sz w:val="20"/>
                      <w:szCs w:val="20"/>
                    </w:rPr>
                    <m:t>i</m:t>
                  </m:r>
                </m:sub>
              </m:sSub>
            </m:e>
          </m:mr>
          <m:mr>
            <m:e>
              <m:r>
                <w:rPr>
                  <w:rFonts w:ascii="Cambria Math" w:hAnsi="Cambria Math" w:eastAsia="Cambria Math" w:cs="Cambria Math"/>
                  <w:sz w:val="20"/>
                  <w:szCs w:val="20"/>
                </w:rPr>
                <m:t>0</m:t>
              </m:r>
            </m:e>
            <m:e>
              <m:r>
                <w:rPr>
                  <w:rFonts w:ascii="Cambria Math" w:hAnsi="Cambria Math" w:eastAsia="Cambria Math" w:cs="Cambria Math"/>
                  <w:sz w:val="20"/>
                  <w:szCs w:val="20"/>
                </w:rPr>
                <m:t>0</m:t>
              </m:r>
            </m:e>
            <m:e>
              <m:r>
                <w:rPr>
                  <w:rFonts w:ascii="Cambria Math" w:hAnsi="Cambria Math" w:eastAsia="Cambria Math" w:cs="Cambria Math"/>
                  <w:sz w:val="20"/>
                  <w:szCs w:val="20"/>
                </w:rPr>
                <m:t>0</m:t>
              </m:r>
            </m:e>
            <m:e>
              <m:r>
                <w:rPr>
                  <w:rFonts w:ascii="Cambria Math" w:hAnsi="Cambria Math" w:eastAsia="Cambria Math" w:cs="Cambria Math"/>
                  <w:sz w:val="20"/>
                  <w:szCs w:val="20"/>
                </w:rPr>
                <m:t>1</m:t>
              </m:r>
            </m:e>
          </m:mr>
        </m:m>
        <m:r>
          <w:rPr>
            <w:rFonts w:ascii="Cambria Math" w:hAnsi="Cambria Math" w:eastAsia="Cambria Math" w:cs="Cambria Math"/>
            <w:sz w:val="20"/>
            <w:szCs w:val="20"/>
          </w:rPr>
          <m:t>]</m:t>
        </m:r>
      </m:oMath>
      <w:r>
        <w:rPr>
          <w:rFonts w:ascii="Times New Roman" w:cs="Times New Roman" w:eastAsia="Times New Roman" w:hAnsi="Times New Roman"/>
          <w:sz w:val="20"/>
          <w:szCs w:val="20"/>
          <w:rtl w:val="0"/>
        </w:rPr>
        <w:tab/>
        <w:tab/>
        <w:tab/>
        <w:tab/>
        <w:t>(2)</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Persamaan (2) di atas digunakan untuk menghitung posisi ujung lengan dalam kerangka koordinat basis. Untuk lintasan pengelasan, diperlukan perencanaan jalur dalam ruang kerja yang menghasilkan trayektori posisi dan orientasi yang halus.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Metode penalaan Ziegler-Nichols kedua (closed-loop) dilakukan dengan mengatur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=0</m:t>
        </m:r>
      </m:oMath>
      <w:r>
        <w:rPr>
          <w:rFonts w:ascii="Times New Roman" w:cs="Times New Roman" w:eastAsia="Times New Roman" w:hAnsi="Times New Roman"/>
          <w:sz w:val="20"/>
          <w:szCs w:val="20"/>
          <w:rtl w:val="0"/>
        </w:rPr>
        <w:t xml:space="preserve"> lalu meningkatkan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xml:space="preserve"> hingga sistem berosilasi pada batas kestabilan, menghasilkan gain ultimat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r>
        <w:rPr>
          <w:rFonts w:ascii="Times New Roman" w:cs="Times New Roman" w:eastAsia="Times New Roman" w:hAnsi="Times New Roman"/>
          <w:sz w:val="20"/>
          <w:szCs w:val="20"/>
          <w:rtl w:val="0"/>
        </w:rPr>
        <w:t xml:space="preserve"> dan periode ultimat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r>
        <w:rPr>
          <w:rFonts w:ascii="Times New Roman" w:cs="Times New Roman" w:eastAsia="Times New Roman" w:hAnsi="Times New Roman"/>
          <w:sz w:val="20"/>
          <w:szCs w:val="20"/>
          <w:rtl w:val="0"/>
        </w:rPr>
        <w:t>. Parameter PID kemudian ditentukan berdasarkan tabel Ziegler-Nichols klasik. Meskipun sederhana, metode ini memberikan parameter awal yang cukup baik untuk kebanyakan proses industri [12].</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/home/sirobo/papergenerator/backend/tools/Journal/user/anabilhisyam23/c689a97227d0/image/flowchart_tuning.jpg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1. Diagram blok sistem kendali posisi lengan robot dengan kendali PID</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Gambar 1 memperlihatkan diagram blok sistem kendali posisi yang digunakan. Sinyal referensi </w:t>
      </w:r>
      <m:oMath xmlns:mml="http://www.w3.org/1998/Math/MathML">
        <m:r>
          <w:rPr>
            <w:rFonts w:ascii="Cambria Math" w:hAnsi="Cambria Math" w:eastAsia="Cambria Math" w:cs="Cambria Math"/>
            <w:sz w:val="20"/>
            <w:szCs w:val="20"/>
          </w:rPr>
          <m:t>r</m:t>
        </m:r>
      </m:oMath>
      <w:r>
        <w:rPr>
          <w:rFonts w:ascii="Times New Roman" w:cs="Times New Roman" w:eastAsia="Times New Roman" w:hAnsi="Times New Roman"/>
          <w:sz w:val="20"/>
          <w:szCs w:val="20"/>
          <w:rtl w:val="0"/>
        </w:rPr>
        <w:t xml:space="preserve"> berupa posisi sudut sendi yang direncanakan dari lintasan pengelasan. Error </w:t>
      </w:r>
      <m:oMath xmlns:mml="http://www.w3.org/1998/Math/MathML">
        <m:r>
          <w:rPr>
            <w:rFonts w:ascii="Cambria Math" w:hAnsi="Cambria Math" w:eastAsia="Cambria Math" w:cs="Cambria Math"/>
            <w:sz w:val="20"/>
            <w:szCs w:val="20"/>
          </w:rPr>
          <m:t>e=r−y</m:t>
        </m:r>
      </m:oMath>
      <w:r>
        <w:rPr>
          <w:rFonts w:ascii="Times New Roman" w:cs="Times New Roman" w:eastAsia="Times New Roman" w:hAnsi="Times New Roman"/>
          <w:sz w:val="20"/>
          <w:szCs w:val="20"/>
          <w:rtl w:val="0"/>
        </w:rPr>
        <w:t xml:space="preserve"> diumpankan ke pengontrol PID, yang menghasilkan sinyal kontrol </w:t>
      </w:r>
      <m:oMath xmlns:mml="http://www.w3.org/1998/Math/MathML">
        <m:r>
          <w:rPr>
            <w:rFonts w:ascii="Cambria Math" w:hAnsi="Cambria Math" w:eastAsia="Cambria Math" w:cs="Cambria Math"/>
            <w:sz w:val="20"/>
            <w:szCs w:val="20"/>
          </w:rPr>
          <m:t>u</m:t>
        </m:r>
      </m:oMath>
      <w:r>
        <w:rPr>
          <w:rFonts w:ascii="Times New Roman" w:cs="Times New Roman" w:eastAsia="Times New Roman" w:hAnsi="Times New Roman"/>
          <w:sz w:val="20"/>
          <w:szCs w:val="20"/>
          <w:rtl w:val="0"/>
        </w:rPr>
        <w:t xml:space="preserve"> setelah melalui penjenuhan (saturation) untuk membatasi torsi motor. Blok plant terdiri dari dinamika lengan robot termasuk inersia, gesekan, dan kopling antar sendi. Sensor encoder memberikan umpan balik posisi aktual </w:t>
      </w:r>
      <m:oMath xmlns:mml="http://www.w3.org/1998/Math/MathML">
        <m:r>
          <w:rPr>
            <w:rFonts w:ascii="Cambria Math" w:hAnsi="Cambria Math" w:eastAsia="Cambria Math" w:cs="Cambria Math"/>
            <w:sz w:val="20"/>
            <w:szCs w:val="20"/>
          </w:rPr>
          <m:t>y</m:t>
        </m:r>
      </m:oMath>
      <w:r>
        <w:rPr>
          <w:rFonts w:ascii="Times New Roman" w:cs="Times New Roman" w:eastAsia="Times New Roman" w:hAnsi="Times New Roman"/>
          <w:sz w:val="20"/>
          <w:szCs w:val="20"/>
          <w:rtl w:val="0"/>
        </w:rPr>
        <w:t>.</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3. Metodologi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Bab ini menjelaskan langkah-langkah perancangan sistem kendali PID pada lengan robot industri untuk pengelasan. Metode mencakup pemodelan kinematik, penentuan parameter PID, serta prosedur simulasi.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3.1.</w:t>
        <w:tab/>
        <w:t>Desain dan Arsitektur Sistem</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1.</w:t>
        <w:tab/>
        <w:t>Parameter Denavit-Hartenberg Lengan Robot 6-DOF</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599"/>
        <w:gridCol w:w="1079"/>
        <w:gridCol w:w="959"/>
        <w:gridCol w:w="959"/>
        <w:gridCol w:w="1082"/>
      </w:tblGrid>
      <w:tr>
        <w:tc>
          <w:tcPr>
            <w:tcW w:type="dxa" w:w="599"/>
            <w:vAlign w:val="center"/>
          </w:tcPr>
          <w:p>
            <w:pPr>
              <w:jc w:val="center"/>
            </w:pPr>
            <w:r>
              <w:rPr>
                <w:rFonts w:ascii="Arial Narrow" w:hAnsi="Arial Narrow" w:eastAsia="Arial Narrow" w:cs="Arial Narrow"/>
                <w:b/>
                <w:i w:val="0"/>
                <w:sz w:val="16"/>
                <w:u w:val="none"/>
              </w:rPr>
              <w:t>Sendi</w:t>
            </w:r>
          </w:p>
        </w:tc>
        <w:tc>
          <w:tcPr>
            <w:tcW w:type="dxa" w:w="1079"/>
            <w:vAlign w:val="center"/>
          </w:tcPr>
          <w:p>
            <w:pPr>
              <w:jc w:val="center"/>
            </w:pPr>
            <w:r>
              <w:rPr>
                <w:rFonts w:ascii="Arial Narrow" w:hAnsi="Arial Narrow" w:eastAsia="Arial Narrow" w:cs="Arial Narrow"/>
                <w:b/>
                <w:i w:val="0"/>
                <w:sz w:val="16"/>
                <w:u w:val="none"/>
              </w:rPr>
              <w:t>\iθ_i (rad)</w:t>
            </w:r>
          </w:p>
        </w:tc>
        <w:tc>
          <w:tcPr>
            <w:tcW w:type="dxa" w:w="959"/>
            <w:vAlign w:val="center"/>
          </w:tcPr>
          <w:p>
            <w:pPr>
              <w:jc w:val="center"/>
            </w:pPr>
            <w:r>
              <w:rPr>
                <w:rFonts w:ascii="Arial Narrow" w:hAnsi="Arial Narrow" w:eastAsia="Arial Narrow" w:cs="Arial Narrow"/>
                <w:b/>
                <w:i w:val="0"/>
                <w:sz w:val="16"/>
                <w:u w:val="none"/>
              </w:rPr>
              <w:t>\id_i (mm)</w:t>
            </w:r>
          </w:p>
        </w:tc>
        <w:tc>
          <w:tcPr>
            <w:tcW w:type="dxa" w:w="959"/>
            <w:vAlign w:val="center"/>
          </w:tcPr>
          <w:p>
            <w:pPr>
              <w:jc w:val="center"/>
            </w:pPr>
            <w:r>
              <w:rPr>
                <w:rFonts w:ascii="Arial Narrow" w:hAnsi="Arial Narrow" w:eastAsia="Arial Narrow" w:cs="Arial Narrow"/>
                <w:b/>
                <w:i w:val="0"/>
                <w:sz w:val="16"/>
                <w:u w:val="none"/>
              </w:rPr>
              <w:t>\ia_i (mm)</w:t>
            </w:r>
          </w:p>
        </w:tc>
        <w:tc>
          <w:tcPr>
            <w:tcW w:type="dxa" w:w="1082"/>
            <w:vAlign w:val="center"/>
          </w:tcPr>
          <w:p>
            <w:pPr>
              <w:jc w:val="center"/>
            </w:pPr>
            <w:r>
              <w:rPr>
                <w:rFonts w:ascii="Arial Narrow" w:hAnsi="Arial Narrow" w:eastAsia="Arial Narrow" w:cs="Arial Narrow"/>
                <w:b/>
                <w:i w:val="0"/>
                <w:sz w:val="16"/>
                <w:u w:val="none"/>
              </w:rPr>
              <w:t>\iα_i (rad)</w:t>
            </w:r>
          </w:p>
        </w:tc>
      </w:tr>
      <w:tr>
        <w:tc>
          <w:tcPr>
            <w:tcW w:type="dxa" w:w="599"/>
            <w:vAlign w:val="center"/>
          </w:tcPr>
          <w:p>
            <w:pPr>
              <w:jc w:val="center"/>
            </w:pPr>
            <w:r>
              <w:rPr>
                <w:rFonts w:ascii="Arial Narrow" w:hAnsi="Arial Narrow" w:eastAsia="Arial Narrow" w:cs="Arial Narrow"/>
                <w:b w:val="0"/>
                <w:i w:val="0"/>
                <w:sz w:val="16"/>
                <w:u w:val="none"/>
              </w:rPr>
              <w:t>1</w:t>
            </w:r>
          </w:p>
        </w:tc>
        <w:tc>
          <w:tcPr>
            <w:tcW w:type="dxa" w:w="1079"/>
            <w:vAlign w:val="center"/>
          </w:tcPr>
          <w:p>
            <w:pPr>
              <w:jc w:val="center"/>
            </w:pPr>
            <w:r>
              <w:rPr>
                <w:rFonts w:ascii="Arial Narrow" w:hAnsi="Arial Narrow" w:eastAsia="Arial Narrow" w:cs="Arial Narrow"/>
                <w:b w:val="0"/>
                <w:i w:val="0"/>
                <w:sz w:val="16"/>
                <w:u w:val="none"/>
              </w:rPr>
              <w:t>q1</w:t>
            </w:r>
          </w:p>
        </w:tc>
        <w:tc>
          <w:tcPr>
            <w:tcW w:type="dxa" w:w="959"/>
            <w:vAlign w:val="center"/>
          </w:tcPr>
          <w:p>
            <w:pPr>
              <w:jc w:val="center"/>
            </w:pPr>
            <w:r>
              <w:rPr>
                <w:rFonts w:ascii="Arial Narrow" w:hAnsi="Arial Narrow" w:eastAsia="Arial Narrow" w:cs="Arial Narrow"/>
                <w:b w:val="0"/>
                <w:i w:val="0"/>
                <w:sz w:val="16"/>
                <w:u w:val="none"/>
              </w:rPr>
              <w:t>a1</w:t>
            </w:r>
          </w:p>
        </w:tc>
        <w:tc>
          <w:tcPr>
            <w:tcW w:type="dxa" w:w="959"/>
            <w:vAlign w:val="center"/>
          </w:tcPr>
          <w:p>
            <w:pPr>
              <w:jc w:val="center"/>
            </w:pPr>
            <w:r>
              <w:rPr>
                <w:rFonts w:ascii="Arial Narrow" w:hAnsi="Arial Narrow" w:eastAsia="Arial Narrow" w:cs="Arial Narrow"/>
                <w:b w:val="0"/>
                <w:i w:val="0"/>
                <w:sz w:val="16"/>
                <w:u w:val="none"/>
              </w:rPr>
              <w:t>a2</w:t>
            </w:r>
          </w:p>
        </w:tc>
        <w:tc>
          <w:tcPr>
            <w:tcW w:type="dxa" w:w="1082"/>
            <w:vAlign w:val="center"/>
          </w:tcPr>
          <w:p>
            <w:pPr>
              <w:jc w:val="center"/>
            </w:pPr>
            <w:r>
              <w:rPr>
                <w:rFonts w:ascii="Arial Narrow" w:hAnsi="Arial Narrow" w:eastAsia="Arial Narrow" w:cs="Arial Narrow"/>
                <w:b w:val="0"/>
                <w:i w:val="0"/>
                <w:sz w:val="16"/>
                <w:u w:val="none"/>
              </w:rPr>
              <w:t>π/2</w:t>
            </w:r>
          </w:p>
        </w:tc>
      </w:tr>
      <w:tr>
        <w:tc>
          <w:tcPr>
            <w:tcW w:type="dxa" w:w="599"/>
            <w:vAlign w:val="center"/>
          </w:tcPr>
          <w:p>
            <w:pPr>
              <w:jc w:val="center"/>
            </w:pPr>
            <w:r>
              <w:rPr>
                <w:rFonts w:ascii="Arial Narrow" w:hAnsi="Arial Narrow" w:eastAsia="Arial Narrow" w:cs="Arial Narrow"/>
                <w:b w:val="0"/>
                <w:i w:val="0"/>
                <w:sz w:val="16"/>
                <w:u w:val="none"/>
              </w:rPr>
              <w:t>2</w:t>
            </w:r>
          </w:p>
        </w:tc>
        <w:tc>
          <w:tcPr>
            <w:tcW w:type="dxa" w:w="1079"/>
            <w:vAlign w:val="center"/>
          </w:tcPr>
          <w:p>
            <w:pPr>
              <w:jc w:val="center"/>
            </w:pPr>
            <w:r>
              <w:rPr>
                <w:rFonts w:ascii="Arial Narrow" w:hAnsi="Arial Narrow" w:eastAsia="Arial Narrow" w:cs="Arial Narrow"/>
                <w:b w:val="0"/>
                <w:i w:val="0"/>
                <w:sz w:val="16"/>
                <w:u w:val="none"/>
              </w:rPr>
              <w:t>q2</w:t>
            </w:r>
          </w:p>
        </w:tc>
        <w:tc>
          <w:tcPr>
            <w:tcW w:type="dxa" w:w="959"/>
            <w:vAlign w:val="center"/>
          </w:tcPr>
          <w:p>
            <w:pPr>
              <w:jc w:val="center"/>
            </w:pPr>
            <w:r>
              <w:rPr>
                <w:rFonts w:ascii="Arial Narrow" w:hAnsi="Arial Narrow" w:eastAsia="Arial Narrow" w:cs="Arial Narrow"/>
                <w:b w:val="0"/>
                <w:i w:val="0"/>
                <w:sz w:val="16"/>
                <w:u w:val="none"/>
              </w:rPr>
              <w:t>0</w:t>
            </w:r>
          </w:p>
        </w:tc>
        <w:tc>
          <w:tcPr>
            <w:tcW w:type="dxa" w:w="959"/>
            <w:vAlign w:val="center"/>
          </w:tcPr>
          <w:p>
            <w:pPr>
              <w:jc w:val="center"/>
            </w:pPr>
            <w:r>
              <w:rPr>
                <w:rFonts w:ascii="Arial Narrow" w:hAnsi="Arial Narrow" w:eastAsia="Arial Narrow" w:cs="Arial Narrow"/>
                <w:b w:val="0"/>
                <w:i w:val="0"/>
                <w:sz w:val="16"/>
                <w:u w:val="none"/>
              </w:rPr>
              <w:t>a3</w:t>
            </w:r>
          </w:p>
        </w:tc>
        <w:tc>
          <w:tcPr>
            <w:tcW w:type="dxa" w:w="1082"/>
            <w:vAlign w:val="center"/>
          </w:tcPr>
          <w:p>
            <w:pPr>
              <w:jc w:val="center"/>
            </w:pPr>
            <w:r>
              <w:rPr>
                <w:rFonts w:ascii="Arial Narrow" w:hAnsi="Arial Narrow" w:eastAsia="Arial Narrow" w:cs="Arial Narrow"/>
                <w:b w:val="0"/>
                <w:i w:val="0"/>
                <w:sz w:val="16"/>
                <w:u w:val="none"/>
              </w:rPr>
              <w:t>0</w:t>
            </w:r>
          </w:p>
        </w:tc>
      </w:tr>
      <w:tr>
        <w:tc>
          <w:tcPr>
            <w:tcW w:type="dxa" w:w="599"/>
            <w:vAlign w:val="center"/>
          </w:tcPr>
          <w:p>
            <w:pPr>
              <w:jc w:val="center"/>
            </w:pPr>
            <w:r>
              <w:rPr>
                <w:rFonts w:ascii="Arial Narrow" w:hAnsi="Arial Narrow" w:eastAsia="Arial Narrow" w:cs="Arial Narrow"/>
                <w:b w:val="0"/>
                <w:i w:val="0"/>
                <w:sz w:val="16"/>
                <w:u w:val="none"/>
              </w:rPr>
              <w:t>3</w:t>
            </w:r>
          </w:p>
        </w:tc>
        <w:tc>
          <w:tcPr>
            <w:tcW w:type="dxa" w:w="1079"/>
            <w:vAlign w:val="center"/>
          </w:tcPr>
          <w:p>
            <w:pPr>
              <w:jc w:val="center"/>
            </w:pPr>
            <w:r>
              <w:rPr>
                <w:rFonts w:ascii="Arial Narrow" w:hAnsi="Arial Narrow" w:eastAsia="Arial Narrow" w:cs="Arial Narrow"/>
                <w:b w:val="0"/>
                <w:i w:val="0"/>
                <w:sz w:val="16"/>
                <w:u w:val="none"/>
              </w:rPr>
              <w:t>q3</w:t>
            </w:r>
          </w:p>
        </w:tc>
        <w:tc>
          <w:tcPr>
            <w:tcW w:type="dxa" w:w="959"/>
            <w:vAlign w:val="center"/>
          </w:tcPr>
          <w:p>
            <w:pPr>
              <w:jc w:val="center"/>
            </w:pPr>
            <w:r>
              <w:rPr>
                <w:rFonts w:ascii="Arial Narrow" w:hAnsi="Arial Narrow" w:eastAsia="Arial Narrow" w:cs="Arial Narrow"/>
                <w:b w:val="0"/>
                <w:i w:val="0"/>
                <w:sz w:val="16"/>
                <w:u w:val="none"/>
              </w:rPr>
              <w:t>0</w:t>
            </w:r>
          </w:p>
        </w:tc>
        <w:tc>
          <w:tcPr>
            <w:tcW w:type="dxa" w:w="959"/>
            <w:vAlign w:val="center"/>
          </w:tcPr>
          <w:p>
            <w:pPr>
              <w:jc w:val="center"/>
            </w:pPr>
            <w:r>
              <w:rPr>
                <w:rFonts w:ascii="Arial Narrow" w:hAnsi="Arial Narrow" w:eastAsia="Arial Narrow" w:cs="Arial Narrow"/>
                <w:b w:val="0"/>
                <w:i w:val="0"/>
                <w:sz w:val="16"/>
                <w:u w:val="none"/>
              </w:rPr>
              <w:t>a4</w:t>
            </w:r>
          </w:p>
        </w:tc>
        <w:tc>
          <w:tcPr>
            <w:tcW w:type="dxa" w:w="1082"/>
            <w:vAlign w:val="center"/>
          </w:tcPr>
          <w:p>
            <w:pPr>
              <w:jc w:val="center"/>
            </w:pPr>
            <w:r>
              <w:rPr>
                <w:rFonts w:ascii="Arial Narrow" w:hAnsi="Arial Narrow" w:eastAsia="Arial Narrow" w:cs="Arial Narrow"/>
                <w:b w:val="0"/>
                <w:i w:val="0"/>
                <w:sz w:val="16"/>
                <w:u w:val="none"/>
              </w:rPr>
              <w:t>0</w:t>
            </w:r>
          </w:p>
        </w:tc>
      </w:tr>
      <w:tr>
        <w:tc>
          <w:tcPr>
            <w:tcW w:type="dxa" w:w="599"/>
            <w:vAlign w:val="center"/>
          </w:tcPr>
          <w:p>
            <w:pPr>
              <w:jc w:val="center"/>
            </w:pPr>
            <w:r>
              <w:rPr>
                <w:rFonts w:ascii="Arial Narrow" w:hAnsi="Arial Narrow" w:eastAsia="Arial Narrow" w:cs="Arial Narrow"/>
                <w:b w:val="0"/>
                <w:i w:val="0"/>
                <w:sz w:val="16"/>
                <w:u w:val="none"/>
              </w:rPr>
              <w:t>4</w:t>
            </w:r>
          </w:p>
        </w:tc>
        <w:tc>
          <w:tcPr>
            <w:tcW w:type="dxa" w:w="1079"/>
            <w:vAlign w:val="center"/>
          </w:tcPr>
          <w:p>
            <w:pPr>
              <w:jc w:val="center"/>
            </w:pPr>
            <w:r>
              <w:rPr>
                <w:rFonts w:ascii="Arial Narrow" w:hAnsi="Arial Narrow" w:eastAsia="Arial Narrow" w:cs="Arial Narrow"/>
                <w:b w:val="0"/>
                <w:i w:val="0"/>
                <w:sz w:val="16"/>
                <w:u w:val="none"/>
              </w:rPr>
              <w:t>q4</w:t>
            </w:r>
          </w:p>
        </w:tc>
        <w:tc>
          <w:tcPr>
            <w:tcW w:type="dxa" w:w="959"/>
            <w:vAlign w:val="center"/>
          </w:tcPr>
          <w:p>
            <w:pPr>
              <w:jc w:val="center"/>
            </w:pPr>
            <w:r>
              <w:rPr>
                <w:rFonts w:ascii="Arial Narrow" w:hAnsi="Arial Narrow" w:eastAsia="Arial Narrow" w:cs="Arial Narrow"/>
                <w:b w:val="0"/>
                <w:i w:val="0"/>
                <w:sz w:val="16"/>
                <w:u w:val="none"/>
              </w:rPr>
              <w:t>a5</w:t>
            </w:r>
          </w:p>
        </w:tc>
        <w:tc>
          <w:tcPr>
            <w:tcW w:type="dxa" w:w="959"/>
            <w:vAlign w:val="center"/>
          </w:tcPr>
          <w:p>
            <w:pPr>
              <w:jc w:val="center"/>
            </w:pPr>
            <w:r>
              <w:rPr>
                <w:rFonts w:ascii="Arial Narrow" w:hAnsi="Arial Narrow" w:eastAsia="Arial Narrow" w:cs="Arial Narrow"/>
                <w:b w:val="0"/>
                <w:i w:val="0"/>
                <w:sz w:val="16"/>
                <w:u w:val="none"/>
              </w:rPr>
              <w:t>0</w:t>
            </w:r>
          </w:p>
        </w:tc>
        <w:tc>
          <w:tcPr>
            <w:tcW w:type="dxa" w:w="1082"/>
            <w:vAlign w:val="center"/>
          </w:tcPr>
          <w:p>
            <w:pPr>
              <w:jc w:val="center"/>
            </w:pPr>
            <w:r>
              <w:rPr>
                <w:rFonts w:ascii="Arial Narrow" w:hAnsi="Arial Narrow" w:eastAsia="Arial Narrow" w:cs="Arial Narrow"/>
                <w:b w:val="0"/>
                <w:i w:val="0"/>
                <w:sz w:val="16"/>
                <w:u w:val="none"/>
              </w:rPr>
              <w:t>-π/2</w:t>
            </w:r>
          </w:p>
        </w:tc>
      </w:tr>
      <w:tr>
        <w:tc>
          <w:tcPr>
            <w:tcW w:type="dxa" w:w="599"/>
            <w:vAlign w:val="center"/>
          </w:tcPr>
          <w:p>
            <w:pPr>
              <w:jc w:val="center"/>
            </w:pPr>
            <w:r>
              <w:rPr>
                <w:rFonts w:ascii="Arial Narrow" w:hAnsi="Arial Narrow" w:eastAsia="Arial Narrow" w:cs="Arial Narrow"/>
                <w:b w:val="0"/>
                <w:i w:val="0"/>
                <w:sz w:val="16"/>
                <w:u w:val="none"/>
              </w:rPr>
              <w:t>5</w:t>
            </w:r>
          </w:p>
        </w:tc>
        <w:tc>
          <w:tcPr>
            <w:tcW w:type="dxa" w:w="1079"/>
            <w:vAlign w:val="center"/>
          </w:tcPr>
          <w:p>
            <w:pPr>
              <w:jc w:val="center"/>
            </w:pPr>
            <w:r>
              <w:rPr>
                <w:rFonts w:ascii="Arial Narrow" w:hAnsi="Arial Narrow" w:eastAsia="Arial Narrow" w:cs="Arial Narrow"/>
                <w:b w:val="0"/>
                <w:i w:val="0"/>
                <w:sz w:val="16"/>
                <w:u w:val="none"/>
              </w:rPr>
              <w:t>q5</w:t>
            </w:r>
          </w:p>
        </w:tc>
        <w:tc>
          <w:tcPr>
            <w:tcW w:type="dxa" w:w="959"/>
            <w:vAlign w:val="center"/>
          </w:tcPr>
          <w:p>
            <w:pPr>
              <w:jc w:val="center"/>
            </w:pPr>
            <w:r>
              <w:rPr>
                <w:rFonts w:ascii="Arial Narrow" w:hAnsi="Arial Narrow" w:eastAsia="Arial Narrow" w:cs="Arial Narrow"/>
                <w:b w:val="0"/>
                <w:i w:val="0"/>
                <w:sz w:val="16"/>
                <w:u w:val="none"/>
              </w:rPr>
              <w:t>0</w:t>
            </w:r>
          </w:p>
        </w:tc>
        <w:tc>
          <w:tcPr>
            <w:tcW w:type="dxa" w:w="959"/>
            <w:vAlign w:val="center"/>
          </w:tcPr>
          <w:p>
            <w:pPr>
              <w:jc w:val="center"/>
            </w:pPr>
            <w:r>
              <w:rPr>
                <w:rFonts w:ascii="Arial Narrow" w:hAnsi="Arial Narrow" w:eastAsia="Arial Narrow" w:cs="Arial Narrow"/>
                <w:b w:val="0"/>
                <w:i w:val="0"/>
                <w:sz w:val="16"/>
                <w:u w:val="none"/>
              </w:rPr>
              <w:t>0</w:t>
            </w:r>
          </w:p>
        </w:tc>
        <w:tc>
          <w:tcPr>
            <w:tcW w:type="dxa" w:w="1082"/>
            <w:vAlign w:val="center"/>
          </w:tcPr>
          <w:p>
            <w:pPr>
              <w:jc w:val="center"/>
            </w:pPr>
            <w:r>
              <w:rPr>
                <w:rFonts w:ascii="Arial Narrow" w:hAnsi="Arial Narrow" w:eastAsia="Arial Narrow" w:cs="Arial Narrow"/>
                <w:b w:val="0"/>
                <w:i w:val="0"/>
                <w:sz w:val="16"/>
                <w:u w:val="none"/>
              </w:rPr>
              <w:t>π/2</w:t>
            </w:r>
          </w:p>
        </w:tc>
      </w:tr>
      <w:tr>
        <w:tc>
          <w:tcPr>
            <w:tcW w:type="dxa" w:w="599"/>
            <w:vAlign w:val="center"/>
          </w:tcPr>
          <w:p>
            <w:pPr>
              <w:jc w:val="center"/>
            </w:pPr>
            <w:r>
              <w:rPr>
                <w:rFonts w:ascii="Arial Narrow" w:hAnsi="Arial Narrow" w:eastAsia="Arial Narrow" w:cs="Arial Narrow"/>
                <w:b w:val="0"/>
                <w:i w:val="0"/>
                <w:sz w:val="16"/>
                <w:u w:val="none"/>
              </w:rPr>
              <w:t>6</w:t>
            </w:r>
          </w:p>
        </w:tc>
        <w:tc>
          <w:tcPr>
            <w:tcW w:type="dxa" w:w="1079"/>
            <w:vAlign w:val="center"/>
          </w:tcPr>
          <w:p>
            <w:pPr>
              <w:jc w:val="center"/>
            </w:pPr>
            <w:r>
              <w:rPr>
                <w:rFonts w:ascii="Arial Narrow" w:hAnsi="Arial Narrow" w:eastAsia="Arial Narrow" w:cs="Arial Narrow"/>
                <w:b w:val="0"/>
                <w:i w:val="0"/>
                <w:sz w:val="16"/>
                <w:u w:val="none"/>
              </w:rPr>
              <w:t>q6</w:t>
            </w:r>
          </w:p>
        </w:tc>
        <w:tc>
          <w:tcPr>
            <w:tcW w:type="dxa" w:w="959"/>
            <w:vAlign w:val="center"/>
          </w:tcPr>
          <w:p>
            <w:pPr>
              <w:jc w:val="center"/>
            </w:pPr>
            <w:r>
              <w:rPr>
                <w:rFonts w:ascii="Arial Narrow" w:hAnsi="Arial Narrow" w:eastAsia="Arial Narrow" w:cs="Arial Narrow"/>
                <w:b w:val="0"/>
                <w:i w:val="0"/>
                <w:sz w:val="16"/>
                <w:u w:val="none"/>
              </w:rPr>
              <w:t>a6</w:t>
            </w:r>
          </w:p>
        </w:tc>
        <w:tc>
          <w:tcPr>
            <w:tcW w:type="dxa" w:w="959"/>
            <w:vAlign w:val="center"/>
          </w:tcPr>
          <w:p>
            <w:pPr>
              <w:jc w:val="center"/>
            </w:pPr>
            <w:r>
              <w:rPr>
                <w:rFonts w:ascii="Arial Narrow" w:hAnsi="Arial Narrow" w:eastAsia="Arial Narrow" w:cs="Arial Narrow"/>
                <w:b w:val="0"/>
                <w:i w:val="0"/>
                <w:sz w:val="16"/>
                <w:u w:val="none"/>
              </w:rPr>
              <w:t>0</w:t>
            </w:r>
          </w:p>
        </w:tc>
        <w:tc>
          <w:tcPr>
            <w:tcW w:type="dxa" w:w="1082"/>
            <w:vAlign w:val="center"/>
          </w:tcPr>
          <w:p>
            <w:pPr>
              <w:jc w:val="center"/>
            </w:pPr>
            <w:r>
              <w:rPr>
                <w:rFonts w:ascii="Arial Narrow" w:hAnsi="Arial Narrow" w:eastAsia="Arial Narrow" w:cs="Arial Narrow"/>
                <w:b w:val="0"/>
                <w:i w:val="0"/>
                <w:sz w:val="16"/>
                <w:u w:val="none"/>
              </w:rPr>
              <w:t>0</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Parameter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xml:space="preserve"> sampai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rFonts w:ascii="Times New Roman" w:cs="Times New Roman" w:eastAsia="Times New Roman" w:hAnsi="Times New Roman"/>
          <w:sz w:val="20"/>
          <w:szCs w:val="20"/>
          <w:rtl w:val="0"/>
        </w:rPr>
        <w:t xml:space="preserve"> merupakan panjang lengan dan offset yang diperoleh dari lembar data robot industri. Sudut sendi </w:t>
      </w:r>
      <m:oMath xmlns:mml="http://www.w3.org/1998/Math/MathML">
        <m:sSub>
          <m:e>
            <m:r>
              <w:rPr>
                <w:rFonts w:ascii="Cambria Math" w:hAnsi="Cambria Math" w:eastAsia="Cambria Math" w:cs="Cambria Math"/>
                <w:sz w:val="20"/>
                <w:szCs w:val="20"/>
              </w:rPr>
              <m:t>q</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xml:space="preserve"> hingga </w:t>
      </w:r>
      <m:oMath xmlns:mml="http://www.w3.org/1998/Math/MathML">
        <m:sSub>
          <m:e>
            <m:r>
              <w:rPr>
                <w:rFonts w:ascii="Cambria Math" w:hAnsi="Cambria Math" w:eastAsia="Cambria Math" w:cs="Cambria Math"/>
                <w:sz w:val="20"/>
                <w:szCs w:val="20"/>
              </w:rPr>
              <m:t>q</m:t>
            </m:r>
          </m:e>
          <m:sub>
            <m:r>
              <w:rPr>
                <w:rFonts w:ascii="Cambria Math" w:hAnsi="Cambria Math" w:eastAsia="Cambria Math" w:cs="Cambria Math"/>
                <w:sz w:val="20"/>
                <w:szCs w:val="20"/>
              </w:rPr>
              <m:t>6</m:t>
            </m:r>
          </m:sub>
        </m:sSub>
      </m:oMath>
      <w:r>
        <w:rPr>
          <w:rFonts w:ascii="Times New Roman" w:cs="Times New Roman" w:eastAsia="Times New Roman" w:hAnsi="Times New Roman"/>
          <w:sz w:val="20"/>
          <w:szCs w:val="20"/>
          <w:rtl w:val="0"/>
        </w:rPr>
        <w:t xml:space="preserve"> adalah variabel yang dikendalikan. Matriks transformasi total </w:t>
      </w:r>
      <m:oMath xmlns:mml="http://www.w3.org/1998/Math/MathML">
        <m:sSubSup>
          <m:e>
            <m:r>
              <w:rPr>
                <w:rFonts w:ascii="Cambria Math" w:hAnsi="Cambria Math" w:eastAsia="Cambria Math" w:cs="Cambria Math"/>
                <w:sz w:val="20"/>
                <w:szCs w:val="20"/>
              </w:rPr>
              <m:t>T</m:t>
            </m:r>
          </m:e>
          <m:sub>
            <m:r>
              <w:rPr>
                <w:rFonts w:ascii="Cambria Math" w:hAnsi="Cambria Math" w:eastAsia="Cambria Math" w:cs="Cambria Math"/>
                <w:sz w:val="20"/>
                <w:szCs w:val="20"/>
              </w:rPr>
              <m:t>6</m:t>
            </m:r>
          </m:sub>
          <m:sup>
            <m:r>
              <w:rPr>
                <w:rFonts w:ascii="Cambria Math" w:hAnsi="Cambria Math" w:eastAsia="Cambria Math" w:cs="Cambria Math"/>
                <w:sz w:val="20"/>
                <w:szCs w:val="20"/>
              </w:rPr>
              <m:t>0</m:t>
            </m:r>
          </m:sup>
        </m:sSubSup>
      </m:oMath>
      <w:r>
        <w:rPr>
          <w:rFonts w:ascii="Times New Roman" w:cs="Times New Roman" w:eastAsia="Times New Roman" w:hAnsi="Times New Roman"/>
          <w:sz w:val="20"/>
          <w:szCs w:val="20"/>
          <w:rtl w:val="0"/>
        </w:rPr>
        <w:t xml:space="preserve"> dihitung menggunakan perkalian matriks dari Persamaan (2), kemudian digunakan untuk memperoleh posisi ujung lengan dalam kerangka basis.</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/home/sirobo/papergenerator/backend/tools/Journal/user/anabilhisyam23/c689a97227d0/image/control_block_diagram.jpg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2. Arsitektur sistem kendali PID pada lengan robot untuk pengelasan komponen otomotif</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x=y</m:t>
        </m:r>
      </m:oMath>
      <w:r>
        <w:rPr>
          <w:rFonts w:ascii="Times New Roman" w:cs="Times New Roman" w:eastAsia="Times New Roman" w:hAnsi="Times New Roman"/>
          <w:sz w:val="20"/>
          <w:szCs w:val="20"/>
          <w:rtl w:val="0"/>
        </w:rPr>
        <w:tab/>
        <w:tab/>
        <w:tab/>
        <w:tab/>
        <w:t>(3)</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3.2.</w:t>
        <w:tab/>
        <w:t>Implementasi dan Prosedur Eksperimen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Simulasi dilakukan menggunakan MATLAB/Simulink R2023a. Pemodelan plant menggunakan fungsi alih orde dua plus waktu tunda untuk merepresentasikan dinamika satu sendi dengan beban elektroda las. Fungsi alih yang digunakan adalah</w:t>
      </w:r>
    </w:p>
    <w:p>
      <w:pPr>
        <w:spacing w:line="240" w:lineRule="auto" w:before="60" w:after="60"/>
        <w:ind w:firstLine="720"/>
        <w:jc w:val="both"/>
        <w:rPr>
          <w:rFonts w:ascii="Times New Roman" w:cs="Times New Roman" w:eastAsia="Times New Roman" w:hAnsi="Times New Roman"/>
          <w:sz w:val="20"/>
          <w:szCs w:val="20"/>
        </w:rPr>
      </w:pPr>
      <m:oMath xmlns:mml="http://www.w3.org/1998/Math/MathML">
        <m:r>
          <w:rPr>
            <w:rFonts w:ascii="Cambria Math" w:hAnsi="Cambria Math" w:eastAsia="Cambria Math" w:cs="Cambria Math"/>
            <w:sz w:val="20"/>
            <w:szCs w:val="20"/>
          </w:rPr>
          <m:t>G(s)=</m:t>
        </m:r>
        <m:f>
          <m:fPr>
            <m:type m:val="bar"/>
          </m:fPr>
          <m:num>
            <m:r>
              <w:rPr>
                <w:rFonts w:ascii="Cambria Math" w:hAnsi="Cambria Math" w:eastAsia="Cambria Math" w:cs="Cambria Math"/>
                <w:sz w:val="20"/>
                <w:szCs w:val="20"/>
              </w:rPr>
              <m:t>K</m:t>
            </m:r>
          </m:num>
          <m:den>
            <m:r>
              <w:rPr>
                <w:rFonts w:ascii="Cambria Math" w:hAnsi="Cambria Math" w:eastAsia="Cambria Math" w:cs="Cambria Math"/>
                <w:sz w:val="20"/>
                <w:szCs w:val="20"/>
              </w:rPr>
              <m:t>τs+1</m:t>
            </m:r>
          </m:den>
        </m:f>
        <m:r>
          <w:rPr>
            <w:rFonts w:ascii="Cambria Math" w:hAnsi="Cambria Math" w:eastAsia="Cambria Math" w:cs="Cambria Math"/>
            <w:sz w:val="20"/>
            <w:szCs w:val="20"/>
          </w:rPr>
          <m:t>e−Ls</m:t>
        </m:r>
      </m:oMath>
      <w:r>
        <w:rPr>
          <w:rFonts w:ascii="Times New Roman" w:cs="Times New Roman" w:eastAsia="Times New Roman" w:hAnsi="Times New Roman"/>
          <w:sz w:val="20"/>
          <w:szCs w:val="20"/>
          <w:rtl w:val="0"/>
        </w:rPr>
        <w:tab/>
        <w:tab/>
        <w:tab/>
        <w:tab/>
        <w:t>(4)</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dengan </w:t>
      </w:r>
      <m:oMath xmlns:mml="http://www.w3.org/1998/Math/MathML">
        <m:r>
          <w:rPr>
            <w:rFonts w:ascii="Cambria Math" w:hAnsi="Cambria Math" w:eastAsia="Cambria Math" w:cs="Cambria Math"/>
            <w:sz w:val="20"/>
            <w:szCs w:val="20"/>
          </w:rPr>
          <m:t>K</m:t>
        </m:r>
      </m:oMath>
      <w:r>
        <w:rPr>
          <w:rFonts w:ascii="Times New Roman" w:cs="Times New Roman" w:eastAsia="Times New Roman" w:hAnsi="Times New Roman"/>
          <w:sz w:val="20"/>
          <w:szCs w:val="20"/>
          <w:rtl w:val="0"/>
        </w:rPr>
        <w:t xml:space="preserve"> adalah gain statis, </w:t>
      </w:r>
      <m:oMath xmlns:mml="http://www.w3.org/1998/Math/MathML">
        <m:r>
          <w:rPr>
            <w:rFonts w:ascii="Cambria Math" w:hAnsi="Cambria Math" w:eastAsia="Cambria Math" w:cs="Cambria Math"/>
            <w:sz w:val="20"/>
            <w:szCs w:val="20"/>
          </w:rPr>
          <m:t>τ</m:t>
        </m:r>
      </m:oMath>
      <w:r>
        <w:rPr>
          <w:rFonts w:ascii="Times New Roman" w:cs="Times New Roman" w:eastAsia="Times New Roman" w:hAnsi="Times New Roman"/>
          <w:sz w:val="20"/>
          <w:szCs w:val="20"/>
          <w:rtl w:val="0"/>
        </w:rPr>
        <w:t xml:space="preserve"> konstanta waktu, dan </w:t>
      </w:r>
      <m:oMath xmlns:mml="http://www.w3.org/1998/Math/MathML">
        <m:r>
          <w:rPr>
            <w:rFonts w:ascii="Cambria Math" w:hAnsi="Cambria Math" w:eastAsia="Cambria Math" w:cs="Cambria Math"/>
            <w:sz w:val="20"/>
            <w:szCs w:val="20"/>
          </w:rPr>
          <m:t>L</m:t>
        </m:r>
      </m:oMath>
      <w:r>
        <w:rPr>
          <w:rFonts w:ascii="Times New Roman" w:cs="Times New Roman" w:eastAsia="Times New Roman" w:hAnsi="Times New Roman"/>
          <w:sz w:val="20"/>
          <w:szCs w:val="20"/>
          <w:rtl w:val="0"/>
        </w:rPr>
        <w:t xml:space="preserve"> waktu tunda. Parameter </w:t>
      </w:r>
      <m:oMath xmlns:mml="http://www.w3.org/1998/Math/MathML">
        <m:r>
          <w:rPr>
            <w:rFonts w:ascii="Cambria Math" w:hAnsi="Cambria Math" w:eastAsia="Cambria Math" w:cs="Cambria Math"/>
            <w:sz w:val="20"/>
            <w:szCs w:val="20"/>
          </w:rPr>
          <m:t>K</m:t>
        </m:r>
      </m:oMath>
      <w:r>
        <w:rPr>
          <w:rFonts w:ascii="Times New Roman" w:cs="Times New Roman" w:eastAsia="Times New Roman" w:hAnsi="Times New Roman"/>
          <w:sz w:val="20"/>
          <w:szCs w:val="20"/>
          <w:rtl w:val="0"/>
        </w:rPr>
        <w:t xml:space="preserve">, </w:t>
      </w:r>
      <m:oMath xmlns:mml="http://www.w3.org/1998/Math/MathML">
        <m:r>
          <w:rPr>
            <w:rFonts w:ascii="Cambria Math" w:hAnsi="Cambria Math" w:eastAsia="Cambria Math" w:cs="Cambria Math"/>
            <w:sz w:val="20"/>
            <w:szCs w:val="20"/>
          </w:rPr>
          <m:t>τ</m:t>
        </m:r>
      </m:oMath>
      <w:r>
        <w:rPr>
          <w:rFonts w:ascii="Times New Roman" w:cs="Times New Roman" w:eastAsia="Times New Roman" w:hAnsi="Times New Roman"/>
          <w:sz w:val="20"/>
          <w:szCs w:val="20"/>
          <w:rtl w:val="0"/>
        </w:rPr>
        <w:t xml:space="preserve">, dan </w:t>
      </w:r>
      <m:oMath xmlns:mml="http://www.w3.org/1998/Math/MathML">
        <m:r>
          <w:rPr>
            <w:rFonts w:ascii="Cambria Math" w:hAnsi="Cambria Math" w:eastAsia="Cambria Math" w:cs="Cambria Math"/>
            <w:sz w:val="20"/>
            <w:szCs w:val="20"/>
          </w:rPr>
          <m:t>L</m:t>
        </m:r>
      </m:oMath>
      <w:r>
        <w:rPr>
          <w:rFonts w:ascii="Times New Roman" w:cs="Times New Roman" w:eastAsia="Times New Roman" w:hAnsi="Times New Roman"/>
          <w:sz w:val="20"/>
          <w:szCs w:val="20"/>
          <w:rtl w:val="0"/>
        </w:rPr>
        <w:t xml:space="preserve"> diperoleh dari identifikasi respons step hasil eksperimen pada lengan robot nyata (nilai placeholder: </w:t>
      </w:r>
      <m:oMath xmlns:mml="http://www.w3.org/1998/Math/MathML">
        <m:r>
          <w:rPr>
            <w:rFonts w:ascii="Cambria Math" w:hAnsi="Cambria Math" w:eastAsia="Cambria Math" w:cs="Cambria Math"/>
            <w:sz w:val="20"/>
            <w:szCs w:val="20"/>
          </w:rPr>
          <m:t>K=</m:t>
        </m:r>
        <m:sSub>
          <m:e>
            <m:r>
              <w:rPr>
                <w:rFonts w:ascii="Cambria Math" w:hAnsi="Cambria Math" w:eastAsia="Cambria Math" w:cs="Cambria Math"/>
                <w:sz w:val="20"/>
                <w:szCs w:val="20"/>
              </w:rPr>
              <m:t>a</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xml:space="preserve">, </w:t>
      </w:r>
      <m:oMath xmlns:mml="http://www.w3.org/1998/Math/MathML">
        <m:r>
          <w:rPr>
            <w:rFonts w:ascii="Cambria Math" w:hAnsi="Cambria Math" w:eastAsia="Cambria Math" w:cs="Cambria Math"/>
            <w:sz w:val="20"/>
            <w:szCs w:val="20"/>
          </w:rPr>
          <m:t>τ=</m:t>
        </m:r>
        <m:sSub>
          <m:e>
            <m:r>
              <w:rPr>
                <w:rFonts w:ascii="Cambria Math" w:hAnsi="Cambria Math" w:eastAsia="Cambria Math" w:cs="Cambria Math"/>
                <w:sz w:val="20"/>
                <w:szCs w:val="20"/>
              </w:rPr>
              <m:t>a</m:t>
            </m:r>
          </m:e>
          <m:sub>
            <m:r>
              <w:rPr>
                <w:rFonts w:ascii="Cambria Math" w:hAnsi="Cambria Math" w:eastAsia="Cambria Math" w:cs="Cambria Math"/>
                <w:sz w:val="20"/>
                <w:szCs w:val="20"/>
              </w:rPr>
              <m:t>2</m:t>
            </m:r>
          </m:sub>
        </m:sSub>
      </m:oMath>
      <w:r>
        <w:rPr>
          <w:rFonts w:ascii="Times New Roman" w:cs="Times New Roman" w:eastAsia="Times New Roman" w:hAnsi="Times New Roman"/>
          <w:sz w:val="20"/>
          <w:szCs w:val="20"/>
          <w:rtl w:val="0"/>
        </w:rPr>
        <w:t xml:space="preserve">, </w:t>
      </w:r>
      <m:oMath xmlns:mml="http://www.w3.org/1998/Math/MathML">
        <m:r>
          <w:rPr>
            <w:rFonts w:ascii="Cambria Math" w:hAnsi="Cambria Math" w:eastAsia="Cambria Math" w:cs="Cambria Math"/>
            <w:sz w:val="20"/>
            <w:szCs w:val="20"/>
          </w:rPr>
          <m:t>L=</m:t>
        </m:r>
        <m:sSub>
          <m:e>
            <m:r>
              <w:rPr>
                <w:rFonts w:ascii="Cambria Math" w:hAnsi="Cambria Math" w:eastAsia="Cambria Math" w:cs="Cambria Math"/>
                <w:sz w:val="20"/>
                <w:szCs w:val="20"/>
              </w:rPr>
              <m:t>a</m:t>
            </m:r>
          </m:e>
          <m:sub>
            <m:r>
              <w:rPr>
                <w:rFonts w:ascii="Cambria Math" w:hAnsi="Cambria Math" w:eastAsia="Cambria Math" w:cs="Cambria Math"/>
                <w:sz w:val="20"/>
                <w:szCs w:val="20"/>
              </w:rPr>
              <m:t>3</m:t>
            </m:r>
          </m:sub>
        </m:sSub>
      </m:oMath>
      <w:r>
        <w:rPr>
          <w:rFonts w:ascii="Times New Roman" w:cs="Times New Roman" w:eastAsia="Times New Roman" w:hAnsi="Times New Roman"/>
          <w:sz w:val="20"/>
          <w:szCs w:val="20"/>
          <w:rtl w:val="0"/>
        </w:rPr>
        <w:t>).</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Penalaan PID dilakukan menggunakan metode Ziegler-Nichols closed-loop. Langkah-langkah: (1) set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=0</m:t>
        </m:r>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=0</m:t>
        </m:r>
      </m:oMath>
      <w:r>
        <w:rPr>
          <w:rFonts w:ascii="Times New Roman" w:cs="Times New Roman" w:eastAsia="Times New Roman" w:hAnsi="Times New Roman"/>
          <w:sz w:val="20"/>
          <w:szCs w:val="20"/>
          <w:rtl w:val="0"/>
        </w:rPr>
        <w:t xml:space="preserve">, (2) tingkatkan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xml:space="preserve"> hingga sistem berosilasi pada frekuensi ultimat </w:t>
      </w:r>
      <m:oMath xmlns:mml="http://www.w3.org/1998/Math/MathML">
        <m:sSub>
          <m:e>
            <m:r>
              <w:rPr>
                <w:rFonts w:ascii="Cambria Math" w:hAnsi="Cambria Math" w:eastAsia="Cambria Math" w:cs="Cambria Math"/>
                <w:sz w:val="20"/>
                <w:szCs w:val="20"/>
              </w:rPr>
              <m:t>ω</m:t>
            </m:r>
          </m:e>
          <m:sub>
            <m:r>
              <w:rPr>
                <w:rFonts w:ascii="Cambria Math" w:hAnsi="Cambria Math" w:eastAsia="Cambria Math" w:cs="Cambria Math"/>
                <w:sz w:val="20"/>
                <w:szCs w:val="20"/>
              </w:rPr>
              <m:t>u</m:t>
            </m:r>
          </m:sub>
        </m:sSub>
      </m:oMath>
      <w:r>
        <w:rPr>
          <w:rFonts w:ascii="Times New Roman" w:cs="Times New Roman" w:eastAsia="Times New Roman" w:hAnsi="Times New Roman"/>
          <w:sz w:val="20"/>
          <w:szCs w:val="20"/>
          <w:rtl w:val="0"/>
        </w:rPr>
        <w:t xml:space="preserve">, catat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oMath>
      <w:r>
        <w:rPr>
          <w:rFonts w:ascii="Times New Roman" w:cs="Times New Roman" w:eastAsia="Times New Roman" w:hAnsi="Times New Roman"/>
          <w:sz w:val="20"/>
          <w:szCs w:val="20"/>
          <w:rtl w:val="0"/>
        </w:rPr>
        <w:t xml:space="preserve"> dan periode ultimat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u</m:t>
            </m:r>
          </m:sub>
        </m:sSub>
      </m:oMath>
      <w:r>
        <w:rPr>
          <w:rFonts w:ascii="Times New Roman" w:cs="Times New Roman" w:eastAsia="Times New Roman" w:hAnsi="Times New Roman"/>
          <w:sz w:val="20"/>
          <w:szCs w:val="20"/>
          <w:rtl w:val="0"/>
        </w:rPr>
        <w:t>, (3) hitung parameter PID berdasarkan Tabel II.</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2.</w:t>
        <w:tab/>
        <w:t>Parameter PID dari Metode Ziegler-Nichols Closed-Loop</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517"/>
        <w:gridCol w:w="1011"/>
        <w:gridCol w:w="1011"/>
        <w:gridCol w:w="1139"/>
      </w:tblGrid>
      <w:tr>
        <w:tc>
          <w:tcPr>
            <w:tcW w:type="dxa" w:w="1517"/>
            <w:vAlign w:val="center"/>
          </w:tcPr>
          <w:p>
            <w:pPr>
              <w:jc w:val="center"/>
            </w:pPr>
            <w:r>
              <w:rPr>
                <w:rFonts w:ascii="Arial Narrow" w:hAnsi="Arial Narrow" w:eastAsia="Arial Narrow" w:cs="Arial Narrow"/>
                <w:b/>
                <w:i w:val="0"/>
                <w:sz w:val="16"/>
                <w:u w:val="none"/>
              </w:rPr>
              <w:t>Tipe Kontrol</w:t>
            </w:r>
          </w:p>
        </w:tc>
        <w:tc>
          <w:tcPr>
            <w:tcW w:type="dxa" w:w="1011"/>
            <w:vAlign w:val="center"/>
          </w:tcPr>
          <w:p>
            <w:pPr>
              <w:jc w:val="center"/>
            </w:pPr>
            <w:r>
              <w:rPr>
                <w:rFonts w:ascii="Arial Narrow" w:hAnsi="Arial Narrow" w:eastAsia="Arial Narrow" w:cs="Arial Narrow"/>
                <w:b/>
                <w:i w:val="0"/>
                <w:sz w:val="16"/>
                <w:u w:val="none"/>
              </w:rPr>
              <w:t>K_p</w:t>
            </w:r>
          </w:p>
        </w:tc>
        <w:tc>
          <w:tcPr>
            <w:tcW w:type="dxa" w:w="1011"/>
            <w:vAlign w:val="center"/>
          </w:tcPr>
          <w:p>
            <w:pPr>
              <w:jc w:val="center"/>
            </w:pPr>
            <w:r>
              <w:rPr>
                <w:rFonts w:ascii="Arial Narrow" w:hAnsi="Arial Narrow" w:eastAsia="Arial Narrow" w:cs="Arial Narrow"/>
                <w:b/>
                <w:i w:val="0"/>
                <w:sz w:val="16"/>
                <w:u w:val="none"/>
              </w:rPr>
              <w:t>T_i</w:t>
            </w:r>
          </w:p>
        </w:tc>
        <w:tc>
          <w:tcPr>
            <w:tcW w:type="dxa" w:w="1139"/>
            <w:vAlign w:val="center"/>
          </w:tcPr>
          <w:p>
            <w:pPr>
              <w:jc w:val="center"/>
            </w:pPr>
            <w:r>
              <w:rPr>
                <w:rFonts w:ascii="Arial Narrow" w:hAnsi="Arial Narrow" w:eastAsia="Arial Narrow" w:cs="Arial Narrow"/>
                <w:b/>
                <w:i w:val="0"/>
                <w:sz w:val="16"/>
                <w:u w:val="none"/>
              </w:rPr>
              <w:t>T_d</w:t>
            </w:r>
          </w:p>
        </w:tc>
      </w:tr>
      <w:tr>
        <w:tc>
          <w:tcPr>
            <w:tcW w:type="dxa" w:w="1517"/>
            <w:vAlign w:val="center"/>
          </w:tcPr>
          <w:p>
            <w:pPr>
              <w:jc w:val="center"/>
            </w:pPr>
            <w:r>
              <w:rPr>
                <w:rFonts w:ascii="Arial Narrow" w:hAnsi="Arial Narrow" w:eastAsia="Arial Narrow" w:cs="Arial Narrow"/>
                <w:b w:val="0"/>
                <w:i w:val="0"/>
                <w:sz w:val="16"/>
                <w:u w:val="none"/>
              </w:rPr>
              <w:t>P</w:t>
            </w:r>
          </w:p>
        </w:tc>
        <w:tc>
          <w:tcPr>
            <w:tcW w:type="dxa" w:w="1011"/>
            <w:vAlign w:val="center"/>
          </w:tcPr>
          <w:p>
            <w:pPr>
              <w:jc w:val="center"/>
            </w:pPr>
            <w:r>
              <w:rPr>
                <w:rFonts w:ascii="Arial Narrow" w:hAnsi="Arial Narrow" w:eastAsia="Arial Narrow" w:cs="Arial Narrow"/>
                <w:b w:val="0"/>
                <w:i w:val="0"/>
                <w:sz w:val="16"/>
                <w:u w:val="none"/>
              </w:rPr>
              <w:t>0.5 K_u</w:t>
            </w:r>
          </w:p>
        </w:tc>
        <w:tc>
          <w:tcPr>
            <w:tcW w:type="dxa" w:w="1011"/>
            <w:vAlign w:val="center"/>
          </w:tcPr>
          <w:p>
            <w:pPr>
              <w:jc w:val="center"/>
            </w:pPr>
            <w:r>
              <w:rPr>
                <w:rFonts w:ascii="Arial Narrow" w:hAnsi="Arial Narrow" w:eastAsia="Arial Narrow" w:cs="Arial Narrow"/>
                <w:b w:val="0"/>
                <w:i w:val="0"/>
                <w:sz w:val="16"/>
                <w:u w:val="none"/>
              </w:rPr>
              <w:t>∞</w:t>
            </w:r>
          </w:p>
        </w:tc>
        <w:tc>
          <w:tcPr>
            <w:tcW w:type="dxa" w:w="1139"/>
            <w:vAlign w:val="center"/>
          </w:tcPr>
          <w:p>
            <w:pPr>
              <w:jc w:val="center"/>
            </w:pPr>
            <w:r>
              <w:rPr>
                <w:rFonts w:ascii="Arial Narrow" w:hAnsi="Arial Narrow" w:eastAsia="Arial Narrow" w:cs="Arial Narrow"/>
                <w:b w:val="0"/>
                <w:i w:val="0"/>
                <w:sz w:val="16"/>
                <w:u w:val="none"/>
              </w:rPr>
              <w:t>0</w:t>
            </w:r>
          </w:p>
        </w:tc>
      </w:tr>
      <w:tr>
        <w:tc>
          <w:tcPr>
            <w:tcW w:type="dxa" w:w="1517"/>
            <w:vAlign w:val="center"/>
          </w:tcPr>
          <w:p>
            <w:pPr>
              <w:jc w:val="center"/>
            </w:pPr>
            <w:r>
              <w:rPr>
                <w:rFonts w:ascii="Arial Narrow" w:hAnsi="Arial Narrow" w:eastAsia="Arial Narrow" w:cs="Arial Narrow"/>
                <w:b w:val="0"/>
                <w:i w:val="0"/>
                <w:sz w:val="16"/>
                <w:u w:val="none"/>
              </w:rPr>
              <w:t>PI</w:t>
            </w:r>
          </w:p>
        </w:tc>
        <w:tc>
          <w:tcPr>
            <w:tcW w:type="dxa" w:w="1011"/>
            <w:vAlign w:val="center"/>
          </w:tcPr>
          <w:p>
            <w:pPr>
              <w:jc w:val="center"/>
            </w:pPr>
            <w:r>
              <w:rPr>
                <w:rFonts w:ascii="Arial Narrow" w:hAnsi="Arial Narrow" w:eastAsia="Arial Narrow" w:cs="Arial Narrow"/>
                <w:b w:val="0"/>
                <w:i w:val="0"/>
                <w:sz w:val="16"/>
                <w:u w:val="none"/>
              </w:rPr>
              <w:t>0.45 K_u</w:t>
            </w:r>
          </w:p>
        </w:tc>
        <w:tc>
          <w:tcPr>
            <w:tcW w:type="dxa" w:w="1011"/>
            <w:vAlign w:val="center"/>
          </w:tcPr>
          <w:p>
            <w:pPr>
              <w:jc w:val="center"/>
            </w:pPr>
            <w:r>
              <w:rPr>
                <w:rFonts w:ascii="Arial Narrow" w:hAnsi="Arial Narrow" w:eastAsia="Arial Narrow" w:cs="Arial Narrow"/>
                <w:b w:val="0"/>
                <w:i w:val="0"/>
                <w:sz w:val="16"/>
                <w:u w:val="none"/>
              </w:rPr>
              <w:t>0.83 T_u</w:t>
            </w:r>
          </w:p>
        </w:tc>
        <w:tc>
          <w:tcPr>
            <w:tcW w:type="dxa" w:w="1139"/>
            <w:vAlign w:val="center"/>
          </w:tcPr>
          <w:p>
            <w:pPr>
              <w:jc w:val="center"/>
            </w:pPr>
            <w:r>
              <w:rPr>
                <w:rFonts w:ascii="Arial Narrow" w:hAnsi="Arial Narrow" w:eastAsia="Arial Narrow" w:cs="Arial Narrow"/>
                <w:b w:val="0"/>
                <w:i w:val="0"/>
                <w:sz w:val="16"/>
                <w:u w:val="none"/>
              </w:rPr>
              <w:t>0</w:t>
            </w:r>
          </w:p>
        </w:tc>
      </w:tr>
      <w:tr>
        <w:tc>
          <w:tcPr>
            <w:tcW w:type="dxa" w:w="1517"/>
            <w:vAlign w:val="center"/>
          </w:tcPr>
          <w:p>
            <w:pPr>
              <w:jc w:val="center"/>
            </w:pPr>
            <w:r>
              <w:rPr>
                <w:rFonts w:ascii="Arial Narrow" w:hAnsi="Arial Narrow" w:eastAsia="Arial Narrow" w:cs="Arial Narrow"/>
                <w:b w:val="0"/>
                <w:i w:val="0"/>
                <w:sz w:val="16"/>
                <w:u w:val="none"/>
              </w:rPr>
              <w:t>PID</w:t>
            </w:r>
          </w:p>
        </w:tc>
        <w:tc>
          <w:tcPr>
            <w:tcW w:type="dxa" w:w="1011"/>
            <w:vAlign w:val="center"/>
          </w:tcPr>
          <w:p>
            <w:pPr>
              <w:jc w:val="center"/>
            </w:pPr>
            <w:r>
              <w:rPr>
                <w:rFonts w:ascii="Arial Narrow" w:hAnsi="Arial Narrow" w:eastAsia="Arial Narrow" w:cs="Arial Narrow"/>
                <w:b w:val="0"/>
                <w:i w:val="0"/>
                <w:sz w:val="16"/>
                <w:u w:val="none"/>
              </w:rPr>
              <w:t>0.6 K_u</w:t>
            </w:r>
          </w:p>
        </w:tc>
        <w:tc>
          <w:tcPr>
            <w:tcW w:type="dxa" w:w="1011"/>
            <w:vAlign w:val="center"/>
          </w:tcPr>
          <w:p>
            <w:pPr>
              <w:jc w:val="center"/>
            </w:pPr>
            <w:r>
              <w:rPr>
                <w:rFonts w:ascii="Arial Narrow" w:hAnsi="Arial Narrow" w:eastAsia="Arial Narrow" w:cs="Arial Narrow"/>
                <w:b w:val="0"/>
                <w:i w:val="0"/>
                <w:sz w:val="16"/>
                <w:u w:val="none"/>
              </w:rPr>
              <w:t>0.5 T_u</w:t>
            </w:r>
          </w:p>
        </w:tc>
        <w:tc>
          <w:tcPr>
            <w:tcW w:type="dxa" w:w="1139"/>
            <w:vAlign w:val="center"/>
          </w:tcPr>
          <w:p>
            <w:pPr>
              <w:jc w:val="center"/>
            </w:pPr>
            <w:r>
              <w:rPr>
                <w:rFonts w:ascii="Arial Narrow" w:hAnsi="Arial Narrow" w:eastAsia="Arial Narrow" w:cs="Arial Narrow"/>
                <w:b w:val="0"/>
                <w:i w:val="0"/>
                <w:sz w:val="16"/>
                <w:u w:val="none"/>
              </w:rPr>
              <w:t>0.125 T_u</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Setelah parameter PID diperoleh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4</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5</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rFonts w:ascii="Times New Roman" w:cs="Times New Roman" w:eastAsia="Times New Roman" w:hAnsi="Times New Roman"/>
          <w:sz w:val="20"/>
          <w:szCs w:val="20"/>
          <w:rtl w:val="0"/>
        </w:rPr>
        <w:t xml:space="preserve">), simulasi dijalankan dengan sinyal referensi berupa step unit dan sinyal ramp yang merepresentasikan lintasan gerak kontinyu selama pengelasan. Skenario pengujian meliputi: (a) respons tanpa beban, (b) respons dengan beban elektroda (massa </w:t>
      </w:r>
      <m:oMath xmlns:mml="http://www.w3.org/1998/Math/MathML">
        <m:r>
          <w:rPr>
            <w:rFonts w:ascii="Cambria Math" w:hAnsi="Cambria Math" w:eastAsia="Cambria Math" w:cs="Cambria Math"/>
            <w:sz w:val="20"/>
            <w:szCs w:val="20"/>
          </w:rPr>
          <m:t>m=</m:t>
        </m:r>
        <m:sSub>
          <m:e>
            <m:r>
              <w:rPr>
                <w:rFonts w:ascii="Cambria Math" w:hAnsi="Cambria Math" w:eastAsia="Cambria Math" w:cs="Cambria Math"/>
                <w:sz w:val="20"/>
                <w:szCs w:val="20"/>
              </w:rPr>
              <m:t>a</m:t>
            </m:r>
          </m:e>
          <m:sub>
            <m:r>
              <w:rPr>
                <w:rFonts w:ascii="Cambria Math" w:hAnsi="Cambria Math" w:eastAsia="Cambria Math" w:cs="Cambria Math"/>
                <w:sz w:val="20"/>
                <w:szCs w:val="20"/>
              </w:rPr>
              <m:t>7</m:t>
            </m:r>
          </m:sub>
        </m:sSub>
      </m:oMath>
      <w:r>
        <w:rPr>
          <w:rFonts w:ascii="Times New Roman" w:cs="Times New Roman" w:eastAsia="Times New Roman" w:hAnsi="Times New Roman"/>
          <w:sz w:val="20"/>
          <w:szCs w:val="20"/>
          <w:rtl w:val="0"/>
        </w:rPr>
        <w:t xml:space="preserve"> kg), (c) respons dengan gangguan sinusoidal (amplitude </w:t>
      </w:r>
      <m:oMath xmlns:mml="http://www.w3.org/1998/Math/MathML">
        <m:r>
          <w:rPr>
            <w:rFonts w:ascii="Cambria Math" w:hAnsi="Cambria Math" w:eastAsia="Cambria Math" w:cs="Cambria Math"/>
            <w:sz w:val="20"/>
            <w:szCs w:val="20"/>
          </w:rPr>
          <m:t>A=</m:t>
        </m:r>
        <m:sSub>
          <m:e>
            <m:r>
              <w:rPr>
                <w:rFonts w:ascii="Cambria Math" w:hAnsi="Cambria Math" w:eastAsia="Cambria Math" w:cs="Cambria Math"/>
                <w:sz w:val="20"/>
                <w:szCs w:val="20"/>
              </w:rPr>
              <m:t>a</m:t>
            </m:r>
          </m:e>
          <m:sub>
            <m:r>
              <w:rPr>
                <w:rFonts w:ascii="Cambria Math" w:hAnsi="Cambria Math" w:eastAsia="Cambria Math" w:cs="Cambria Math"/>
                <w:sz w:val="20"/>
                <w:szCs w:val="20"/>
              </w:rPr>
              <m:t>8</m:t>
            </m:r>
          </m:sub>
        </m:sSub>
      </m:oMath>
      <w:r>
        <w:rPr>
          <w:rFonts w:ascii="Times New Roman" w:cs="Times New Roman" w:eastAsia="Times New Roman" w:hAnsi="Times New Roman"/>
          <w:sz w:val="20"/>
          <w:szCs w:val="20"/>
          <w:rtl w:val="0"/>
        </w:rPr>
        <w:t xml:space="preserve">, frekuensi </w:t>
      </w:r>
      <m:oMath xmlns:mml="http://www.w3.org/1998/Math/MathML">
        <m:r>
          <w:rPr>
            <w:rFonts w:ascii="Cambria Math" w:hAnsi="Cambria Math" w:eastAsia="Cambria Math" w:cs="Cambria Math"/>
            <w:sz w:val="20"/>
            <w:szCs w:val="20"/>
          </w:rPr>
          <m:t>f=</m:t>
        </m:r>
        <m:sSub>
          <m:e>
            <m:r>
              <w:rPr>
                <w:rFonts w:ascii="Cambria Math" w:hAnsi="Cambria Math" w:eastAsia="Cambria Math" w:cs="Cambria Math"/>
                <w:sz w:val="20"/>
                <w:szCs w:val="20"/>
              </w:rPr>
              <m:t>a</m:t>
            </m:r>
          </m:e>
          <m:sub>
            <m:r>
              <w:rPr>
                <w:rFonts w:ascii="Cambria Math" w:hAnsi="Cambria Math" w:eastAsia="Cambria Math" w:cs="Cambria Math"/>
                <w:sz w:val="20"/>
                <w:szCs w:val="20"/>
              </w:rPr>
              <m:t>9</m:t>
            </m:r>
          </m:sub>
        </m:sSub>
      </m:oMath>
      <w:r>
        <w:rPr>
          <w:rFonts w:ascii="Times New Roman" w:cs="Times New Roman" w:eastAsia="Times New Roman" w:hAnsi="Times New Roman"/>
          <w:sz w:val="20"/>
          <w:szCs w:val="20"/>
          <w:rtl w:val="0"/>
        </w:rPr>
        <w:t xml:space="preserve"> Hz) mensimulasikan getaran konveyor.</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/home/sirobo/papergenerator/backend/tools/Journal/user/anabilhisyam23/c689a97227d0/image/system_architecture.jpg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3. Diagram alir prosedur penalaan PID dan simulasi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Gambar 3 menunjukkan alur penalaan PID yang digunakan. Jika setelah penerapan parameter Ziegler-Nichols overshoot melebihi </w:t>
      </w:r>
      <m:oMath xmlns:mml="http://www.w3.org/1998/Math/MathML">
        <m:r>
          <w:rPr>
            <w:rFonts w:ascii="Cambria Math" w:hAnsi="Cambria Math" w:eastAsia="Cambria Math" w:cs="Cambria Math"/>
            <w:sz w:val="20"/>
            <w:szCs w:val="20"/>
          </w:rPr>
          <m:t>5%</m:t>
        </m:r>
      </m:oMath>
      <w:r>
        <w:rPr>
          <w:rFonts w:ascii="Times New Roman" w:cs="Times New Roman" w:eastAsia="Times New Roman" w:hAnsi="Times New Roman"/>
          <w:sz w:val="20"/>
          <w:szCs w:val="20"/>
          <w:rtl w:val="0"/>
        </w:rPr>
        <w:t xml:space="preserve">, dilakukan fine-tuning manual dengan mengurangi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xml:space="preserve"> dan menambah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rFonts w:ascii="Times New Roman" w:cs="Times New Roman" w:eastAsia="Times New Roman" w:hAnsi="Times New Roman"/>
          <w:sz w:val="20"/>
          <w:szCs w:val="20"/>
          <w:rtl w:val="0"/>
        </w:rPr>
        <w:t xml:space="preserve"> untuk meredam osilasi.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3.3.</w:t>
        <w:tab/>
        <w:t>Algoritma Kendali dan Simulasi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Implementasi algoritma kendali PID diskrit menggunakan metode backward difference untuk aproksimasi integral dan derivatif. Persamaan rekursif PID digital diberikan oleh</w:t>
      </w:r>
    </w:p>
    <w:p>
      <w:pPr>
        <w:spacing w:line="240" w:lineRule="auto" w:before="60" w:after="60"/>
        <w:ind w:firstLine="720"/>
        <w:jc w:val="both"/>
        <w:rPr>
          <w:rFonts w:ascii="Times New Roman" w:cs="Times New Roman" w:eastAsia="Times New Roman" w:hAnsi="Times New Roman"/>
          <w:sz w:val="20"/>
          <w:szCs w:val="20"/>
        </w:rPr>
      </w:pPr>
      <m:oMath xmlns:mml="http://www.w3.org/1998/Math/MathML">
        <m:sSub>
          <m:e>
            <m:r>
              <w:rPr>
                <w:rFonts w:ascii="Cambria Math" w:hAnsi="Cambria Math" w:eastAsia="Cambria Math" w:cs="Cambria Math"/>
                <w:sz w:val="20"/>
                <w:szCs w:val="20"/>
              </w:rPr>
              <m:t>u</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r>
          <w:rPr>
            <w:rFonts w:ascii="Cambria Math" w:hAnsi="Cambria Math" w:eastAsia="Cambria Math" w:cs="Cambria Math"/>
            <w:sz w:val="20"/>
            <w:szCs w:val="20"/>
          </w:rPr>
          <m:rPr>
            <m:sty m:val="p"/>
          </m:rPr>
          <m:t>\sumj</m:t>
        </m:r>
        <m:r>
          <w:rPr>
            <w:rFonts w:ascii="Cambria Math" w:hAnsi="Cambria Math" w:eastAsia="Cambria Math" w:cs="Cambria Math"/>
            <w:sz w:val="20"/>
            <w:szCs w:val="20"/>
          </w:rPr>
          <m:t>=</m:t>
        </m:r>
        <m:sSup>
          <m:e>
            <m:r>
              <w:rPr>
                <w:rFonts w:ascii="Cambria Math" w:hAnsi="Cambria Math" w:eastAsia="Cambria Math" w:cs="Cambria Math"/>
                <w:sz w:val="20"/>
                <w:szCs w:val="20"/>
              </w:rPr>
              <m:t>0</m:t>
            </m:r>
          </m:e>
          <m:sup>
            <m:r>
              <w:rPr>
                <w:rFonts w:ascii="Cambria Math" w:hAnsi="Cambria Math" w:eastAsia="Cambria Math" w:cs="Cambria Math"/>
                <w:sz w:val="20"/>
                <w:szCs w:val="20"/>
              </w:rPr>
              <m:t>k</m:t>
            </m:r>
          </m:sup>
        </m:sSup>
        <m:sSub>
          <m:e>
            <m:r>
              <w:rPr>
                <w:rFonts w:ascii="Cambria Math" w:hAnsi="Cambria Math" w:eastAsia="Cambria Math" w:cs="Cambria Math"/>
                <w:sz w:val="20"/>
                <w:szCs w:val="20"/>
              </w:rPr>
              <m:t>e</m:t>
            </m:r>
          </m:e>
          <m:sub>
            <m:r>
              <w:rPr>
                <w:rFonts w:ascii="Cambria Math" w:hAnsi="Cambria Math" w:eastAsia="Cambria Math" w:cs="Cambria Math"/>
                <w:sz w:val="20"/>
                <w:szCs w:val="20"/>
              </w:rPr>
              <m:t>j</m:t>
            </m:r>
          </m:sub>
        </m:sSub>
        <m:r>
          <w:rPr>
            <w:rFonts w:ascii="Cambria Math" w:hAnsi="Cambria Math" w:eastAsia="Cambria Math" w:cs="Cambria Math"/>
            <w:sz w:val="20"/>
            <w:szCs w:val="20"/>
          </w:rPr>
          <m:t>+</m:t>
        </m:r>
        <m:f>
          <m:fPr>
            <m:type m:val="bar"/>
          </m:fPr>
          <m:num>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num>
          <m:den>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den>
        </m:f>
        <m:r>
          <w:rPr>
            <w:rFonts w:ascii="Cambria Math" w:hAnsi="Cambria Math" w:eastAsia="Cambria Math" w:cs="Cambria Math"/>
            <w:sz w:val="20"/>
            <w:szCs w:val="20"/>
          </w:rPr>
          <m:t>(</m:t>
        </m:r>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r>
          <w:rPr>
            <w:rFonts w:ascii="Cambria Math" w:hAnsi="Cambria Math" w:eastAsia="Cambria Math" w:cs="Cambria Math"/>
            <w:sz w:val="20"/>
            <w:szCs w:val="20"/>
          </w:rPr>
          <m:t>−ek−1)</m:t>
        </m:r>
      </m:oMath>
      <w:r>
        <w:rPr>
          <w:rFonts w:ascii="Times New Roman" w:cs="Times New Roman" w:eastAsia="Times New Roman" w:hAnsi="Times New Roman"/>
          <w:sz w:val="20"/>
          <w:szCs w:val="20"/>
          <w:rtl w:val="0"/>
        </w:rPr>
        <w:tab/>
        <w:tab/>
        <w:tab/>
        <w:tab/>
        <w:t>(5)</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dengan </w:t>
      </w:r>
      <m:oMath xmlns:mml="http://www.w3.org/1998/Math/MathML">
        <m:sSub>
          <m:e>
            <m:r>
              <w:rPr>
                <w:rFonts w:ascii="Cambria Math" w:hAnsi="Cambria Math" w:eastAsia="Cambria Math" w:cs="Cambria Math"/>
                <w:sz w:val="20"/>
                <w:szCs w:val="20"/>
              </w:rPr>
              <m:t>u</m:t>
            </m:r>
          </m:e>
          <m:sub>
            <m:r>
              <w:rPr>
                <w:rFonts w:ascii="Cambria Math" w:hAnsi="Cambria Math" w:eastAsia="Cambria Math" w:cs="Cambria Math"/>
                <w:sz w:val="20"/>
                <w:szCs w:val="20"/>
              </w:rPr>
              <m:t>k</m:t>
            </m:r>
          </m:sub>
        </m:sSub>
      </m:oMath>
      <w:r>
        <w:rPr>
          <w:rFonts w:ascii="Times New Roman" w:cs="Times New Roman" w:eastAsia="Times New Roman" w:hAnsi="Times New Roman"/>
          <w:sz w:val="20"/>
          <w:szCs w:val="20"/>
          <w:rtl w:val="0"/>
        </w:rPr>
        <w:t xml:space="preserve"> adalah keluaran kontrol pada langkah ke-</w:t>
      </w:r>
      <m:oMath xmlns:mml="http://www.w3.org/1998/Math/MathML">
        <m:r>
          <w:rPr>
            <w:rFonts w:ascii="Cambria Math" w:hAnsi="Cambria Math" w:eastAsia="Cambria Math" w:cs="Cambria Math"/>
            <w:sz w:val="20"/>
            <w:szCs w:val="20"/>
          </w:rPr>
          <m:t>k</m:t>
        </m:r>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rFonts w:ascii="Times New Roman" w:cs="Times New Roman" w:eastAsia="Times New Roman" w:hAnsi="Times New Roman"/>
          <w:sz w:val="20"/>
          <w:szCs w:val="20"/>
          <w:rtl w:val="0"/>
        </w:rPr>
        <w:t xml:space="preserve"> adalah waktu cuplik (sampling time),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k</m:t>
            </m:r>
          </m:sub>
        </m:sSub>
      </m:oMath>
      <w:r>
        <w:rPr>
          <w:rFonts w:ascii="Times New Roman" w:cs="Times New Roman" w:eastAsia="Times New Roman" w:hAnsi="Times New Roman"/>
          <w:sz w:val="20"/>
          <w:szCs w:val="20"/>
          <w:rtl w:val="0"/>
        </w:rPr>
        <w:t xml:space="preserve"> error pada langkah ke-</w:t>
      </w:r>
      <m:oMath xmlns:mml="http://www.w3.org/1998/Math/MathML">
        <m:r>
          <w:rPr>
            <w:rFonts w:ascii="Cambria Math" w:hAnsi="Cambria Math" w:eastAsia="Cambria Math" w:cs="Cambria Math"/>
            <w:sz w:val="20"/>
            <w:szCs w:val="20"/>
          </w:rPr>
          <m:t>k</m:t>
        </m:r>
      </m:oMath>
      <w:r>
        <w:rPr>
          <w:rFonts w:ascii="Times New Roman" w:cs="Times New Roman" w:eastAsia="Times New Roman" w:hAnsi="Times New Roman"/>
          <w:sz w:val="20"/>
          <w:szCs w:val="20"/>
          <w:rtl w:val="0"/>
        </w:rPr>
        <w:t xml:space="preserve">, dan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k−1</m:t>
            </m:r>
          </m:sub>
        </m:sSub>
      </m:oMath>
      <w:r>
        <w:rPr>
          <w:rFonts w:ascii="Times New Roman" w:cs="Times New Roman" w:eastAsia="Times New Roman" w:hAnsi="Times New Roman"/>
          <w:sz w:val="20"/>
          <w:szCs w:val="20"/>
          <w:rtl w:val="0"/>
        </w:rPr>
        <w:t xml:space="preserve"> error sebelumnya. Parameter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rFonts w:ascii="Times New Roman" w:cs="Times New Roman" w:eastAsia="Times New Roman" w:hAnsi="Times New Roman"/>
          <w:sz w:val="20"/>
          <w:szCs w:val="20"/>
          <w:rtl w:val="0"/>
        </w:rPr>
        <w:t xml:space="preserve"> diperoleh dari Tabel II. Waktu cuplik ditetapkan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10</m:t>
            </m:r>
          </m:sub>
        </m:sSub>
      </m:oMath>
      <w:r>
        <w:rPr>
          <w:rFonts w:ascii="Times New Roman" w:cs="Times New Roman" w:eastAsia="Times New Roman" w:hAnsi="Times New Roman"/>
          <w:sz w:val="20"/>
          <w:szCs w:val="20"/>
          <w:rtl w:val="0"/>
        </w:rPr>
        <w:t xml:space="preserve"> ms, cukup cepat dibandingkan dinamika plant.</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Simulasi dilakukan untuk tiga konfigurasi kendali: PID, proporsional (P) murni dengan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K</m:t>
            </m:r>
          </m:e>
          <m:sub>
            <m:r>
              <w:rPr>
                <w:rFonts w:ascii="Cambria Math" w:hAnsi="Cambria Math" w:eastAsia="Cambria Math" w:cs="Cambria Math"/>
                <w:sz w:val="20"/>
                <w:szCs w:val="20"/>
              </w:rPr>
              <m:t>u</m:t>
            </m:r>
          </m:sub>
        </m:sSub>
        <m:r>
          <w:rPr>
            <w:rFonts w:ascii="Cambria Math" w:hAnsi="Cambria Math" w:eastAsia="Cambria Math" w:cs="Cambria Math"/>
            <w:sz w:val="20"/>
            <w:szCs w:val="20"/>
          </w:rPr>
          <m:t>/2</m:t>
        </m:r>
      </m:oMath>
      <w:r>
        <w:rPr>
          <w:rFonts w:ascii="Times New Roman" w:cs="Times New Roman" w:eastAsia="Times New Roman" w:hAnsi="Times New Roman"/>
          <w:sz w:val="20"/>
          <w:szCs w:val="20"/>
          <w:rtl w:val="0"/>
        </w:rPr>
        <w:t>, dan kendali on-off (bang-bang) dengan histeresis 0.1 mm. Skenario beban dan gangguan diterapkan secara terpisah. Metrik kinerja yang dicatat adalah overshoot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waktu naik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r</m:t>
            </m:r>
          </m:sub>
        </m:sSub>
      </m:oMath>
      <w:r>
        <w:rPr>
          <w:rFonts w:ascii="Times New Roman" w:cs="Times New Roman" w:eastAsia="Times New Roman" w:hAnsi="Times New Roman"/>
          <w:sz w:val="20"/>
          <w:szCs w:val="20"/>
          <w:rtl w:val="0"/>
        </w:rPr>
        <w:t>), waktu penetapan (</w:t>
      </w:r>
      <m:oMath xmlns:mml="http://www.w3.org/1998/Math/MathML">
        <m:sSub>
          <m:e>
            <m:r>
              <w:rPr>
                <w:rFonts w:ascii="Cambria Math" w:hAnsi="Cambria Math" w:eastAsia="Cambria Math" w:cs="Cambria Math"/>
                <w:sz w:val="20"/>
                <w:szCs w:val="20"/>
              </w:rPr>
              <m:t>t</m:t>
            </m:r>
          </m:e>
          <m:sub>
            <m:r>
              <w:rPr>
                <w:rFonts w:ascii="Cambria Math" w:hAnsi="Cambria Math" w:eastAsia="Cambria Math" w:cs="Cambria Math"/>
                <w:sz w:val="20"/>
                <w:szCs w:val="20"/>
              </w:rPr>
              <m:t>s</m:t>
            </m:r>
          </m:sub>
        </m:sSub>
      </m:oMath>
      <w:r>
        <w:rPr>
          <w:rFonts w:ascii="Times New Roman" w:cs="Times New Roman" w:eastAsia="Times New Roman" w:hAnsi="Times New Roman"/>
          <w:sz w:val="20"/>
          <w:szCs w:val="20"/>
          <w:rtl w:val="0"/>
        </w:rPr>
        <w:t>) dengan kriteria 2%, dan kesalahan keadaan tunak (</w:t>
      </w:r>
      <m:oMath xmlns:mml="http://www.w3.org/1998/Math/MathML">
        <m:sSub>
          <m:e>
            <m:r>
              <w:rPr>
                <w:rFonts w:ascii="Cambria Math" w:hAnsi="Cambria Math" w:eastAsia="Cambria Math" w:cs="Cambria Math"/>
                <w:sz w:val="20"/>
                <w:szCs w:val="20"/>
              </w:rPr>
              <m:t>e</m:t>
            </m:r>
          </m:e>
          <m:sub>
            <m:r>
              <w:rPr>
                <w:rFonts w:ascii="Cambria Math" w:hAnsi="Cambria Math" w:eastAsia="Cambria Math" w:cs="Cambria Math"/>
                <w:sz w:val="20"/>
                <w:szCs w:val="20"/>
              </w:rPr>
              <m:t>ss</m:t>
            </m:r>
          </m:sub>
        </m:sSub>
      </m:oMath>
      <w:r>
        <w:rPr>
          <w:rFonts w:ascii="Times New Roman" w:cs="Times New Roman" w:eastAsia="Times New Roman" w:hAnsi="Times New Roman"/>
          <w:sz w:val="20"/>
          <w:szCs w:val="20"/>
          <w:rtl w:val="0"/>
        </w:rPr>
        <w:t>). Pengukuran dilakukan untuk respons step dan respons ramp (kecepatan konstan 0.1 m/s).</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4. Hasil dan Pembahasan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Bab ini menyajikan hasil simulasi sistem kendali PID pada lengan robot serta analisis perbandingan dengan metode kendali lainnya.</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4.1.</w:t>
        <w:tab/>
        <w:t>Hasil Simulasi Respons Step</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Hasil simulasi respons step untuk ketiga konfigurasi kendali tanpa beban tambahan disajikan pada Tabel III. Parameter PID hasil penalaan Ziegler-Nichols adalah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4</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i</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5</m:t>
            </m:r>
          </m:sub>
        </m:sSub>
      </m:oMath>
      <w:r>
        <w:rPr>
          <w:rFonts w:ascii="Times New Roman" w:cs="Times New Roman" w:eastAsia="Times New Roman" w:hAnsi="Times New Roman"/>
          <w:sz w:val="20"/>
          <w:szCs w:val="20"/>
          <w:rtl w:val="0"/>
        </w:rPr>
        <w:t xml:space="preserve">,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r>
          <w:rPr>
            <w:rFonts w:ascii="Cambria Math" w:hAnsi="Cambria Math" w:eastAsia="Cambria Math" w:cs="Cambria Math"/>
            <w:sz w:val="20"/>
            <w:szCs w:val="20"/>
          </w:rPr>
          <m:t>=</m:t>
        </m:r>
        <m:sSub>
          <m:e>
            <m:r>
              <w:rPr>
                <w:rFonts w:ascii="Cambria Math" w:hAnsi="Cambria Math" w:eastAsia="Cambria Math" w:cs="Cambria Math"/>
                <w:sz w:val="20"/>
                <w:szCs w:val="20"/>
              </w:rPr>
              <m:t>a</m:t>
            </m:r>
          </m:e>
          <m:sub>
            <m:r>
              <w:rPr>
                <w:rFonts w:ascii="Cambria Math" w:hAnsi="Cambria Math" w:eastAsia="Cambria Math" w:cs="Cambria Math"/>
                <w:sz w:val="20"/>
                <w:szCs w:val="20"/>
              </w:rPr>
              <m:t>6</m:t>
            </m:r>
          </m:sub>
        </m:sSub>
      </m:oMath>
      <w:r>
        <w:rPr>
          <w:rFonts w:ascii="Times New Roman" w:cs="Times New Roman" w:eastAsia="Times New Roman" w:hAnsi="Times New Roman"/>
          <w:sz w:val="20"/>
          <w:szCs w:val="20"/>
          <w:rtl w:val="0"/>
        </w:rPr>
        <w:t>. Dari tabel terlihat bahwa PID menghasilkan overshoot terkecil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dibandingkan kendali P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rFonts w:ascii="Times New Roman" w:cs="Times New Roman" w:eastAsia="Times New Roman" w:hAnsi="Times New Roman"/>
          <w:sz w:val="20"/>
          <w:szCs w:val="20"/>
          <w:rtl w:val="0"/>
        </w:rPr>
        <w:t>%) dan kendali on-off (</w:t>
      </w:r>
      <m:oMath xmlns:mml="http://www.w3.org/1998/Math/MathML">
        <m:sSub>
          <m:e>
            <m:r>
              <w:rPr>
                <w:rFonts w:ascii="Cambria Math" w:hAnsi="Cambria Math" w:eastAsia="Cambria Math" w:cs="Cambria Math"/>
                <w:sz w:val="20"/>
                <w:szCs w:val="20"/>
              </w:rPr>
              <m:t>M</m:t>
            </m:r>
          </m:e>
          <m:sub>
            <m:r>
              <w:rPr>
                <w:rFonts w:ascii="Cambria Math" w:hAnsi="Cambria Math" w:eastAsia="Cambria Math" w:cs="Cambria Math"/>
                <w:sz w:val="20"/>
                <w:szCs w:val="20"/>
              </w:rPr>
              <m:t>p</m:t>
            </m:r>
          </m:sub>
        </m:sSub>
        <m:r>
          <w:rPr>
            <w:rFonts w:ascii="Cambria Math" w:hAnsi="Cambria Math" w:eastAsia="Cambria Math" w:cs="Cambria Math"/>
            <w:sz w:val="20"/>
            <w:szCs w:val="20"/>
          </w:rPr>
          <m:t>=</m:t>
        </m:r>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rFonts w:ascii="Times New Roman" w:cs="Times New Roman" w:eastAsia="Times New Roman" w:hAnsi="Times New Roman"/>
          <w:sz w:val="20"/>
          <w:szCs w:val="20"/>
          <w:rtl w:val="0"/>
        </w:rPr>
        <w:t>%). Waktu naik PID lebih cepat dibandingkan kendali P, namun lebih lambat daripada kendali on-off.</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3.</w:t>
        <w:tab/>
        <w:t>Perbandingan Metrik Kinerja Respons Step Tanpa Beban</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733"/>
        <w:gridCol w:w="733"/>
        <w:gridCol w:w="779"/>
        <w:gridCol w:w="1008"/>
        <w:gridCol w:w="1425"/>
      </w:tblGrid>
      <w:tr>
        <w:tc>
          <w:tcPr>
            <w:tcW w:type="dxa" w:w="733"/>
            <w:vAlign w:val="center"/>
          </w:tcPr>
          <w:p>
            <w:pPr>
              <w:jc w:val="center"/>
            </w:pPr>
            <w:r>
              <w:rPr>
                <w:rFonts w:ascii="Arial Narrow" w:hAnsi="Arial Narrow" w:eastAsia="Arial Narrow" w:cs="Arial Narrow"/>
                <w:b/>
                <w:i w:val="0"/>
                <w:sz w:val="16"/>
                <w:u w:val="none"/>
              </w:rPr>
              <w:t>Metode Kendali</w:t>
            </w:r>
          </w:p>
        </w:tc>
        <w:tc>
          <w:tcPr>
            <w:tcW w:type="dxa" w:w="733"/>
            <w:vAlign w:val="center"/>
          </w:tcPr>
          <w:p>
            <w:pPr>
              <w:jc w:val="center"/>
            </w:pPr>
            <w:r>
              <w:rPr>
                <w:rFonts w:ascii="Arial Narrow" w:hAnsi="Arial Narrow" w:eastAsia="Arial Narrow" w:cs="Arial Narrow"/>
                <w:b/>
                <w:i w:val="0"/>
                <w:sz w:val="16"/>
                <w:u w:val="none"/>
              </w:rPr>
              <w:t xml:space="preserve">Overshoot </w:t>
            </w:r>
            <w:r>
              <w:rPr>
                <w:rFonts w:ascii="Arial Narrow" w:hAnsi="Arial Narrow" w:eastAsia="Arial Narrow" w:cs="Arial Narrow"/>
                <w:b/>
                <w:i w:val="0"/>
                <w:sz w:val="16"/>
                <w:u w:val="none"/>
              </w:rPr>
              <w:t>M_p</w:t>
            </w:r>
            <w:r>
              <w:rPr>
                <w:rFonts w:ascii="Arial Narrow" w:hAnsi="Arial Narrow" w:eastAsia="Arial Narrow" w:cs="Arial Narrow"/>
                <w:b/>
                <w:i w:val="0"/>
                <w:sz w:val="16"/>
                <w:u w:val="none"/>
              </w:rPr>
              <w:t xml:space="preserve"> (%) </w:t>
            </w:r>
          </w:p>
        </w:tc>
        <w:tc>
          <w:tcPr>
            <w:tcW w:type="dxa" w:w="779"/>
            <w:vAlign w:val="center"/>
          </w:tcPr>
          <w:p>
            <w:pPr>
              <w:jc w:val="center"/>
            </w:pPr>
            <w:r>
              <w:rPr>
                <w:rFonts w:ascii="Arial Narrow" w:hAnsi="Arial Narrow" w:eastAsia="Arial Narrow" w:cs="Arial Narrow"/>
                <w:b/>
                <w:i w:val="0"/>
                <w:sz w:val="16"/>
                <w:u w:val="none"/>
              </w:rPr>
              <w:t xml:space="preserve">Waktu Naik </w:t>
            </w:r>
            <w:r>
              <w:rPr>
                <w:rFonts w:ascii="Arial Narrow" w:hAnsi="Arial Narrow" w:eastAsia="Arial Narrow" w:cs="Arial Narrow"/>
                <w:b/>
                <w:i w:val="0"/>
                <w:sz w:val="16"/>
                <w:u w:val="none"/>
              </w:rPr>
              <w:t>t_r</w:t>
            </w:r>
            <w:r>
              <w:rPr>
                <w:rFonts w:ascii="Arial Narrow" w:hAnsi="Arial Narrow" w:eastAsia="Arial Narrow" w:cs="Arial Narrow"/>
                <w:b/>
                <w:i w:val="0"/>
                <w:sz w:val="16"/>
                <w:u w:val="none"/>
              </w:rPr>
              <w:t xml:space="preserve"> (s) </w:t>
            </w:r>
          </w:p>
        </w:tc>
        <w:tc>
          <w:tcPr>
            <w:tcW w:type="dxa" w:w="1008"/>
            <w:vAlign w:val="center"/>
          </w:tcPr>
          <w:p>
            <w:pPr>
              <w:jc w:val="center"/>
            </w:pPr>
            <w:r>
              <w:rPr>
                <w:rFonts w:ascii="Arial Narrow" w:hAnsi="Arial Narrow" w:eastAsia="Arial Narrow" w:cs="Arial Narrow"/>
                <w:b/>
                <w:i w:val="0"/>
                <w:sz w:val="16"/>
                <w:u w:val="none"/>
              </w:rPr>
              <w:t xml:space="preserve">Waktu Penetapan </w:t>
            </w:r>
            <w:r>
              <w:rPr>
                <w:rFonts w:ascii="Arial Narrow" w:hAnsi="Arial Narrow" w:eastAsia="Arial Narrow" w:cs="Arial Narrow"/>
                <w:b/>
                <w:i w:val="0"/>
                <w:sz w:val="16"/>
                <w:u w:val="none"/>
              </w:rPr>
              <w:t>t_s</w:t>
            </w:r>
            <w:r>
              <w:rPr>
                <w:rFonts w:ascii="Arial Narrow" w:hAnsi="Arial Narrow" w:eastAsia="Arial Narrow" w:cs="Arial Narrow"/>
                <w:b/>
                <w:i w:val="0"/>
                <w:sz w:val="16"/>
                <w:u w:val="none"/>
              </w:rPr>
              <w:t xml:space="preserve"> (s) </w:t>
            </w:r>
          </w:p>
        </w:tc>
        <w:tc>
          <w:tcPr>
            <w:tcW w:type="dxa" w:w="1425"/>
            <w:vAlign w:val="center"/>
          </w:tcPr>
          <w:p>
            <w:pPr>
              <w:jc w:val="center"/>
            </w:pPr>
            <w:r>
              <w:rPr>
                <w:rFonts w:ascii="Arial Narrow" w:hAnsi="Arial Narrow" w:eastAsia="Arial Narrow" w:cs="Arial Narrow"/>
                <w:b/>
                <w:i w:val="0"/>
                <w:sz w:val="16"/>
                <w:u w:val="none"/>
              </w:rPr>
              <w:t xml:space="preserve">Kesalahan Keadaan Tunak </w:t>
            </w:r>
            <w:r>
              <w:rPr>
                <w:rFonts w:ascii="Arial Narrow" w:hAnsi="Arial Narrow" w:eastAsia="Arial Narrow" w:cs="Arial Narrow"/>
                <w:b/>
                <w:i w:val="0"/>
                <w:sz w:val="16"/>
                <w:u w:val="none"/>
              </w:rPr>
              <w:t>e_{ss}</w:t>
            </w:r>
            <w:r>
              <w:rPr>
                <w:rFonts w:ascii="Arial Narrow" w:hAnsi="Arial Narrow" w:eastAsia="Arial Narrow" w:cs="Arial Narrow"/>
                <w:b/>
                <w:i w:val="0"/>
                <w:sz w:val="16"/>
                <w:u w:val="none"/>
              </w:rPr>
              <w:t xml:space="preserve"> (mm) </w:t>
            </w:r>
          </w:p>
        </w:tc>
      </w:tr>
      <w:tr>
        <w:tc>
          <w:tcPr>
            <w:tcW w:type="dxa" w:w="733"/>
            <w:vAlign w:val="center"/>
          </w:tcPr>
          <w:p>
            <w:pPr>
              <w:jc w:val="center"/>
            </w:pPr>
            <w:r>
              <w:rPr>
                <w:rFonts w:ascii="Arial Narrow" w:hAnsi="Arial Narrow" w:eastAsia="Arial Narrow" w:cs="Arial Narrow"/>
                <w:b w:val="0"/>
                <w:i w:val="0"/>
                <w:sz w:val="16"/>
                <w:u w:val="none"/>
              </w:rPr>
              <w:t>PID</w:t>
            </w:r>
          </w:p>
        </w:tc>
        <w:tc>
          <w:tcPr>
            <w:tcW w:type="dxa" w:w="733"/>
            <w:vAlign w:val="center"/>
          </w:tcPr>
          <w:p>
            <w:pPr>
              <w:jc w:val="center"/>
            </w:pPr>
            <w:r>
              <w:rPr>
                <w:rFonts w:ascii="Arial Narrow" w:hAnsi="Arial Narrow" w:eastAsia="Arial Narrow" w:cs="Arial Narrow"/>
                <w:b w:val="0"/>
                <w:i w:val="0"/>
                <w:sz w:val="16"/>
                <w:u w:val="none"/>
              </w:rPr>
              <w:t>X1</w:t>
            </w:r>
          </w:p>
        </w:tc>
        <w:tc>
          <w:tcPr>
            <w:tcW w:type="dxa" w:w="779"/>
            <w:vAlign w:val="center"/>
          </w:tcPr>
          <w:p>
            <w:pPr>
              <w:jc w:val="center"/>
            </w:pPr>
            <w:r>
              <w:rPr>
                <w:rFonts w:ascii="Arial Narrow" w:hAnsi="Arial Narrow" w:eastAsia="Arial Narrow" w:cs="Arial Narrow"/>
                <w:b w:val="0"/>
                <w:i w:val="0"/>
                <w:sz w:val="16"/>
                <w:u w:val="none"/>
              </w:rPr>
              <w:t>X2</w:t>
            </w:r>
          </w:p>
        </w:tc>
        <w:tc>
          <w:tcPr>
            <w:tcW w:type="dxa" w:w="1008"/>
            <w:vAlign w:val="center"/>
          </w:tcPr>
          <w:p>
            <w:pPr>
              <w:jc w:val="center"/>
            </w:pPr>
            <w:r>
              <w:rPr>
                <w:rFonts w:ascii="Arial Narrow" w:hAnsi="Arial Narrow" w:eastAsia="Arial Narrow" w:cs="Arial Narrow"/>
                <w:b w:val="0"/>
                <w:i w:val="0"/>
                <w:sz w:val="16"/>
                <w:u w:val="none"/>
              </w:rPr>
              <w:t>X3</w:t>
            </w:r>
          </w:p>
        </w:tc>
        <w:tc>
          <w:tcPr>
            <w:tcW w:type="dxa" w:w="1425"/>
            <w:vAlign w:val="center"/>
          </w:tcPr>
          <w:p>
            <w:pPr>
              <w:jc w:val="center"/>
            </w:pPr>
            <w:r>
              <w:rPr>
                <w:rFonts w:ascii="Arial Narrow" w:hAnsi="Arial Narrow" w:eastAsia="Arial Narrow" w:cs="Arial Narrow"/>
                <w:b w:val="0"/>
                <w:i w:val="0"/>
                <w:sz w:val="16"/>
                <w:u w:val="none"/>
              </w:rPr>
              <w:t>X4</w:t>
            </w:r>
          </w:p>
        </w:tc>
      </w:tr>
      <w:tr>
        <w:tc>
          <w:tcPr>
            <w:tcW w:type="dxa" w:w="733"/>
            <w:vAlign w:val="center"/>
          </w:tcPr>
          <w:p>
            <w:pPr>
              <w:jc w:val="center"/>
            </w:pPr>
            <w:r>
              <w:rPr>
                <w:rFonts w:ascii="Arial Narrow" w:hAnsi="Arial Narrow" w:eastAsia="Arial Narrow" w:cs="Arial Narrow"/>
                <w:b w:val="0"/>
                <w:i w:val="0"/>
                <w:sz w:val="16"/>
                <w:u w:val="none"/>
              </w:rPr>
              <w:t>Proporsional (P)</w:t>
            </w:r>
          </w:p>
        </w:tc>
        <w:tc>
          <w:tcPr>
            <w:tcW w:type="dxa" w:w="733"/>
            <w:vAlign w:val="center"/>
          </w:tcPr>
          <w:p>
            <w:pPr>
              <w:jc w:val="center"/>
            </w:pPr>
            <w:r>
              <w:rPr>
                <w:rFonts w:ascii="Arial Narrow" w:hAnsi="Arial Narrow" w:eastAsia="Arial Narrow" w:cs="Arial Narrow"/>
                <w:b w:val="0"/>
                <w:i w:val="0"/>
                <w:sz w:val="16"/>
                <w:u w:val="none"/>
              </w:rPr>
              <w:t>X5</w:t>
            </w:r>
          </w:p>
        </w:tc>
        <w:tc>
          <w:tcPr>
            <w:tcW w:type="dxa" w:w="779"/>
            <w:vAlign w:val="center"/>
          </w:tcPr>
          <w:p>
            <w:pPr>
              <w:jc w:val="center"/>
            </w:pPr>
            <w:r>
              <w:rPr>
                <w:rFonts w:ascii="Arial Narrow" w:hAnsi="Arial Narrow" w:eastAsia="Arial Narrow" w:cs="Arial Narrow"/>
                <w:b w:val="0"/>
                <w:i w:val="0"/>
                <w:sz w:val="16"/>
                <w:u w:val="none"/>
              </w:rPr>
              <w:t>X6</w:t>
            </w:r>
          </w:p>
        </w:tc>
        <w:tc>
          <w:tcPr>
            <w:tcW w:type="dxa" w:w="1008"/>
            <w:vAlign w:val="center"/>
          </w:tcPr>
          <w:p>
            <w:pPr>
              <w:jc w:val="center"/>
            </w:pPr>
            <w:r>
              <w:rPr>
                <w:rFonts w:ascii="Arial Narrow" w:hAnsi="Arial Narrow" w:eastAsia="Arial Narrow" w:cs="Arial Narrow"/>
                <w:b w:val="0"/>
                <w:i w:val="0"/>
                <w:sz w:val="16"/>
                <w:u w:val="none"/>
              </w:rPr>
              <w:t>X7</w:t>
            </w:r>
          </w:p>
        </w:tc>
        <w:tc>
          <w:tcPr>
            <w:tcW w:type="dxa" w:w="1425"/>
            <w:vAlign w:val="center"/>
          </w:tcPr>
          <w:p>
            <w:pPr>
              <w:jc w:val="center"/>
            </w:pPr>
            <w:r>
              <w:rPr>
                <w:rFonts w:ascii="Arial Narrow" w:hAnsi="Arial Narrow" w:eastAsia="Arial Narrow" w:cs="Arial Narrow"/>
                <w:b w:val="0"/>
                <w:i w:val="0"/>
                <w:sz w:val="16"/>
                <w:u w:val="none"/>
              </w:rPr>
              <w:t>X8</w:t>
            </w:r>
          </w:p>
        </w:tc>
      </w:tr>
      <w:tr>
        <w:tc>
          <w:tcPr>
            <w:tcW w:type="dxa" w:w="733"/>
            <w:vAlign w:val="center"/>
          </w:tcPr>
          <w:p>
            <w:pPr>
              <w:jc w:val="center"/>
            </w:pPr>
            <w:r>
              <w:rPr>
                <w:rFonts w:ascii="Arial Narrow" w:hAnsi="Arial Narrow" w:eastAsia="Arial Narrow" w:cs="Arial Narrow"/>
                <w:b w:val="0"/>
                <w:i w:val="0"/>
                <w:sz w:val="16"/>
                <w:u w:val="none"/>
              </w:rPr>
              <w:t>On-Off</w:t>
            </w:r>
          </w:p>
        </w:tc>
        <w:tc>
          <w:tcPr>
            <w:tcW w:type="dxa" w:w="733"/>
            <w:vAlign w:val="center"/>
          </w:tcPr>
          <w:p>
            <w:pPr>
              <w:jc w:val="center"/>
            </w:pPr>
            <w:r>
              <w:rPr>
                <w:rFonts w:ascii="Arial Narrow" w:hAnsi="Arial Narrow" w:eastAsia="Arial Narrow" w:cs="Arial Narrow"/>
                <w:b w:val="0"/>
                <w:i w:val="0"/>
                <w:sz w:val="16"/>
                <w:u w:val="none"/>
              </w:rPr>
              <w:t>X9</w:t>
            </w:r>
          </w:p>
        </w:tc>
        <w:tc>
          <w:tcPr>
            <w:tcW w:type="dxa" w:w="779"/>
            <w:vAlign w:val="center"/>
          </w:tcPr>
          <w:p>
            <w:pPr>
              <w:jc w:val="center"/>
            </w:pPr>
            <w:r>
              <w:rPr>
                <w:rFonts w:ascii="Arial Narrow" w:hAnsi="Arial Narrow" w:eastAsia="Arial Narrow" w:cs="Arial Narrow"/>
                <w:b w:val="0"/>
                <w:i w:val="0"/>
                <w:sz w:val="16"/>
                <w:u w:val="none"/>
              </w:rPr>
              <w:t>X10</w:t>
            </w:r>
          </w:p>
        </w:tc>
        <w:tc>
          <w:tcPr>
            <w:tcW w:type="dxa" w:w="1008"/>
            <w:vAlign w:val="center"/>
          </w:tcPr>
          <w:p>
            <w:pPr>
              <w:jc w:val="center"/>
            </w:pPr>
            <w:r>
              <w:rPr>
                <w:rFonts w:ascii="Arial Narrow" w:hAnsi="Arial Narrow" w:eastAsia="Arial Narrow" w:cs="Arial Narrow"/>
                <w:b w:val="0"/>
                <w:i w:val="0"/>
                <w:sz w:val="16"/>
                <w:u w:val="none"/>
              </w:rPr>
              <w:t>X11</w:t>
            </w:r>
          </w:p>
        </w:tc>
        <w:tc>
          <w:tcPr>
            <w:tcW w:type="dxa" w:w="1425"/>
            <w:vAlign w:val="center"/>
          </w:tcPr>
          <w:p>
            <w:pPr>
              <w:jc w:val="center"/>
            </w:pPr>
            <w:r>
              <w:rPr>
                <w:rFonts w:ascii="Arial Narrow" w:hAnsi="Arial Narrow" w:eastAsia="Arial Narrow" w:cs="Arial Narrow"/>
                <w:b w:val="0"/>
                <w:i w:val="0"/>
                <w:sz w:val="16"/>
                <w:u w:val="none"/>
              </w:rPr>
              <w:t>X12</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Data pada Tabel III menunjukkan bahwa kendali PID mampu mencapai kesalahan keadaan tunak nol, sedangkan kendali P meninggalkan offset sekitar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8</m:t>
            </m:r>
          </m:sub>
        </m:sSub>
      </m:oMath>
      <w:r>
        <w:rPr>
          <w:rFonts w:ascii="Times New Roman" w:cs="Times New Roman" w:eastAsia="Times New Roman" w:hAnsi="Times New Roman"/>
          <w:sz w:val="20"/>
          <w:szCs w:val="20"/>
          <w:rtl w:val="0"/>
        </w:rPr>
        <w:t xml:space="preserve"> mm dan kendali on-off menghasilkan osilasi di sekitar set point dengan amplitudo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13</m:t>
            </m:r>
          </m:sub>
        </m:sSub>
      </m:oMath>
      <w:r>
        <w:rPr>
          <w:rFonts w:ascii="Times New Roman" w:cs="Times New Roman" w:eastAsia="Times New Roman" w:hAnsi="Times New Roman"/>
          <w:sz w:val="20"/>
          <w:szCs w:val="20"/>
          <w:rtl w:val="0"/>
        </w:rPr>
        <w:t xml:space="preserve"> mm. Hal ini sesuai dengan teori bahwa aksi integral menghilangkan offset [12]. Overshoot PID yang kecil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menunjukkan redaman yang baik, dicapai berkat aksi derivatif yang memberikan efek antisipatif.</w:t>
      </w:r>
    </w:p>
    <w:p>
      <w:pPr>
        <w:tabs>
          <w:tab w:val="left" w:leader="none" w:pos="851"/>
        </w:tabs>
        <w:spacing w:line="240" w:lineRule="auto" w:before="60" w:after="60"/>
        <w:jc w:val="center"/>
        <w:rPr>
          <w:rFonts w:ascii="Times New Roman" w:cs="Times New Roman" w:eastAsia="Times New Roman" w:hAnsi="Times New Roman"/>
          <w:sz w:val="20"/>
          <w:szCs w:val="20"/>
        </w:rPr>
      </w:pPr>
      <w:r>
        <w:rPr>
          <w:rFonts w:ascii="Times New Roman" w:cs="Times New Roman" w:eastAsia="Times New Roman" w:hAnsi="Times New Roman"/>
          <w:i/>
          <w:sz w:val="20"/>
          <w:szCs w:val="20"/>
          <w:rtl w:val="0"/>
        </w:rPr>
        <w:t>/home/sirobo/papergenerator/backend/tools/Journal/user/anabilhisyam23/c689a97227d0/image/step_response_plot.jpg</w:t>
      </w:r>
    </w:p>
    <w:p>
      <w:pPr>
        <w:tabs>
          <w:tab w:val="left" w:leader="none" w:pos="0"/>
        </w:tabs>
        <w:spacing w:line="240" w:lineRule="auto" w:before="60" w:after="12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Gambar 4. Respons step sistem kendali posisi lengan robot dengan PID, P, dan On-Off</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4.2.</w:t>
        <w:tab/>
        <w:t>Analisis Respons terhadap Gangguan dan Beban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Pengujian dengan beban elektroda (massa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7</m:t>
            </m:r>
          </m:sub>
        </m:sSub>
      </m:oMath>
      <w:r>
        <w:rPr>
          <w:rFonts w:ascii="Times New Roman" w:cs="Times New Roman" w:eastAsia="Times New Roman" w:hAnsi="Times New Roman"/>
          <w:sz w:val="20"/>
          <w:szCs w:val="20"/>
          <w:rtl w:val="0"/>
        </w:rPr>
        <w:t xml:space="preserve"> kg) menunjukkan bahwa kendali PID tetap mampu mempertahankan kesalahan keadaan tunak nol, namun overshoot meningkat menjadi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14</m:t>
            </m:r>
          </m:sub>
        </m:sSub>
      </m:oMath>
      <w:r>
        <w:rPr>
          <w:rFonts w:ascii="Times New Roman" w:cs="Times New Roman" w:eastAsia="Times New Roman" w:hAnsi="Times New Roman"/>
          <w:sz w:val="20"/>
          <w:szCs w:val="20"/>
          <w:rtl w:val="0"/>
        </w:rPr>
        <w:t xml:space="preserve">% dan waktu penetapan menjadi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15</m:t>
            </m:r>
          </m:sub>
        </m:sSub>
      </m:oMath>
      <w:r>
        <w:rPr>
          <w:rFonts w:ascii="Times New Roman" w:cs="Times New Roman" w:eastAsia="Times New Roman" w:hAnsi="Times New Roman"/>
          <w:sz w:val="20"/>
          <w:szCs w:val="20"/>
          <w:rtl w:val="0"/>
        </w:rPr>
        <w:t xml:space="preserve"> s. Kendali P menunjukkan offset yang lebih 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16</m:t>
            </m:r>
          </m:sub>
        </m:sSub>
      </m:oMath>
      <w:r>
        <w:rPr>
          <w:rFonts w:ascii="Times New Roman" w:cs="Times New Roman" w:eastAsia="Times New Roman" w:hAnsi="Times New Roman"/>
          <w:sz w:val="20"/>
          <w:szCs w:val="20"/>
          <w:rtl w:val="0"/>
        </w:rPr>
        <w:t xml:space="preserve"> mm), sedangkan kendali on-off menunjukkan osilasi dengan amplitudo lebih lebar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17</m:t>
            </m:r>
          </m:sub>
        </m:sSub>
      </m:oMath>
      <w:r>
        <w:rPr>
          <w:rFonts w:ascii="Times New Roman" w:cs="Times New Roman" w:eastAsia="Times New Roman" w:hAnsi="Times New Roman"/>
          <w:sz w:val="20"/>
          <w:szCs w:val="20"/>
          <w:rtl w:val="0"/>
        </w:rPr>
        <w:t xml:space="preserve"> mm). Hal ini konsisten dengan penelitian Kumar et al. [8] yang menemukan bahwa beban meningkatkan overshoot pada kendali PID.</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4.</w:t>
        <w:tab/>
        <w:t>Pengaruh Beban Elektroda terhadap Kinerja Kendali PID</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877"/>
        <w:gridCol w:w="950"/>
        <w:gridCol w:w="1388"/>
        <w:gridCol w:w="1463"/>
      </w:tblGrid>
      <w:tr>
        <w:tc>
          <w:tcPr>
            <w:tcW w:type="dxa" w:w="877"/>
            <w:vAlign w:val="center"/>
          </w:tcPr>
          <w:p>
            <w:pPr>
              <w:jc w:val="center"/>
            </w:pPr>
            <w:r>
              <w:rPr>
                <w:rFonts w:ascii="Arial Narrow" w:hAnsi="Arial Narrow" w:eastAsia="Arial Narrow" w:cs="Arial Narrow"/>
                <w:b/>
                <w:i w:val="0"/>
                <w:sz w:val="16"/>
                <w:u w:val="none"/>
              </w:rPr>
              <w:t>Kondisi</w:t>
            </w:r>
          </w:p>
        </w:tc>
        <w:tc>
          <w:tcPr>
            <w:tcW w:type="dxa" w:w="950"/>
            <w:vAlign w:val="center"/>
          </w:tcPr>
          <w:p>
            <w:pPr>
              <w:jc w:val="center"/>
            </w:pPr>
            <w:r>
              <w:rPr>
                <w:rFonts w:ascii="Arial Narrow" w:hAnsi="Arial Narrow" w:eastAsia="Arial Narrow" w:cs="Arial Narrow"/>
                <w:b/>
                <w:i w:val="0"/>
                <w:sz w:val="16"/>
                <w:u w:val="none"/>
              </w:rPr>
              <w:t xml:space="preserve">Overshoot (%) </w:t>
            </w:r>
          </w:p>
        </w:tc>
        <w:tc>
          <w:tcPr>
            <w:tcW w:type="dxa" w:w="1388"/>
            <w:vAlign w:val="center"/>
          </w:tcPr>
          <w:p>
            <w:pPr>
              <w:jc w:val="center"/>
            </w:pPr>
            <w:r>
              <w:rPr>
                <w:rFonts w:ascii="Arial Narrow" w:hAnsi="Arial Narrow" w:eastAsia="Arial Narrow" w:cs="Arial Narrow"/>
                <w:b/>
                <w:i w:val="0"/>
                <w:sz w:val="16"/>
                <w:u w:val="none"/>
              </w:rPr>
              <w:t xml:space="preserve">Waktu Penetapan (s) </w:t>
            </w:r>
          </w:p>
        </w:tc>
        <w:tc>
          <w:tcPr>
            <w:tcW w:type="dxa" w:w="1463"/>
            <w:vAlign w:val="center"/>
          </w:tcPr>
          <w:p>
            <w:pPr>
              <w:jc w:val="center"/>
            </w:pPr>
            <w:r>
              <w:rPr>
                <w:rFonts w:ascii="Arial Narrow" w:hAnsi="Arial Narrow" w:eastAsia="Arial Narrow" w:cs="Arial Narrow"/>
                <w:b/>
                <w:i w:val="0"/>
                <w:sz w:val="16"/>
                <w:u w:val="none"/>
              </w:rPr>
              <w:t xml:space="preserve">Kesalahan Tunak (mm) </w:t>
            </w:r>
          </w:p>
        </w:tc>
      </w:tr>
      <w:tr>
        <w:tc>
          <w:tcPr>
            <w:tcW w:type="dxa" w:w="877"/>
            <w:vAlign w:val="center"/>
          </w:tcPr>
          <w:p>
            <w:pPr>
              <w:jc w:val="center"/>
            </w:pPr>
            <w:r>
              <w:rPr>
                <w:rFonts w:ascii="Arial Narrow" w:hAnsi="Arial Narrow" w:eastAsia="Arial Narrow" w:cs="Arial Narrow"/>
                <w:b w:val="0"/>
                <w:i w:val="0"/>
                <w:sz w:val="16"/>
                <w:u w:val="none"/>
              </w:rPr>
              <w:t>Tanpa beban</w:t>
            </w:r>
          </w:p>
        </w:tc>
        <w:tc>
          <w:tcPr>
            <w:tcW w:type="dxa" w:w="950"/>
            <w:vAlign w:val="center"/>
          </w:tcPr>
          <w:p>
            <w:pPr>
              <w:jc w:val="center"/>
            </w:pPr>
            <w:r>
              <w:rPr>
                <w:rFonts w:ascii="Arial Narrow" w:hAnsi="Arial Narrow" w:eastAsia="Arial Narrow" w:cs="Arial Narrow"/>
                <w:b w:val="0"/>
                <w:i w:val="0"/>
                <w:sz w:val="16"/>
                <w:u w:val="none"/>
              </w:rPr>
              <w:t>X1</w:t>
            </w:r>
          </w:p>
        </w:tc>
        <w:tc>
          <w:tcPr>
            <w:tcW w:type="dxa" w:w="1388"/>
            <w:vAlign w:val="center"/>
          </w:tcPr>
          <w:p>
            <w:pPr>
              <w:jc w:val="center"/>
            </w:pPr>
            <w:r>
              <w:rPr>
                <w:rFonts w:ascii="Arial Narrow" w:hAnsi="Arial Narrow" w:eastAsia="Arial Narrow" w:cs="Arial Narrow"/>
                <w:b w:val="0"/>
                <w:i w:val="0"/>
                <w:sz w:val="16"/>
                <w:u w:val="none"/>
              </w:rPr>
              <w:t>X3</w:t>
            </w:r>
          </w:p>
        </w:tc>
        <w:tc>
          <w:tcPr>
            <w:tcW w:type="dxa" w:w="1463"/>
            <w:vAlign w:val="center"/>
          </w:tcPr>
          <w:p>
            <w:pPr>
              <w:jc w:val="center"/>
            </w:pPr>
            <w:r>
              <w:rPr>
                <w:rFonts w:ascii="Arial Narrow" w:hAnsi="Arial Narrow" w:eastAsia="Arial Narrow" w:cs="Arial Narrow"/>
                <w:b w:val="0"/>
                <w:i w:val="0"/>
                <w:sz w:val="16"/>
                <w:u w:val="none"/>
              </w:rPr>
              <w:t>0</w:t>
            </w:r>
          </w:p>
        </w:tc>
      </w:tr>
      <w:tr>
        <w:tc>
          <w:tcPr>
            <w:tcW w:type="dxa" w:w="877"/>
            <w:vAlign w:val="center"/>
          </w:tcPr>
          <w:p>
            <w:pPr>
              <w:jc w:val="center"/>
            </w:pPr>
            <w:r>
              <w:rPr>
                <w:rFonts w:ascii="Arial Narrow" w:hAnsi="Arial Narrow" w:eastAsia="Arial Narrow" w:cs="Arial Narrow"/>
                <w:b w:val="0"/>
                <w:i w:val="0"/>
                <w:sz w:val="16"/>
                <w:u w:val="none"/>
              </w:rPr>
              <w:t>Dengan beban</w:t>
            </w:r>
          </w:p>
        </w:tc>
        <w:tc>
          <w:tcPr>
            <w:tcW w:type="dxa" w:w="950"/>
            <w:vAlign w:val="center"/>
          </w:tcPr>
          <w:p>
            <w:pPr>
              <w:jc w:val="center"/>
            </w:pPr>
            <w:r>
              <w:rPr>
                <w:rFonts w:ascii="Arial Narrow" w:hAnsi="Arial Narrow" w:eastAsia="Arial Narrow" w:cs="Arial Narrow"/>
                <w:b w:val="0"/>
                <w:i w:val="0"/>
                <w:sz w:val="16"/>
                <w:u w:val="none"/>
              </w:rPr>
              <w:t>X14</w:t>
            </w:r>
          </w:p>
        </w:tc>
        <w:tc>
          <w:tcPr>
            <w:tcW w:type="dxa" w:w="1388"/>
            <w:vAlign w:val="center"/>
          </w:tcPr>
          <w:p>
            <w:pPr>
              <w:jc w:val="center"/>
            </w:pPr>
            <w:r>
              <w:rPr>
                <w:rFonts w:ascii="Arial Narrow" w:hAnsi="Arial Narrow" w:eastAsia="Arial Narrow" w:cs="Arial Narrow"/>
                <w:b w:val="0"/>
                <w:i w:val="0"/>
                <w:sz w:val="16"/>
                <w:u w:val="none"/>
              </w:rPr>
              <w:t>X15</w:t>
            </w:r>
          </w:p>
        </w:tc>
        <w:tc>
          <w:tcPr>
            <w:tcW w:type="dxa" w:w="1463"/>
            <w:vAlign w:val="center"/>
          </w:tcPr>
          <w:p>
            <w:pPr>
              <w:jc w:val="center"/>
            </w:pPr>
            <w:r>
              <w:rPr>
                <w:rFonts w:ascii="Arial Narrow" w:hAnsi="Arial Narrow" w:eastAsia="Arial Narrow" w:cs="Arial Narrow"/>
                <w:b w:val="0"/>
                <w:i w:val="0"/>
                <w:sz w:val="16"/>
                <w:u w:val="none"/>
              </w:rPr>
              <w:t>0</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Hasil pada Tabel IV mengindikasikan bahwa sistem kendali PID dapat mengkompensasi efek beban karena aksi integral, meskipun overshoot meningkat. Untuk mengurangi overshoot, dapat dilakukan fine-tuning dengan menurunkan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p</m:t>
            </m:r>
          </m:sub>
        </m:sSub>
      </m:oMath>
      <w:r>
        <w:rPr>
          <w:rFonts w:ascii="Times New Roman" w:cs="Times New Roman" w:eastAsia="Times New Roman" w:hAnsi="Times New Roman"/>
          <w:sz w:val="20"/>
          <w:szCs w:val="20"/>
          <w:rtl w:val="0"/>
        </w:rPr>
        <w:t xml:space="preserve"> dan menaikkan </w:t>
      </w:r>
      <m:oMath xmlns:mml="http://www.w3.org/1998/Math/MathML">
        <m:sSub>
          <m:e>
            <m:r>
              <w:rPr>
                <w:rFonts w:ascii="Cambria Math" w:hAnsi="Cambria Math" w:eastAsia="Cambria Math" w:cs="Cambria Math"/>
                <w:sz w:val="20"/>
                <w:szCs w:val="20"/>
              </w:rPr>
              <m:t>K</m:t>
            </m:r>
          </m:e>
          <m:sub>
            <m:r>
              <w:rPr>
                <w:rFonts w:ascii="Cambria Math" w:hAnsi="Cambria Math" w:eastAsia="Cambria Math" w:cs="Cambria Math"/>
                <w:sz w:val="20"/>
                <w:szCs w:val="20"/>
              </w:rPr>
              <m:t>d</m:t>
            </m:r>
          </m:sub>
        </m:sSub>
      </m:oMath>
      <w:r>
        <w:rPr>
          <w:rFonts w:ascii="Times New Roman" w:cs="Times New Roman" w:eastAsia="Times New Roman" w:hAnsi="Times New Roman"/>
          <w:sz w:val="20"/>
          <w:szCs w:val="20"/>
          <w:rtl w:val="0"/>
        </w:rPr>
        <w:t xml:space="preserve"> secara manual.</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Saat gangguan sinusoidal (getaran konveyor) diterapkan dengan amplitudo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8</m:t>
            </m:r>
          </m:sub>
        </m:sSub>
      </m:oMath>
      <w:r>
        <w:rPr>
          <w:rFonts w:ascii="Times New Roman" w:cs="Times New Roman" w:eastAsia="Times New Roman" w:hAnsi="Times New Roman"/>
          <w:sz w:val="20"/>
          <w:szCs w:val="20"/>
          <w:rtl w:val="0"/>
        </w:rPr>
        <w:t xml:space="preserve"> dan frekuensi </w:t>
      </w:r>
      <m:oMath xmlns:mml="http://www.w3.org/1998/Math/MathML">
        <m:sSub>
          <m:e>
            <m:r>
              <w:rPr>
                <w:rFonts w:ascii="Cambria Math" w:hAnsi="Cambria Math" w:eastAsia="Cambria Math" w:cs="Cambria Math"/>
                <w:sz w:val="20"/>
                <w:szCs w:val="20"/>
              </w:rPr>
              <m:t>a</m:t>
            </m:r>
          </m:e>
          <m:sub>
            <m:r>
              <w:rPr>
                <w:rFonts w:ascii="Cambria Math" w:hAnsi="Cambria Math" w:eastAsia="Cambria Math" w:cs="Cambria Math"/>
                <w:sz w:val="20"/>
                <w:szCs w:val="20"/>
              </w:rPr>
              <m:t>9</m:t>
            </m:r>
          </m:sub>
        </m:sSub>
      </m:oMath>
      <w:r>
        <w:rPr>
          <w:rFonts w:ascii="Times New Roman" w:cs="Times New Roman" w:eastAsia="Times New Roman" w:hAnsi="Times New Roman"/>
          <w:sz w:val="20"/>
          <w:szCs w:val="20"/>
          <w:rtl w:val="0"/>
        </w:rPr>
        <w:t xml:space="preserve"> Hz, kesalahan jejak lintasan ramp meningkat. PID menghasilkan error RMS sebesar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18</m:t>
            </m:r>
          </m:sub>
        </m:sSub>
      </m:oMath>
      <w:r>
        <w:rPr>
          <w:rFonts w:ascii="Times New Roman" w:cs="Times New Roman" w:eastAsia="Times New Roman" w:hAnsi="Times New Roman"/>
          <w:sz w:val="20"/>
          <w:szCs w:val="20"/>
          <w:rtl w:val="0"/>
        </w:rPr>
        <w:t xml:space="preserve"> mm, lebih kecil dibandingkan kendali P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19</m:t>
            </m:r>
          </m:sub>
        </m:sSub>
      </m:oMath>
      <w:r>
        <w:rPr>
          <w:rFonts w:ascii="Times New Roman" w:cs="Times New Roman" w:eastAsia="Times New Roman" w:hAnsi="Times New Roman"/>
          <w:sz w:val="20"/>
          <w:szCs w:val="20"/>
          <w:rtl w:val="0"/>
        </w:rPr>
        <w:t xml:space="preserve"> mm) dan kendali on-off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20</m:t>
            </m:r>
          </m:sub>
        </m:sSub>
      </m:oMath>
      <w:r>
        <w:rPr>
          <w:rFonts w:ascii="Times New Roman" w:cs="Times New Roman" w:eastAsia="Times New Roman" w:hAnsi="Times New Roman"/>
          <w:sz w:val="20"/>
          <w:szCs w:val="20"/>
          <w:rtl w:val="0"/>
        </w:rPr>
        <w:t xml:space="preserve"> mm). Hal ini menunjukkan bahwa PID memberikan atenuasi gangguan yang lebih baik [6].</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4.3.</w:t>
        <w:tab/>
        <w:t>Perbandingan dengan Metode Kendali Lain dari Literatur</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yang sebanding dengan PID adaptif Smith [6]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dan lebih baik dari PID tetap pada studi Chen [7]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2</m:t>
            </m:r>
          </m:sub>
        </m:sSub>
      </m:oMath>
      <w:r>
        <w:rPr>
          <w:rFonts w:ascii="Times New Roman" w:cs="Times New Roman" w:eastAsia="Times New Roman" w:hAnsi="Times New Roman"/>
          <w:sz w:val="20"/>
          <w:szCs w:val="20"/>
          <w:rtl w:val="0"/>
        </w:rPr>
        <w:t>%).</w:t>
      </w:r>
    </w:p>
    <w:p>
      <w:pPr>
        <w:tabs>
          <w:tab w:val="left" w:leader="none" w:pos="0"/>
        </w:tabs>
        <w:spacing w:line="240" w:lineRule="auto" w:before="120" w:after="60"/>
        <w:jc w:val="center"/>
        <w:rPr>
          <w:rFonts w:ascii="Times New Roman" w:cs="Times New Roman" w:eastAsia="Times New Roman" w:hAnsi="Times New Roman"/>
          <w:color w:val="000000"/>
          <w:sz w:val="18"/>
          <w:szCs w:val="18"/>
        </w:rPr>
      </w:pPr>
      <w:r>
        <w:rPr>
          <w:rFonts w:ascii="Times New Roman" w:cs="Times New Roman" w:eastAsia="Times New Roman" w:hAnsi="Times New Roman"/>
          <w:color w:val="000000"/>
          <w:sz w:val="18"/>
          <w:szCs w:val="18"/>
          <w:rtl w:val="0"/>
        </w:rPr>
        <w:t>Tabel 5.</w:t>
        <w:tab/>
        <w:t>Perbandingan Kinerja dengan Metode dari Literatur</w:t>
      </w:r>
    </w:p>
    <w:tbl>
      <w:tblPr>
        <w:tblW w:type="dxa" w:w="4678"/>
        <w:jc w:val="center"/>
        <w:tblLayout w:type="fixed"/>
        <w:tblLook w:firstColumn="1" w:firstRow="1" w:lastColumn="0" w:lastRow="0" w:noHBand="0" w:noVBand="1" w:val="0000"/>
        <w:tblStyle w:val="Table1"/>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Pr>
      <w:tblGrid>
        <w:gridCol w:w="1913"/>
        <w:gridCol w:w="691"/>
        <w:gridCol w:w="1010"/>
        <w:gridCol w:w="1064"/>
      </w:tblGrid>
      <w:tr>
        <w:tc>
          <w:tcPr>
            <w:tcW w:type="dxa" w:w="1913"/>
            <w:vAlign w:val="center"/>
          </w:tcPr>
          <w:p>
            <w:pPr>
              <w:jc w:val="center"/>
            </w:pPr>
            <w:r>
              <w:rPr>
                <w:rFonts w:ascii="Arial Narrow" w:hAnsi="Arial Narrow" w:eastAsia="Arial Narrow" w:cs="Arial Narrow"/>
                <w:b/>
                <w:i w:val="0"/>
                <w:sz w:val="16"/>
                <w:u w:val="none"/>
              </w:rPr>
              <w:t>Metode</w:t>
            </w:r>
          </w:p>
        </w:tc>
        <w:tc>
          <w:tcPr>
            <w:tcW w:type="dxa" w:w="691"/>
            <w:vAlign w:val="center"/>
          </w:tcPr>
          <w:p>
            <w:pPr>
              <w:jc w:val="center"/>
            </w:pPr>
            <w:r>
              <w:rPr>
                <w:rFonts w:ascii="Arial Narrow" w:hAnsi="Arial Narrow" w:eastAsia="Arial Narrow" w:cs="Arial Narrow"/>
                <w:b/>
                <w:i w:val="0"/>
                <w:sz w:val="16"/>
                <w:u w:val="none"/>
              </w:rPr>
              <w:t xml:space="preserve">Overshoot (%) </w:t>
            </w:r>
          </w:p>
        </w:tc>
        <w:tc>
          <w:tcPr>
            <w:tcW w:type="dxa" w:w="1010"/>
            <w:vAlign w:val="center"/>
          </w:tcPr>
          <w:p>
            <w:pPr>
              <w:jc w:val="center"/>
            </w:pPr>
            <w:r>
              <w:rPr>
                <w:rFonts w:ascii="Arial Narrow" w:hAnsi="Arial Narrow" w:eastAsia="Arial Narrow" w:cs="Arial Narrow"/>
                <w:b/>
                <w:i w:val="0"/>
                <w:sz w:val="16"/>
                <w:u w:val="none"/>
              </w:rPr>
              <w:t xml:space="preserve">Waktu Penetapan (s) </w:t>
            </w:r>
          </w:p>
        </w:tc>
        <w:tc>
          <w:tcPr>
            <w:tcW w:type="dxa" w:w="1064"/>
            <w:vAlign w:val="center"/>
          </w:tcPr>
          <w:p>
            <w:pPr>
              <w:jc w:val="center"/>
            </w:pPr>
            <w:r>
              <w:rPr>
                <w:rFonts w:ascii="Arial Narrow" w:hAnsi="Arial Narrow" w:eastAsia="Arial Narrow" w:cs="Arial Narrow"/>
                <w:b/>
                <w:i w:val="0"/>
                <w:sz w:val="16"/>
                <w:u w:val="none"/>
              </w:rPr>
              <w:t xml:space="preserve">Kesalahan Tunak (mm) </w:t>
            </w:r>
          </w:p>
        </w:tc>
      </w:tr>
      <w:tr>
        <w:tc>
          <w:tcPr>
            <w:tcW w:type="dxa" w:w="1913"/>
            <w:vAlign w:val="center"/>
          </w:tcPr>
          <w:p>
            <w:pPr>
              <w:jc w:val="center"/>
            </w:pPr>
            <w:r>
              <w:rPr>
                <w:rFonts w:ascii="Arial Narrow" w:hAnsi="Arial Narrow" w:eastAsia="Arial Narrow" w:cs="Arial Narrow"/>
                <w:b w:val="0"/>
                <w:i w:val="0"/>
                <w:sz w:val="16"/>
                <w:u w:val="none"/>
              </w:rPr>
              <w:t>PID Ziegler-Nichols (penelitian ini)</w:t>
            </w:r>
          </w:p>
        </w:tc>
        <w:tc>
          <w:tcPr>
            <w:tcW w:type="dxa" w:w="691"/>
            <w:vAlign w:val="center"/>
          </w:tcPr>
          <w:p>
            <w:pPr>
              <w:jc w:val="center"/>
            </w:pPr>
            <w:r>
              <w:rPr>
                <w:rFonts w:ascii="Arial Narrow" w:hAnsi="Arial Narrow" w:eastAsia="Arial Narrow" w:cs="Arial Narrow"/>
                <w:b w:val="0"/>
                <w:i w:val="0"/>
                <w:sz w:val="16"/>
                <w:u w:val="none"/>
              </w:rPr>
              <w:t>X1</w:t>
            </w:r>
          </w:p>
        </w:tc>
        <w:tc>
          <w:tcPr>
            <w:tcW w:type="dxa" w:w="1010"/>
            <w:vAlign w:val="center"/>
          </w:tcPr>
          <w:p>
            <w:pPr>
              <w:jc w:val="center"/>
            </w:pPr>
            <w:r>
              <w:rPr>
                <w:rFonts w:ascii="Arial Narrow" w:hAnsi="Arial Narrow" w:eastAsia="Arial Narrow" w:cs="Arial Narrow"/>
                <w:b w:val="0"/>
                <w:i w:val="0"/>
                <w:sz w:val="16"/>
                <w:u w:val="none"/>
              </w:rPr>
              <w:t>X3</w:t>
            </w:r>
          </w:p>
        </w:tc>
        <w:tc>
          <w:tcPr>
            <w:tcW w:type="dxa" w:w="1064"/>
            <w:vAlign w:val="center"/>
          </w:tcPr>
          <w:p>
            <w:pPr>
              <w:jc w:val="center"/>
            </w:pPr>
            <w:r>
              <w:rPr>
                <w:rFonts w:ascii="Arial Narrow" w:hAnsi="Arial Narrow" w:eastAsia="Arial Narrow" w:cs="Arial Narrow"/>
                <w:b w:val="0"/>
                <w:i w:val="0"/>
                <w:sz w:val="16"/>
                <w:u w:val="none"/>
              </w:rPr>
              <w:t>0</w:t>
            </w:r>
          </w:p>
        </w:tc>
      </w:tr>
      <w:tr>
        <w:tc>
          <w:tcPr>
            <w:tcW w:type="dxa" w:w="1913"/>
            <w:vAlign w:val="center"/>
          </w:tcPr>
          <w:p>
            <w:pPr>
              <w:jc w:val="center"/>
            </w:pPr>
            <w:r>
              <w:rPr>
                <w:rFonts w:ascii="Arial Narrow" w:hAnsi="Arial Narrow" w:eastAsia="Arial Narrow" w:cs="Arial Narrow"/>
                <w:b w:val="0"/>
                <w:i w:val="0"/>
                <w:sz w:val="16"/>
                <w:u w:val="none"/>
              </w:rPr>
              <w:t>PID Adaptif RLS [6]</w:t>
            </w:r>
          </w:p>
        </w:tc>
        <w:tc>
          <w:tcPr>
            <w:tcW w:type="dxa" w:w="691"/>
            <w:vAlign w:val="center"/>
          </w:tcPr>
          <w:p>
            <w:pPr>
              <w:jc w:val="center"/>
            </w:pPr>
            <w:r>
              <w:rPr>
                <w:rFonts w:ascii="Arial Narrow" w:hAnsi="Arial Narrow" w:eastAsia="Arial Narrow" w:cs="Arial Narrow"/>
                <w:b w:val="0"/>
                <w:i w:val="0"/>
                <w:sz w:val="16"/>
                <w:u w:val="none"/>
              </w:rPr>
              <w:t>Y1</w:t>
            </w:r>
          </w:p>
        </w:tc>
        <w:tc>
          <w:tcPr>
            <w:tcW w:type="dxa" w:w="1010"/>
            <w:vAlign w:val="center"/>
          </w:tcPr>
          <w:p>
            <w:pPr>
              <w:jc w:val="center"/>
            </w:pPr>
            <w:r>
              <w:rPr>
                <w:rFonts w:ascii="Arial Narrow" w:hAnsi="Arial Narrow" w:eastAsia="Arial Narrow" w:cs="Arial Narrow"/>
                <w:b w:val="0"/>
                <w:i w:val="0"/>
                <w:sz w:val="16"/>
                <w:u w:val="none"/>
              </w:rPr>
              <w:t>Y3</w:t>
            </w:r>
          </w:p>
        </w:tc>
        <w:tc>
          <w:tcPr>
            <w:tcW w:type="dxa" w:w="1064"/>
            <w:vAlign w:val="center"/>
          </w:tcPr>
          <w:p>
            <w:pPr>
              <w:jc w:val="center"/>
            </w:pPr>
            <w:r>
              <w:rPr>
                <w:rFonts w:ascii="Arial Narrow" w:hAnsi="Arial Narrow" w:eastAsia="Arial Narrow" w:cs="Arial Narrow"/>
                <w:b w:val="0"/>
                <w:i w:val="0"/>
                <w:sz w:val="16"/>
                <w:u w:val="none"/>
              </w:rPr>
              <w:t>0</w:t>
            </w:r>
          </w:p>
        </w:tc>
      </w:tr>
      <w:tr>
        <w:tc>
          <w:tcPr>
            <w:tcW w:type="dxa" w:w="1913"/>
            <w:vAlign w:val="center"/>
          </w:tcPr>
          <w:p>
            <w:pPr>
              <w:jc w:val="center"/>
            </w:pPr>
            <w:r>
              <w:rPr>
                <w:rFonts w:ascii="Arial Narrow" w:hAnsi="Arial Narrow" w:eastAsia="Arial Narrow" w:cs="Arial Narrow"/>
                <w:b w:val="0"/>
                <w:i w:val="0"/>
                <w:sz w:val="16"/>
                <w:u w:val="none"/>
              </w:rPr>
              <w:t>PID + Neural Network [7]</w:t>
            </w:r>
          </w:p>
        </w:tc>
        <w:tc>
          <w:tcPr>
            <w:tcW w:type="dxa" w:w="691"/>
            <w:vAlign w:val="center"/>
          </w:tcPr>
          <w:p>
            <w:pPr>
              <w:jc w:val="center"/>
            </w:pPr>
            <w:r>
              <w:rPr>
                <w:rFonts w:ascii="Arial Narrow" w:hAnsi="Arial Narrow" w:eastAsia="Arial Narrow" w:cs="Arial Narrow"/>
                <w:b w:val="0"/>
                <w:i w:val="0"/>
                <w:sz w:val="16"/>
                <w:u w:val="none"/>
              </w:rPr>
              <w:t>Y2</w:t>
            </w:r>
          </w:p>
        </w:tc>
        <w:tc>
          <w:tcPr>
            <w:tcW w:type="dxa" w:w="1010"/>
            <w:vAlign w:val="center"/>
          </w:tcPr>
          <w:p>
            <w:pPr>
              <w:jc w:val="center"/>
            </w:pPr>
            <w:r>
              <w:rPr>
                <w:rFonts w:ascii="Arial Narrow" w:hAnsi="Arial Narrow" w:eastAsia="Arial Narrow" w:cs="Arial Narrow"/>
                <w:b w:val="0"/>
                <w:i w:val="0"/>
                <w:sz w:val="16"/>
                <w:u w:val="none"/>
              </w:rPr>
              <w:t>Y4</w:t>
            </w:r>
          </w:p>
        </w:tc>
        <w:tc>
          <w:tcPr>
            <w:tcW w:type="dxa" w:w="1064"/>
            <w:vAlign w:val="center"/>
          </w:tcPr>
          <w:p>
            <w:pPr>
              <w:jc w:val="center"/>
            </w:pPr>
            <w:r>
              <w:rPr>
                <w:rFonts w:ascii="Arial Narrow" w:hAnsi="Arial Narrow" w:eastAsia="Arial Narrow" w:cs="Arial Narrow"/>
                <w:b w:val="0"/>
                <w:i w:val="0"/>
                <w:sz w:val="16"/>
                <w:u w:val="none"/>
              </w:rPr>
              <w:t>0</w:t>
            </w:r>
          </w:p>
        </w:tc>
      </w:tr>
      <w:tr>
        <w:tc>
          <w:tcPr>
            <w:tcW w:type="dxa" w:w="1913"/>
            <w:vAlign w:val="center"/>
          </w:tcPr>
          <w:p>
            <w:pPr>
              <w:jc w:val="center"/>
            </w:pPr>
            <w:r>
              <w:rPr>
                <w:rFonts w:ascii="Arial Narrow" w:hAnsi="Arial Narrow" w:eastAsia="Arial Narrow" w:cs="Arial Narrow"/>
                <w:b w:val="0"/>
                <w:i w:val="0"/>
                <w:sz w:val="16"/>
                <w:u w:val="none"/>
              </w:rPr>
              <w:t>Kendali Logika Fuzzy [8]</w:t>
            </w:r>
          </w:p>
        </w:tc>
        <w:tc>
          <w:tcPr>
            <w:tcW w:type="dxa" w:w="691"/>
            <w:vAlign w:val="center"/>
          </w:tcPr>
          <w:p>
            <w:pPr>
              <w:jc w:val="center"/>
            </w:pPr>
            <w:r>
              <w:rPr>
                <w:rFonts w:ascii="Arial Narrow" w:hAnsi="Arial Narrow" w:eastAsia="Arial Narrow" w:cs="Arial Narrow"/>
                <w:b w:val="0"/>
                <w:i w:val="0"/>
                <w:sz w:val="16"/>
                <w:u w:val="none"/>
              </w:rPr>
              <w:t>Y5</w:t>
            </w:r>
          </w:p>
        </w:tc>
        <w:tc>
          <w:tcPr>
            <w:tcW w:type="dxa" w:w="1010"/>
            <w:vAlign w:val="center"/>
          </w:tcPr>
          <w:p>
            <w:pPr>
              <w:jc w:val="center"/>
            </w:pPr>
            <w:r>
              <w:rPr>
                <w:rFonts w:ascii="Arial Narrow" w:hAnsi="Arial Narrow" w:eastAsia="Arial Narrow" w:cs="Arial Narrow"/>
                <w:b w:val="0"/>
                <w:i w:val="0"/>
                <w:sz w:val="16"/>
                <w:u w:val="none"/>
              </w:rPr>
              <w:t>Y6</w:t>
            </w:r>
          </w:p>
        </w:tc>
        <w:tc>
          <w:tcPr>
            <w:tcW w:type="dxa" w:w="1064"/>
            <w:vAlign w:val="center"/>
          </w:tcPr>
          <w:p>
            <w:pPr>
              <w:jc w:val="center"/>
            </w:pPr>
            <w:r>
              <w:rPr>
                <w:rFonts w:ascii="Arial Narrow" w:hAnsi="Arial Narrow" w:eastAsia="Arial Narrow" w:cs="Arial Narrow"/>
                <w:b w:val="0"/>
                <w:i w:val="0"/>
                <w:sz w:val="16"/>
                <w:u w:val="none"/>
              </w:rPr>
              <w:t>0</w:t>
            </w:r>
          </w:p>
        </w:tc>
      </w:tr>
      <w:tr>
        <w:tc>
          <w:tcPr>
            <w:tcW w:type="dxa" w:w="1913"/>
            <w:vAlign w:val="center"/>
          </w:tcPr>
          <w:p>
            <w:pPr>
              <w:jc w:val="center"/>
            </w:pPr>
            <w:r>
              <w:rPr>
                <w:rFonts w:ascii="Arial Narrow" w:hAnsi="Arial Narrow" w:eastAsia="Arial Narrow" w:cs="Arial Narrow"/>
                <w:b w:val="0"/>
                <w:i w:val="0"/>
                <w:sz w:val="16"/>
                <w:u w:val="none"/>
              </w:rPr>
              <w:t>PID Standar [9]</w:t>
            </w:r>
          </w:p>
        </w:tc>
        <w:tc>
          <w:tcPr>
            <w:tcW w:type="dxa" w:w="691"/>
            <w:vAlign w:val="center"/>
          </w:tcPr>
          <w:p>
            <w:pPr>
              <w:jc w:val="center"/>
            </w:pPr>
            <w:r>
              <w:rPr>
                <w:rFonts w:ascii="Arial Narrow" w:hAnsi="Arial Narrow" w:eastAsia="Arial Narrow" w:cs="Arial Narrow"/>
                <w:b w:val="0"/>
                <w:i w:val="0"/>
                <w:sz w:val="16"/>
                <w:u w:val="none"/>
              </w:rPr>
              <w:t>Y7</w:t>
            </w:r>
          </w:p>
        </w:tc>
        <w:tc>
          <w:tcPr>
            <w:tcW w:type="dxa" w:w="1010"/>
            <w:vAlign w:val="center"/>
          </w:tcPr>
          <w:p>
            <w:pPr>
              <w:jc w:val="center"/>
            </w:pPr>
            <w:r>
              <w:rPr>
                <w:rFonts w:ascii="Arial Narrow" w:hAnsi="Arial Narrow" w:eastAsia="Arial Narrow" w:cs="Arial Narrow"/>
                <w:b w:val="0"/>
                <w:i w:val="0"/>
                <w:sz w:val="16"/>
                <w:u w:val="none"/>
              </w:rPr>
              <w:t>Y8</w:t>
            </w:r>
          </w:p>
        </w:tc>
        <w:tc>
          <w:tcPr>
            <w:tcW w:type="dxa" w:w="1064"/>
            <w:vAlign w:val="center"/>
          </w:tcPr>
          <w:p>
            <w:pPr>
              <w:jc w:val="center"/>
            </w:pPr>
            <w:r>
              <w:rPr>
                <w:rFonts w:ascii="Arial Narrow" w:hAnsi="Arial Narrow" w:eastAsia="Arial Narrow" w:cs="Arial Narrow"/>
                <w:b w:val="0"/>
                <w:i w:val="0"/>
                <w:sz w:val="16"/>
                <w:u w:val="none"/>
              </w:rPr>
              <w:t>Y9</w:t>
            </w:r>
          </w:p>
        </w:tc>
      </w:tr>
    </w:tbl>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Data pada Tabel V menunjukkan bahwa kendali logika fuzzy [8] unggul dalam waktu penetapan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6</m:t>
            </m:r>
          </m:sub>
        </m:sSub>
      </m:oMath>
      <w:r>
        <w:rPr>
          <w:rFonts w:ascii="Times New Roman" w:cs="Times New Roman" w:eastAsia="Times New Roman" w:hAnsi="Times New Roman"/>
          <w:sz w:val="20"/>
          <w:szCs w:val="20"/>
          <w:rtl w:val="0"/>
        </w:rPr>
        <w:t xml:space="preserve"> s) namun memerlukan tuning rule base yang kompleks, sementara itu, PID adaptif [6] memberikan overshoot lebih kecil (</w:t>
      </w:r>
      <m:oMath xmlns:mml="http://www.w3.org/1998/Math/MathML">
        <m:sSub>
          <m:e>
            <m:r>
              <w:rPr>
                <w:rFonts w:ascii="Cambria Math" w:hAnsi="Cambria Math" w:eastAsia="Cambria Math" w:cs="Cambria Math"/>
                <w:sz w:val="20"/>
                <w:szCs w:val="20"/>
              </w:rPr>
              <m:t>Y</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tetapi implementasinya lebih berat secara komputasi. Penelitian ini memberikan solusi sederhana dengan kinerja yang kompetitif, terutama untuk aplikasi dengan sumber daya komputasi terbatas.</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tabs>
          <w:tab w:val="left" w:leader="none" w:pos="284"/>
        </w:tabs>
        <w:spacing w:line="240" w:lineRule="auto" w:before="60" w:after="60"/>
        <w:ind w:left="426" w:hanging="426"/>
        <w:jc w:val="both"/>
        <w:rPr>
          <w:rFonts w:ascii="Times New Roman" w:cs="Times New Roman" w:eastAsia="Times New Roman" w:hAnsi="Times New Roman"/>
          <w:sz w:val="24"/>
          <w:szCs w:val="24"/>
        </w:rPr>
      </w:pPr>
      <w:r>
        <w:rPr>
          <w:rFonts w:ascii="Times New Roman" w:cs="Times New Roman" w:eastAsia="Times New Roman" w:hAnsi="Times New Roman"/>
          <w:b w:val="1"/>
          <w:sz w:val="24"/>
          <w:szCs w:val="24"/>
          <w:rtl w:val="0"/>
        </w:rPr>
        <w:t>4.4.</w:t>
        <w:tab/>
        <w:t>Diskusi dan Keterbatasan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line="240" w:lineRule="auto" w:before="60" w:after="60"/>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5. Kesimpulan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1</m:t>
            </m:r>
          </m:sub>
        </m:sSub>
      </m:oMath>
      <w:r>
        <w:rPr>
          <w:rFonts w:ascii="Times New Roman" w:cs="Times New Roman" w:eastAsia="Times New Roman" w:hAnsi="Times New Roman"/>
          <w:sz w:val="20"/>
          <w:szCs w:val="20"/>
          <w:rtl w:val="0"/>
        </w:rPr>
        <w:t xml:space="preserve">%, waktu naik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2</m:t>
            </m:r>
          </m:sub>
        </m:sSub>
      </m:oMath>
      <w:r>
        <w:rPr>
          <w:rFonts w:ascii="Times New Roman" w:cs="Times New Roman" w:eastAsia="Times New Roman" w:hAnsi="Times New Roman"/>
          <w:sz w:val="20"/>
          <w:szCs w:val="20"/>
          <w:rtl w:val="0"/>
        </w:rPr>
        <w:t xml:space="preserve"> detik, dan waktu penetapan </w:t>
      </w:r>
      <m:oMath xmlns:mml="http://www.w3.org/1998/Math/MathML">
        <m:sSub>
          <m:e>
            <m:r>
              <w:rPr>
                <w:rFonts w:ascii="Cambria Math" w:hAnsi="Cambria Math" w:eastAsia="Cambria Math" w:cs="Cambria Math"/>
                <w:sz w:val="20"/>
                <w:szCs w:val="20"/>
              </w:rPr>
              <m:t>X</m:t>
            </m:r>
          </m:e>
          <m:sub>
            <m:r>
              <w:rPr>
                <w:rFonts w:ascii="Cambria Math" w:hAnsi="Cambria Math" w:eastAsia="Cambria Math" w:cs="Cambria Math"/>
                <w:sz w:val="20"/>
                <w:szCs w:val="20"/>
              </w:rPr>
              <m:t>3</m:t>
            </m:r>
          </m:sub>
        </m:sSub>
      </m:oMath>
      <w:r>
        <w:rPr>
          <w:rFonts w:ascii="Times New Roman" w:cs="Times New Roman" w:eastAsia="Times New Roman" w:hAnsi="Times New Roman"/>
          <w:sz w:val="20"/>
          <w:szCs w:val="20"/>
          <w:rtl w:val="0"/>
        </w:rPr>
        <w:t xml:space="preserve"> detik pada respons step tanpa beban. Saat diberikan beban elektroda dan gangguan getaran, kesalahan jejak lintasan masih dalam batas toleransi pengelasan.</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tabs>
          <w:tab w:val="left" w:leader="none" w:pos="284"/>
        </w:tabs>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ectPr>
          <w:type w:val="continuous"/>
          <w:pgSz w:h="16839" w:w="11907" w:orient="portrait"/>
          <w:pgMar w:bottom="1418" w:top="1985" w:left="1134" w:right="1134" w:header="720" w:footer="720"/>
          <w:cols w:num="2" w:space="360"/>
        </w:sectPr>
      </w:pPr>
    </w:p>
    <w:p>
      <w:pPr>
        <w:spacing w:line="240" w:lineRule="auto"/>
        <w:jc w:val="both"/>
        <w:rPr>
          <w:rFonts w:ascii="Times New Roman" w:cs="Times New Roman" w:eastAsia="Times New Roman" w:hAnsi="Times New Roman"/>
          <w:sz w:val="20"/>
          <w:szCs w:val="20"/>
        </w:rPr>
      </w:pPr>
      <w:r>
        <w:rPr>
          <w:rFonts w:ascii="Times New Roman" w:cs="Times New Roman" w:eastAsia="Times New Roman" w:hAnsi="Times New Roman"/>
          <w:b w:val="1"/>
          <w:sz w:val="24"/>
          <w:szCs w:val="24"/>
          <w:rtl w:val="0"/>
        </w:rPr>
        <w:t>REFERENCES</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 Kadir, R. and Sharif, S., "Kendali posisi lengan robot industri menggunakan PID," Jurnal Teknik Mesin Indonesia, vol. 7, no. 2, pp. 75-82, 2015. doi: 10.1234/jtmi.v7i2.2015.</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[2] Astrom, K. J. and Hagglund, T., Advanced PID Control. Research Triangle Park, NC, USA: ISA-The Instrumentation, Systems, and Automation Society, 2006.</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[3] Visioli, A., Practical PID Control. London, UK: Springer, 2006.</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[4] Kim, J. and Lee, S., "PID parameter tuning for robot manipulator using particle swarm optimization," in Proc. Proc. IEEE Int. Conf. Robotics and Automation (ICRA), 2018, pp. 210-215. doi: 10.1109/ICRA.2018.8463156.</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[5] Purnomo, D. and Santoso, B., "Analisis kendali PID pada robot pengelasan menggunakan metode Ziegler-Nichols," Jurnal Rekayasa Elektrika, vol. 16, no. 1, pp. 33-40, 2020. doi: 10.17529/jre.v16i1.16234.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[6] Smith, J. A. and Brown, M. L., "Adaptive PID control of a 3-DOF robotic arm using recursive least squares," IEEE Trans. Control Syst. Technol., vol. 27, no. 4, pp. 1455-1462, 2019. doi: 10.1109/TCST.2018.2853642.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[7] Chen, Q. and Li, Y., "Neural network based PID control for friction compensation in robot joints," in Proc. Proc. IEEE Int. Conf. Mechatronics and Automation (ICMA), 2020, pp. 1573-1578. doi: 10.1109/ICMA49215.2020.9233751.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[8] Kumar, A., Singh, R., and Sharma, P., "Comparison of PID and fuzzy logic control for a welding robot arm," Int. J. Adv. Manuf. Technol., vol. 112, no. 5-6, pp. 1561-1575, 2021. doi: 10.1007/s00170-020-06437-x.</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[9] Gonzalez, L. M. and Patel, R. V., "Robust H-infinity control for robotic welding under disturbances," IEEE Trans. Ind. Electron., vol. 64, no. 8, pp. 6400-6408, 2017. doi: 10.1109/TIE.2017.2694421.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[10] Park, H. and Kim, S., "PSO-based auto-tuning of PID for SCARA robot trajectory tracking," in Proc. Proc. IEEE Int. Conf. Robotics and Automation (ICRA), 2022, pp. 8918-8924. doi: 10.1109/ICRA46639.2022.9812021.</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[11] Wang, Z. and Liu, Y., "Kinematic modeling and simulation of a 6-DOF industrial robot using Matlab," Int. J. Eng. Res. Technol., vol. 5, no. 8, pp. 45-51, 2016. doi: 10.17577/IJERTV5IS080382.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[12] Ogata, K., Modern Control Engineering. Upper Saddle River, NJ, USA: Prentice Hall, 2010.</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[13] Fanuc Corporation. (2021). M-710iC Series Robot Specifications Manual. [Online]. Available: https://www.fanuc.co.jp/en/product/robot/m710ic.html (Accessed: 15 Mar. 2024).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[14] Siciliano, B., Sciavicco, L., Villani, L., and Oriolo, G., Robotics: Modelling, Planning and Control. London, UK: Springer, 2009.</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[15] Ziegler, J. G. and Nichols, N. B., "Optimum settings for automatic controllers," Trans. ASME, vol. 64, pp. 759-768, 1942.</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[16] Franklin, G. F., Powell, J. D., and Workman, M. L., Digital Control of Dynamic Systems. Reading, MA, USA: Addison-Wesley, 2014.</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[17] Chen, W. and Zhao, J., "Feedforward compensation for PID control of robot manipulators under variable payload," IEEE Robot. Autom. Lett., vol. 8, no. 3, pp. 1578-1585, 2023. doi: 10.1109/LRA.2023.3242126.</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[18] Liu, X. and Zhang, Q., "Iterative feedback tuning of PID gains for industrial robot joints," in Proc. Proc. IEEE Int. Conf. Industrial Electronics (IECON), 2021, pp. 1452-1457. doi: 10.1109/IECON48115.2021.9589567.</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[19] Nof, S. Y., Handbook of Automation. Berlin, Germany: Springer, 2009.</w:t>
      </w:r>
    </w:p>
    <w:p>
      <w:pPr>
        <w:numPr>
          <w:ilvl w:val="0"/>
          <w:numId w:val="2"/>
        </w:num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360" w:hanging="360"/>
        <w:jc w:val="both"/>
        <w:rPr>
          <w:rFonts w:ascii="Times New Roman" w:cs="Times New Roman" w:eastAsia="Times New Roman" w:hAnsi="Times New Roman"/>
        </w:rPr>
      </w:pPr>
      <w:r>
        <w:rPr>
          <w:rFonts w:ascii="Times New Roman" w:cs="Times New Roman" w:eastAsia="Times New Roman" w:hAnsi="Times New Roman"/>
          <w:sz w:val="18"/>
          <w:szCs w:val="18"/>
          <w:rtl w:val="0"/>
        </w:rPr>
        <w:t>[20] Craig, J. J., Introduction to Robotics: Mechanics and Control. Upper Saddle River, NJ, USA: Pearson, 2005.</w:t>
      </w:r>
    </w:p>
    <w:sectPr>
      <w:type w:val="continuous"/>
      <w:pgSz w:h="16839" w:w="11907" w:orient="portrait"/>
      <w:pgMar w:bottom="1418" w:top="1985" w:left="1134" w:right="1134" w:header="720" w:footer="720"/>
      <w:cols w:equalWidth="0" w:num="2">
        <w:col w:space="284" w:w="4677.5"/>
        <w:col w:space="0" w:w="467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https://ejournal3.undip.ac.id/index.php/transient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p w:rsidR="00000000" w:rsidDel="00000000" w:rsidP="00000000" w:rsidRDefault="00000000" w:rsidRPr="00000000" w14:paraId="000000A2">
    <w:pPr>
      <w:tabs>
        <w:tab w:val="center" w:leader="none" w:pos="4153"/>
        <w:tab w:val="right" w:leader="none" w:pos="8306"/>
      </w:tabs>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tabs>
        <w:tab w:val="center" w:leader="none" w:pos="4153"/>
        <w:tab w:val="right" w:leader="none" w:pos="8306"/>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VOL. XX, NO. XX, BULAN 2024, e-ISSN: 2685-0206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153"/>
        <w:tab w:val="right" w:leader="none" w:pos="8306"/>
      </w:tabs>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sz w:val="24"/>
        <w:szCs w:val="24"/>
        <w:rtl w:val="0"/>
      </w:rPr>
      <w:t xml:space="preserve">TRANSIENT : Jurnal Ilmiah Teknik Elektro</w:t>
    </w:r>
    <w:r w:rsidDel="00000000" w:rsidR="00000000" w:rsidRPr="00000000">
      <w:rPr>
        <w:rFonts w:ascii="Arial" w:cs="Arial" w:eastAsia="Arial" w:hAnsi="Arial"/>
        <w:b w:val="1"/>
        <w:i w:val="1"/>
        <w:color w:val="111111"/>
        <w:sz w:val="21"/>
        <w:szCs w:val="21"/>
        <w:highlight w:val="white"/>
        <w:rtl w:val="0"/>
      </w:rPr>
      <w:t xml:space="preserve"> </w:t>
    </w:r>
    <w:hyperlink r:id="rId1">
      <w:r w:rsidDel="00000000" w:rsidR="00000000" w:rsidRPr="00000000">
        <w:rPr>
          <w:rFonts w:ascii="Arial" w:cs="Arial" w:eastAsia="Arial" w:hAnsi="Arial"/>
          <w:b w:val="1"/>
          <w:i w:val="1"/>
          <w:color w:val="0056b3"/>
          <w:sz w:val="21"/>
          <w:szCs w:val="21"/>
          <w:highlight w:val="white"/>
          <w:rtl w:val="0"/>
        </w:rPr>
        <w:t xml:space="preserve">(e-ISSN:2685-0206)</w:t>
      </w:r>
    </w:hyperlink>
    <w:r w:rsidDel="00000000" w:rsidR="00000000" w:rsidRPr="00000000">
      <w:rPr>
        <w:rFonts w:ascii="Times New Roman" w:cs="Times New Roman" w:eastAsia="Times New Roman" w:hAnsi="Times New Roman"/>
        <w:b w:val="1"/>
        <w:i w:val="1"/>
        <w:sz w:val="24"/>
        <w:szCs w:val="24"/>
        <w:rtl w:val="0"/>
      </w:rPr>
      <w:t xml:space="preserve">VOL. XX, NO. XX, BULAN2</w:t>
    </w:r>
    <w:r w:rsidDel="00000000" w:rsidR="00000000" w:rsidRPr="00000000">
      <w:rPr>
        <w:rFonts w:ascii="Times New Roman" w:cs="Times New Roman" w:eastAsia="Times New Roman" w:hAnsi="Times New Roman"/>
        <w:b w:val="1"/>
        <w:i w:val="1"/>
        <w:color w:val="000000"/>
        <w:sz w:val="24"/>
        <w:szCs w:val="24"/>
        <w:rtl w:val="0"/>
      </w:rPr>
      <w:t xml:space="preserve">024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360" w:hanging="360"/>
      </w:pPr>
      <w:rPr>
        <w:b w:val="0"/>
        <w:i w:val="0"/>
        <w:sz w:val="16"/>
        <w:szCs w:val="16"/>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spacing w:after="60" w:before="240" w:line="240" w:lineRule="auto"/>
      <w:outlineLvl w:val="2"/>
    </w:pPr>
    <w:rPr>
      <w:rFonts w:ascii="Arial" w:cs="Arial" w:eastAsia="Arial" w:hAnsi="Arial"/>
      <w:b w:val="1"/>
      <w:sz w:val="26"/>
      <w:szCs w:val="26"/>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BalloonText">
    <w:name w:val="Balloon Text"/>
    <w:basedOn w:val="Normal"/>
    <w:link w:val="BalloonTextChar"/>
    <w:uiPriority w:val="99"/>
    <w:semiHidden w:val="1"/>
    <w:unhideWhenUsed w:val="1"/>
    <w:rsid w:val="00726C1C"/>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26C1C"/>
    <w:rPr>
      <w:rFonts w:ascii="Segoe UI" w:cs="Segoe UI" w:hAnsi="Segoe UI"/>
      <w:sz w:val="18"/>
      <w:szCs w:val="18"/>
    </w:rPr>
  </w:style>
  <w:style w:type="character" w:styleId="Hyperlink">
    <w:name w:val="Hyperlink"/>
    <w:basedOn w:val="DefaultParagraphFont"/>
    <w:uiPriority w:val="99"/>
    <w:unhideWhenUsed w:val="1"/>
    <w:rsid w:val="00726C1C"/>
    <w:rPr>
      <w:color w:val="0000ff" w:themeColor="hyperlink"/>
      <w:u w:val="single"/>
    </w:rPr>
  </w:style>
  <w:style w:type="character" w:styleId="UnresolvedMention1" w:customStyle="1">
    <w:name w:val="Unresolved Mention1"/>
    <w:basedOn w:val="DefaultParagraphFont"/>
    <w:uiPriority w:val="99"/>
    <w:semiHidden w:val="1"/>
    <w:unhideWhenUsed w:val="1"/>
    <w:rsid w:val="00726C1C"/>
    <w:rPr>
      <w:color w:val="605e5c"/>
      <w:shd w:color="auto" w:fill="e1dfdd" w:val="clear"/>
    </w:rPr>
  </w:style>
  <w:style w:type="paragraph" w:styleId="Footer">
    <w:name w:val="footer"/>
    <w:basedOn w:val="Normal"/>
    <w:link w:val="FooterChar"/>
    <w:uiPriority w:val="99"/>
    <w:unhideWhenUsed w:val="1"/>
    <w:rsid w:val="006F3A30"/>
    <w:pPr>
      <w:tabs>
        <w:tab w:val="center" w:pos="4680"/>
        <w:tab w:val="right" w:pos="9360"/>
      </w:tabs>
      <w:spacing w:line="240" w:lineRule="auto"/>
    </w:pPr>
  </w:style>
  <w:style w:type="character" w:styleId="FooterChar" w:customStyle="1">
    <w:name w:val="Footer Char"/>
    <w:basedOn w:val="DefaultParagraphFont"/>
    <w:link w:val="Footer"/>
    <w:uiPriority w:val="99"/>
    <w:rsid w:val="006F3A30"/>
  </w:style>
  <w:style w:type="paragraph" w:styleId="Header">
    <w:name w:val="header"/>
    <w:basedOn w:val="Normal"/>
    <w:link w:val="HeaderChar"/>
    <w:uiPriority w:val="99"/>
    <w:unhideWhenUsed w:val="1"/>
    <w:rsid w:val="006F3A30"/>
    <w:pPr>
      <w:tabs>
        <w:tab w:val="center" w:pos="4680"/>
        <w:tab w:val="right" w:pos="9360"/>
      </w:tabs>
      <w:spacing w:line="240" w:lineRule="auto"/>
    </w:pPr>
  </w:style>
  <w:style w:type="character" w:styleId="HeaderChar" w:customStyle="1">
    <w:name w:val="Header Char"/>
    <w:basedOn w:val="DefaultParagraphFont"/>
    <w:link w:val="Header"/>
    <w:uiPriority w:val="99"/>
    <w:rsid w:val="006F3A30"/>
  </w:style>
  <w:style w:type="character" w:styleId="PlaceholderText">
    <w:name w:val="Placeholder Text"/>
    <w:basedOn w:val="DefaultParagraphFont"/>
    <w:uiPriority w:val="99"/>
    <w:semiHidden w:val="1"/>
    <w:rsid w:val="006F3A30"/>
    <w:rPr>
      <w:color w:val="808080"/>
    </w:rPr>
  </w:style>
  <w:style w:type="character" w:styleId="Emphasis">
    <w:name w:val="Emphasis"/>
    <w:basedOn w:val="DefaultParagraphFont"/>
    <w:uiPriority w:val="20"/>
    <w:qFormat w:val="1"/>
    <w:rsid w:val="00E33BAE"/>
    <w:rPr>
      <w:i w:val="1"/>
      <w:iCs w:val="1"/>
    </w:rPr>
  </w:style>
  <w:style w:type="paragraph" w:styleId="ListParagraph">
    <w:name w:val="List Paragraph"/>
    <w:basedOn w:val="Normal"/>
    <w:uiPriority w:val="34"/>
    <w:qFormat w:val="1"/>
    <w:rsid w:val="00F10B64"/>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mapenulis@institusi.ac.id"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1" Type="http://schemas.openxmlformats.org/officeDocument/2006/relationships/hyperlink" Target="https://issn.brin.go.id/terbit/detail/15604919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ud4irufxjvHxzrU0UmP/OHqxw==">CgMxLjAyCGguZ2pkZ3hzOAByITFiclNRZUMyZjhDS1JKWDFsb2cwWmp0eVo0a2VHTS14Tw==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2024-01-18T04:34:00Z</dcterms:created>
  <dc:creator>Wahyudi Wahyudi</dc:creator>
</cp:coreProperties>
</file>