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tyleTitle"/>
        <w:rPr>
          <w:sz w:val="32"/>
        </w:rPr>
      </w:pPr>
      <w:r>
        <w:rPr>
          <w:sz w:val="32"/>
        </w:rPr>
        <w:t>Perancangan Sistem Kendali PID pada Lengan Robot Industri untuk Peningkatan Presisi Pengelasan Komponen Otomotif</w:t>
      </w:r>
    </w:p>
    <w:p>
      <w:pPr>
        <w:rPr>
          <w:sz w:val="20"/>
          <w:szCs w:val="20"/>
        </w:rPr>
      </w:pPr>
    </w:p>
    <w:p>
      <w:pPr>
        <w:pStyle w:val="Author"/>
        <w:rPr>
          <w:sz w:val="21"/>
          <w:szCs w:val="21"/>
        </w:rPr>
      </w:pPr>
      <w:r>
        <w:rPr>
          <w:sz w:val="21"/>
          <w:szCs w:val="21"/>
        </w:rPr>
        <w:t>Annabil Hisyam</w:t>
      </w:r>
      <w:r>
        <w:rPr>
          <w:sz w:val="21"/>
          <w:szCs w:val="21"/>
          <w:vertAlign w:val="superscript"/>
        </w:rPr>
        <w:t>1</w:t>
      </w:r>
      <w:r>
        <w:rPr>
          <w:sz w:val="21"/>
          <w:szCs w:val="21"/>
          <w:vertAlign w:val="superscript"/>
        </w:rPr>
        <w:t>*</w:t>
      </w:r>
    </w:p>
    <w:p>
      <w:pPr>
        <w:jc w:val="center"/>
        <w:rPr>
          <w:i/>
          <w:sz w:val="20"/>
          <w:szCs w:val="20"/>
        </w:rPr>
      </w:pPr>
      <w:r>
        <w:rPr>
          <w:vertAlign w:val="superscript"/>
        </w:rPr>
        <w:t>1</w:t>
      </w:r>
      <w:r>
        <w:rPr>
          <w:vertAlign w:val="superscript"/>
        </w:rPr>
        <w:t xml:space="preserve"> </w:t>
      </w:r>
      <w:r>
        <w:rPr>
          <w:b w:val="0"/>
          <w:i/>
          <w:sz w:val="20"/>
          <w:szCs w:val="20"/>
          <w:u w:val="none"/>
        </w:rPr>
        <w:t>Universitas Diponegoro, Semarang, Indonesia. Email: annabilhisyammuyassa@students.undip.ac.id</w:t>
      </w:r>
    </w:p>
    <w:p>
      <w:pPr>
        <w:rPr>
          <w:sz w:val="20"/>
          <w:szCs w:val="20"/>
        </w:rPr>
      </w:pPr>
    </w:p>
    <w:p>
      <w:pPr>
        <w:pStyle w:val="AbstractTitle"/>
        <w:rPr>
          <w:sz w:val="24"/>
          <w:szCs w:val="24"/>
        </w:rPr>
      </w:pPr>
      <w:r>
        <w:rPr>
          <w:b/>
          <w:sz w:val="24"/>
          <w:szCs w:val="24"/>
        </w:rPr>
        <w:t>Abstrak</w:t>
      </w:r>
    </w:p>
    <w:p>
      <w:pPr>
        <w:rPr>
          <w:sz w:val="20"/>
          <w:szCs w:val="20"/>
        </w:rPr>
      </w:pPr>
    </w:p>
    <w:p>
      <w:pPr>
        <w:pStyle w:val="BodyAbstract"/>
        <w:rPr>
          <w:lang w:val="fr-FR"/>
        </w:rPr>
      </w:pPr>
      <w:r>
        <w:rPr>
          <w:b w:val="0"/>
          <w:i/>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u w:val="none"/>
        </w:rPr>
        <w:t xml:space="preserve"> mm dan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u w:val="none"/>
        </w:rPr>
        <w:t xml:space="preserve"> detik. dengan overshoot maksimum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u w:val="none"/>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4</m:t>
            </m:r>
          </m:sub>
        </m:sSub>
      </m:oMath>
      <w:r>
        <w:rPr>
          <w:b w:val="0"/>
          <w:i/>
          <w:u w:val="none"/>
        </w:rPr>
        <w:t xml:space="preserve"> persen dan penurunan overshoot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5</m:t>
            </m:r>
          </m:sub>
        </m:sSub>
      </m:oMath>
      <w:r>
        <w:rPr>
          <w:b w:val="0"/>
          <w:i/>
          <w:u w:val="none"/>
        </w:rPr>
        <w:t xml:space="preserve"> persen. Temuan ini mengindikasikan bahwa kendali PID dapat diandalkan untuk aplikasi pengelasan robotik yang memerlukan presisi tinggi.</w:t>
      </w:r>
    </w:p>
    <w:p>
      <w:pPr>
        <w:pStyle w:val="BodyAbstract"/>
        <w:rPr>
          <w:lang w:val="en-ID"/>
        </w:rPr>
      </w:pPr>
    </w:p>
    <w:p>
      <w:pPr>
        <w:pStyle w:val="BodyAbstract"/>
        <w:rPr>
          <w:lang w:val="en-ID"/>
        </w:rPr>
      </w:pPr>
      <w:r>
        <w:rPr>
          <w:b/>
          <w:bCs/>
          <w:i w:val="0"/>
          <w:iCs/>
          <w:u w:val="none"/>
        </w:rPr>
        <w:t xml:space="preserve">Kata kunci: </w:t>
      </w:r>
      <w:r>
        <w:rPr>
          <w:b w:val="0"/>
          <w:i w:val="0"/>
          <w:u w:val="none"/>
        </w:rPr>
        <w:t>kendali PID; lengan robot; pengelasan otomotif; presisi; simulasi MATLAB; Ziegler-Nichols.</w:t>
      </w:r>
    </w:p>
    <w:p>
      <w:pPr>
        <w:pStyle w:val="BodyAbstract"/>
        <w:rPr>
          <w:lang w:val="en-ID"/>
        </w:rPr>
      </w:pPr>
    </w:p>
    <w:p>
      <w:pPr>
        <w:pStyle w:val="AbstractTitle"/>
        <w:rPr>
          <w:sz w:val="24"/>
          <w:szCs w:val="24"/>
        </w:rPr>
      </w:pPr>
      <w:r>
        <w:rPr>
          <w:b/>
          <w:sz w:val="24"/>
          <w:szCs w:val="24"/>
        </w:rPr>
        <w:t>Abstract</w:t>
      </w:r>
    </w:p>
    <w:p>
      <w:pPr>
        <w:rPr>
          <w:sz w:val="20"/>
          <w:szCs w:val="20"/>
        </w:rPr>
      </w:pPr>
    </w:p>
    <w:p>
      <w:pPr>
        <w:pStyle w:val="BodyAbstract"/>
        <w:rPr>
          <w:lang w:val="fr-FR"/>
        </w:rPr>
      </w:pPr>
      <w:r>
        <w:rPr>
          <w:b w:val="0"/>
          <w:i/>
          <w:u w:val="none"/>
        </w:rPr>
        <w:t>Shared control panels on production lines create contamination risks in food-grade and cleanroom environments. This paper presents GestPLC and evaluates whether a standard USB webcam combined with a geometric rule-based classifier can control a Schneider Modicon M221 PLC without GPU acceleration or a trained neural network. MediaPipe extracts 21 hand landmarks per frame on an Intel Core i7 CPU, and an angle-threshold engine converts the landmarks into Modbus TCP coil-write commands through FC15. Camera capture, gesture classification, and Modbus I/O run in separate Python threads so delayed network responses do not stall the vision loop. Under 300 lux illumination, the classifier achieved a macro F1-score of 95.4% and an average Modbus round-trip delay of 12.3 ms. A 24-hour endurance test recorded 872,640 transactions with a 99.97% write success rate, although the observed communication MTBF was only 8.2 hours. These results show that landmark geometry, rather than deep learning, is sufficient for six-gesture PLC control on commodity hardware.</w:t>
      </w:r>
    </w:p>
    <w:p>
      <w:pPr>
        <w:pStyle w:val="BodyAbstract"/>
        <w:rPr>
          <w:lang w:val="en-ID"/>
        </w:rPr>
      </w:pPr>
    </w:p>
    <w:p>
      <w:pPr>
        <w:pStyle w:val="BodyAbstract"/>
        <w:rPr>
          <w:lang w:val="en-ID"/>
        </w:rPr>
      </w:pPr>
      <w:r>
        <w:rPr>
          <w:b/>
          <w:bCs/>
          <w:i w:val="0"/>
          <w:iCs/>
          <w:u w:val="none"/>
        </w:rPr>
        <w:t xml:space="preserve">Keywords: </w:t>
      </w:r>
      <w:r>
        <w:rPr>
          <w:b w:val="0"/>
          <w:i w:val="0"/>
          <w:u w:val="none"/>
        </w:rPr>
        <w:t>kendali PID; lengan robot; pengelasan otomotif; presisi; simulasi MATLAB; Ziegler-Nichols.</w:t>
      </w:r>
    </w:p>
    <w:p>
      <w:pPr>
        <w:pStyle w:val="BodyAbstract"/>
        <w:rPr>
          <w:lang w:val="id-ID"/>
        </w:rPr>
      </w:pPr>
    </w:p>
    <w:p>
      <w:pPr>
        <w:rPr>
          <w:sz w:val="20"/>
          <w:szCs w:val="20"/>
        </w:rPr>
        <w:sectPr w:rsidR="00C9227F" w:rsidSect="005959A3">
          <w:headerReference w:type="default" r:id="rId8"/>
          <w:footerReference w:type="default" r:id="rId9"/>
          <w:headerReference w:type="first" r:id="rId10"/>
          <w:footerReference w:type="first" r:id="rId11"/>
          <w:pgSz w:w="12240" w:h="15840"/>
          <w:pgMar w:top="1701" w:right="1134" w:bottom="1134" w:left="1418" w:header="720" w:footer="720" w:gutter="0"/>
          <w:cols w:space="720"/>
          <w:titlePg/>
          <w:docGrid w:linePitch="360"/>
        </w:sectPr>
      </w:pPr>
    </w:p>
    <w:p>
      <w:pPr>
        <w:pStyle w:val="Heading1"/>
        <w:tabs>
          <w:tab w:val="left" w:pos="0"/>
        </w:tabs>
        <w:spacing w:before="60" w:after="60"/>
        <w:rPr>
          <w:lang w:val="id-ID"/>
        </w:rPr>
      </w:pPr>
      <w:r>
        <w:rPr>
          <w:b/>
          <w:i w:val="0"/>
          <w:u w:val="none"/>
          <w:lang w:val="id-ID"/>
        </w:rPr>
        <w:t>Pendahuluan</w:t>
      </w:r>
    </w:p>
    <w:p>
      <w:pPr>
        <w:pStyle w:val="Body"/>
      </w:pPr>
      <w:r>
        <w:rPr>
          <w:b w:val="0"/>
          <w:i w:val="0"/>
          <w:noProof/>
          <w:u w:val="none"/>
          <w:lang w:val="id-ID" w:eastAsia="id-ID"/>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
      </w:pPr>
      <w:r>
        <w:rPr>
          <w:b w:val="0"/>
          <w:i w:val="0"/>
          <w:noProof/>
          <w:u w:val="none"/>
          <w:lang w:val="id-ID" w:eastAsia="id-ID"/>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
      </w:pPr>
      <w:r>
        <w:rPr>
          <w:b w:val="0"/>
          <w:i w:val="0"/>
          <w:noProof/>
          <w:u w:val="none"/>
          <w:lang w:val="id-ID" w:eastAsia="id-ID"/>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
      </w:pPr>
      <w:r>
        <w:rPr>
          <w:b w:val="0"/>
          <w:i w:val="0"/>
          <w:noProof/>
          <w:u w:val="none"/>
          <w:lang w:val="id-ID" w:eastAsia="id-ID"/>
        </w:rPr>
        <w:t>Kontribusi spesifik penelitian ini meliputi:</w:t>
      </w:r>
    </w:p>
    <w:p>
      <w:pPr>
        <w:pStyle w:val="Body"/>
      </w:pPr>
      <w:r>
        <w:rPr>
          <w:b w:val="0"/>
          <w:i w:val="0"/>
          <w:noProof/>
          <w:u w:val="none"/>
          <w:lang w:val="id-ID" w:eastAsia="id-ID"/>
        </w:rPr>
        <w:t>• Perancangan model kinematik lengan robot enam derajat kebebasan untuk lintasan pengelasan komponen otomotif.</w:t>
      </w:r>
    </w:p>
    <w:p>
      <w:pPr>
        <w:pStyle w:val="Body"/>
      </w:pPr>
      <w:r>
        <w:rPr>
          <w:b w:val="0"/>
          <w:i w:val="0"/>
          <w:noProof/>
          <w:u w:val="none"/>
          <w:lang w:val="id-ID" w:eastAsia="id-ID"/>
        </w:rPr>
        <w:t>• Penentuan parameter PID optimal menggunakan metode Ziegler-Nichols kedua yang disesuaikan dengan respons loop tertutup.</w:t>
      </w:r>
    </w:p>
    <w:p>
      <w:pPr>
        <w:pStyle w:val="Body"/>
      </w:pPr>
      <w:r>
        <w:rPr>
          <w:b w:val="0"/>
          <w:i w:val="0"/>
          <w:noProof/>
          <w:u w:val="none"/>
          <w:lang w:val="id-ID" w:eastAsia="id-ID"/>
        </w:rPr>
        <w:t>• Analisis komparatif kinerja kendali PID terhadap kendali proporsional murni dan kendali on-off pada indikator overshoot, waktu naik, waktu penetapan, dan kesalahan keadaan tunak.</w:t>
      </w:r>
    </w:p>
    <w:p>
      <w:pPr>
        <w:pStyle w:val="Body"/>
      </w:pPr>
      <w:r>
        <w:rPr>
          <w:b w:val="0"/>
          <w:i w:val="0"/>
          <w:noProof/>
          <w:u w:val="none"/>
          <w:lang w:val="id-ID" w:eastAsia="id-ID"/>
        </w:rPr>
        <w:t>• Rekomendasi parameter awal untuk implementasi nyata pada pengontrol lengan robot berbasis mikrokontroler atau PLC.</w:t>
      </w:r>
    </w:p>
    <w:p>
      <w:pPr>
        <w:pStyle w:val="Body"/>
      </w:pPr>
      <w:r>
        <w:rPr>
          <w:b w:val="0"/>
          <w:i w:val="0"/>
          <w:noProof/>
          <w:u w:val="none"/>
          <w:lang w:val="id-ID" w:eastAsia="id-ID"/>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tabs>
          <w:tab w:val="left" w:pos="0"/>
        </w:tabs>
        <w:spacing w:before="60" w:after="60"/>
        <w:rPr>
          <w:lang w:val="id-ID"/>
        </w:rPr>
      </w:pPr>
      <w:r>
        <w:rPr>
          <w:b/>
          <w:i w:val="0"/>
          <w:u w:val="none"/>
          <w:lang w:val="id-ID"/>
        </w:rPr>
        <w:t>Tinjauan Pustaka</w:t>
      </w:r>
    </w:p>
    <w:p>
      <w:pPr>
        <w:pStyle w:val="Body"/>
      </w:pPr>
      <w:r>
        <w:rPr>
          <w:b w:val="0"/>
          <w:i w:val="0"/>
          <w:noProof/>
          <w:u w:val="none"/>
          <w:lang w:val="id-ID" w:eastAsia="id-ID"/>
        </w:rPr>
        <w:t>Tinjauan pustaka ini mengkaji studi-studi terkait kendali posisi lengan robot serta kerangka teoritis yang mendasari perancangan sistem kendali PID untuk pengelasan.</w:t>
      </w:r>
    </w:p>
    <w:p>
      <w:pPr>
        <w:pStyle w:val="Heading2"/>
        <w:spacing w:before="60" w:after="60"/>
        <w:ind w:firstLine="0"/>
        <w:rPr>
          <w:sz w:val="20"/>
          <w:lang w:val="id-ID"/>
        </w:rPr>
      </w:pPr>
      <w:r>
        <w:rPr>
          <w:b/>
          <w:i w:val="0"/>
          <w:u w:val="none"/>
          <w:lang w:val="id-ID"/>
        </w:rPr>
        <w:t>Tinjauan Penelitian Terdahulu</w:t>
      </w:r>
    </w:p>
    <w:p>
      <w:pPr>
        <w:pStyle w:val="Body"/>
      </w:pPr>
      <w:r>
        <w:rPr>
          <w:b w:val="0"/>
          <w:i w:val="0"/>
          <w:noProof/>
          <w:u w:val="none"/>
          <w:lang w:val="id-ID" w:eastAsia="id-ID"/>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xml:space="preserve"> mm dibandingkan PID tetap, namun, metode ini memerlukan pembaruan parameter secara online yang membebani prosesor.</w:t>
      </w:r>
    </w:p>
    <w:p>
      <w:pPr>
        <w:pStyle w:val="Body"/>
      </w:pPr>
      <w:r>
        <w:rPr>
          <w:b w:val="0"/>
          <w:i w:val="0"/>
          <w:noProof/>
          <w:u w:val="none"/>
          <w:lang w:val="id-ID" w:eastAsia="id-ID"/>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b w:val="0"/>
          <w:i w:val="0"/>
          <w:noProof/>
          <w:u w:val="none"/>
          <w:lang w:val="id-ID" w:eastAsia="id-ID"/>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
      </w:pPr>
      <w:r>
        <w:rPr>
          <w:b w:val="0"/>
          <w:i w:val="0"/>
          <w:noProof/>
          <w:u w:val="none"/>
          <w:lang w:val="id-ID" w:eastAsia="id-ID"/>
        </w:rPr>
        <w:t xml:space="preserve">Dalam domain pengelasan robotik, Gonzalez et al. [9] merancang kendali solid </w:t>
      </w:r>
      <m:oMath xmlns:mml="http://www.w3.org/1998/Math/MathML">
        <m:sSub>
          <m:e>
            <m:r>
              <w:rPr>
                <w:rFonts w:ascii="Cambria Math" w:hAnsi="Cambria Math" w:eastAsia="Cambria Math" w:cs="Cambria Math"/>
                <w:sz w:val="20"/>
                <w:szCs w:val="20"/>
              </w:rPr>
              <m:t>H</m:t>
            </m:r>
          </m:e>
          <m:sub>
            <m:r>
              <w:rPr>
                <w:rFonts w:ascii="Cambria Math" w:hAnsi="Cambria Math" w:eastAsia="Cambria Math" w:cs="Cambria Math"/>
                <w:sz w:val="20"/>
                <w:szCs w:val="20"/>
              </w:rPr>
              <m:t>∞</m:t>
            </m:r>
          </m:sub>
        </m:sSub>
      </m:oMath>
      <w:r>
        <w:rPr>
          <w:b w:val="0"/>
          <w:i w:val="0"/>
          <w:noProof/>
          <w:u w:val="none"/>
          <w:lang w:val="id-ID" w:eastAsia="id-ID"/>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3</m:t>
            </m:r>
          </m:sub>
        </m:sSub>
      </m:oMath>
      <w:r>
        <w:rPr>
          <w:b w:val="0"/>
          <w:i w:val="0"/>
          <w:noProof/>
          <w:u w:val="none"/>
          <w:lang w:val="id-ID" w:eastAsia="id-ID"/>
        </w:rPr>
        <w:t xml:space="preserve"> detik.</w:t>
      </w:r>
    </w:p>
    <w:p>
      <w:pPr>
        <w:pStyle w:val="Body"/>
      </w:pPr>
      <w:r>
        <w:rPr>
          <w:b w:val="0"/>
          <w:i w:val="0"/>
          <w:noProof/>
          <w:u w:val="none"/>
          <w:lang w:val="id-ID" w:eastAsia="id-ID"/>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
      </w:pPr>
      <w:r>
        <w:rPr>
          <w:b w:val="0"/>
          <w:i w:val="0"/>
          <w:noProof/>
          <w:u w:val="none"/>
          <w:lang w:val="id-ID" w:eastAsia="id-ID"/>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spacing w:before="60" w:after="60"/>
        <w:ind w:firstLine="0"/>
        <w:rPr>
          <w:sz w:val="20"/>
          <w:lang w:val="id-ID"/>
        </w:rPr>
      </w:pPr>
      <w:r>
        <w:rPr>
          <w:b/>
          <w:i w:val="0"/>
          <w:u w:val="none"/>
          <w:lang w:val="id-ID"/>
        </w:rPr>
        <w:t>Kerangka Teoritis</w:t>
      </w:r>
    </w:p>
    <w:p>
      <w:pPr>
        <w:pStyle w:val="Body"/>
      </w:pPr>
      <w:r>
        <w:rPr>
          <w:b w:val="0"/>
          <w:i w:val="0"/>
          <w:noProof/>
          <w:u w:val="none"/>
          <w:lang w:val="id-ID" w:eastAsia="id-ID"/>
        </w:rPr>
        <w:t>Sistem kendali PID terdiri dari tiga komponen: aksi proporsional (P), integral (I), dan derivatif (D). Persamaan kendali PID kontinu dinyatakan oleh</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u(t)=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e(t)+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nary>
          <m:naryPr>
            <m:chr m:val="∫"/>
            <m:limLoc m:val="subSup"/>
            <m:grow m:val="1"/>
            <m:subHide m:val="off"/>
            <m:supHide m:val="off"/>
          </m:naryPr>
          <m:sub>
            <m:r>
              <w:rPr>
                <w:rFonts w:ascii="Cambria Math" w:hAnsi="Cambria Math" w:eastAsia="Cambria Math" w:cs="Cambria Math"/>
                <w:sz w:val="20"/>
                <w:szCs w:val="20"/>
              </w:rPr>
              <m:t>0</m:t>
            </m:r>
          </m:sub>
          <m:sup>
            <m:r>
              <w:rPr>
                <w:rFonts w:ascii="Cambria Math" w:hAnsi="Cambria Math" w:eastAsia="Cambria Math" w:cs="Cambria Math"/>
                <w:sz w:val="20"/>
                <w:szCs w:val="20"/>
              </w:rPr>
              <m:t>t</m:t>
            </m:r>
          </m:sup>
          <m:e/>
        </m:nary>
        <m:r>
          <w:rPr>
            <w:rFonts w:ascii="Cambria Math" w:hAnsi="Cambria Math" w:eastAsia="Cambria Math" w:cs="Cambria Math"/>
            <w:sz w:val="20"/>
            <w:szCs w:val="20"/>
          </w:rPr>
          <m:t>e(τ)dτ+</m:t>
        </m:r>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f>
          <m:fPr>
            <m:type m:val="bar"/>
          </m:fPr>
          <m:num>
            <m:r>
              <w:rPr>
                <w:rFonts w:ascii="Cambria Math" w:hAnsi="Cambria Math" w:eastAsia="Cambria Math" w:cs="Cambria Math"/>
                <w:sz w:val="20"/>
                <w:szCs w:val="20"/>
              </w:rPr>
              <m:t>de(t)</m:t>
            </m:r>
          </m:num>
          <m:den>
            <m:r>
              <w:rPr>
                <w:rFonts w:ascii="Cambria Math" w:hAnsi="Cambria Math" w:eastAsia="Cambria Math" w:cs="Cambria Math"/>
                <w:sz w:val="20"/>
                <w:szCs w:val="20"/>
              </w:rPr>
              <m:t>dt</m:t>
            </m:r>
          </m:den>
        </m:f>
      </m:oMath>
      <w:r>
        <w:tab/>
      </w:r>
      <w:r>
        <w:rPr>
          <w:noProof/>
          <w:lang w:val="id-ID" w:eastAsia="id-ID"/>
        </w:rPr>
        <w:t>(1)</w:t>
      </w:r>
    </w:p>
    <w:p>
      <w:pPr>
        <w:pStyle w:val="Body"/>
      </w:pPr>
      <w:r>
        <w:rPr>
          <w:b w:val="0"/>
          <w:i w:val="0"/>
          <w:noProof/>
          <w:u w:val="none"/>
          <w:lang w:val="id-ID" w:eastAsia="id-ID"/>
        </w:rPr>
        <w:t xml:space="preserve">dengan </w:t>
      </w:r>
      <m:oMath xmlns:mml="http://www.w3.org/1998/Math/MathML">
        <m:r>
          <w:rPr>
            <w:rFonts w:ascii="Cambria Math" w:hAnsi="Cambria Math" w:eastAsia="Cambria Math" w:cs="Cambria Math"/>
            <w:sz w:val="20"/>
            <w:szCs w:val="20"/>
          </w:rPr>
          <m:t>u(t)</m:t>
        </m:r>
      </m:oMath>
      <w:r>
        <w:rPr>
          <w:b w:val="0"/>
          <w:i w:val="0"/>
          <w:noProof/>
          <w:u w:val="none"/>
          <w:lang w:val="id-ID" w:eastAsia="id-ID"/>
        </w:rPr>
        <w:t xml:space="preserve"> adalah sinyal kontrol, </w:t>
      </w:r>
      <m:oMath xmlns:mml="http://www.w3.org/1998/Math/MathML">
        <m:r>
          <w:rPr>
            <w:rFonts w:ascii="Cambria Math" w:hAnsi="Cambria Math" w:eastAsia="Cambria Math" w:cs="Cambria Math"/>
            <w:sz w:val="20"/>
            <w:szCs w:val="20"/>
          </w:rPr>
          <m:t>e(t)</m:t>
        </m:r>
      </m:oMath>
      <w:r>
        <w:rPr>
          <w:b w:val="0"/>
          <w:i w:val="0"/>
          <w:noProof/>
          <w:u w:val="none"/>
          <w:lang w:val="id-ID" w:eastAsia="id-ID"/>
        </w:rPr>
        <w:t xml:space="preserve"> adalah error posisi (selisih antara posisi referensi dan aktual),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adalah gain proporsional,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b w:val="0"/>
          <w:i w:val="0"/>
          <w:noProof/>
          <w:u w:val="none"/>
          <w:lang w:val="id-ID" w:eastAsia="id-ID"/>
        </w:rPr>
        <w:t xml:space="preserve"> adalah gain integral,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
      </w:pPr>
      <w:r>
        <w:rPr>
          <w:b w:val="0"/>
          <w:i w:val="0"/>
          <w:noProof/>
          <w:u w:val="none"/>
          <w:lang w:val="id-ID" w:eastAsia="id-ID"/>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i</m:t>
            </m:r>
          </m:sub>
          <m:sup>
            <m:r>
              <w:rPr>
                <w:rFonts w:ascii="Cambria Math" w:hAnsi="Cambria Math" w:eastAsia="Cambria Math" w:cs="Cambria Math"/>
                <w:sz w:val="20"/>
                <w:szCs w:val="20"/>
              </w:rPr>
              <m:t>i−1</m:t>
            </m:r>
          </m:sup>
        </m:sSubSup>
      </m:oMath>
      <w:r>
        <w:rPr>
          <w:b w:val="0"/>
          <w:i w:val="0"/>
          <w:noProof/>
          <w:u w:val="none"/>
          <w:lang w:val="id-ID" w:eastAsia="id-ID"/>
        </w:rPr>
        <w:t xml:space="preserve"> untuk sendi ke-</w:t>
      </w:r>
      <m:oMath xmlns:mml="http://www.w3.org/1998/Math/MathML">
        <m:r>
          <w:rPr>
            <w:rFonts w:ascii="Cambria Math" w:hAnsi="Cambria Math" w:eastAsia="Cambria Math" w:cs="Cambria Math"/>
            <w:sz w:val="20"/>
            <w:szCs w:val="20"/>
          </w:rPr>
          <m:t>i</m:t>
        </m:r>
      </m:oMath>
      <w:r>
        <w:rPr>
          <w:b w:val="0"/>
          <w:i w:val="0"/>
          <w:noProof/>
          <w:u w:val="none"/>
          <w:lang w:val="id-ID" w:eastAsia="id-ID"/>
        </w:rPr>
        <w:t xml:space="preserve"> didefinisikan oleh parameter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oMath>
      <w:r>
        <w:rPr>
          <w:b w:val="0"/>
          <w:i w:val="0"/>
          <w:noProof/>
          <w:u w:val="none"/>
          <w:lang w:val="id-ID" w:eastAsia="id-ID"/>
        </w:rPr>
        <w:t xml:space="preserve">. Rantai kinematik total diperoleh dengan perkalian matriks: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1</m:t>
            </m:r>
          </m:sub>
          <m:sup>
            <m:r>
              <w:rPr>
                <w:rFonts w:ascii="Cambria Math" w:hAnsi="Cambria Math" w:eastAsia="Cambria Math" w:cs="Cambria Math"/>
                <w:sz w:val="20"/>
                <w:szCs w:val="20"/>
              </w:rPr>
              <m:t>0</m:t>
            </m:r>
          </m:sup>
        </m:sSubSup>
        <m:sSubSup>
          <m:e>
            <m:r>
              <w:rPr>
                <w:rFonts w:ascii="Cambria Math" w:hAnsi="Cambria Math" w:eastAsia="Cambria Math" w:cs="Cambria Math"/>
                <w:sz w:val="20"/>
                <w:szCs w:val="20"/>
              </w:rPr>
              <m:t>T</m:t>
            </m:r>
          </m:e>
          <m:sub>
            <m:r>
              <w:rPr>
                <w:rFonts w:ascii="Cambria Math" w:hAnsi="Cambria Math" w:eastAsia="Cambria Math" w:cs="Cambria Math"/>
                <w:sz w:val="20"/>
                <w:szCs w:val="20"/>
              </w:rPr>
              <m:t>2</m:t>
            </m:r>
          </m:sub>
          <m:sup>
            <m:r>
              <w:rPr>
                <w:rFonts w:ascii="Cambria Math" w:hAnsi="Cambria Math" w:eastAsia="Cambria Math" w:cs="Cambria Math"/>
                <w:sz w:val="20"/>
                <w:szCs w:val="20"/>
              </w:rPr>
              <m:t>1</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5</m:t>
            </m:r>
          </m:sup>
        </m:sSubSup>
      </m:oMath>
      <w:r>
        <w:rPr>
          <w:b w:val="0"/>
          <w:i w:val="0"/>
          <w:noProof/>
          <w:u w:val="none"/>
          <w:lang w:val="id-ID" w:eastAsia="id-ID"/>
        </w:rPr>
        <w:t>.</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i</m:t>
            </m:r>
          </m:sub>
        </m:sSub>
        <m:r>
          <w:rPr>
            <w:rFonts w:ascii="Cambria Math" w:hAnsi="Cambria Math" w:eastAsia="Cambria Math" w:cs="Cambria Math"/>
            <w:sz w:val="20"/>
            <w:szCs w:val="20"/>
          </w:rPr>
          <m:t>i−1=[</m:t>
        </m:r>
        <m:m>
          <m:mPr>
            <m:baseJc m:val="center"/>
            <m:plcHide m:val="on"/>
            <m:mcs>
              <m:mc>
                <m:mcPr>
                  <m:count m:val="4"/>
                  <m:mcJc m:val="center"/>
                </m:mcPr>
              </m:mc>
            </m:mcs>
          </m:mPr>
          <m:mr>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1</m:t>
              </m:r>
            </m:e>
          </m:mr>
        </m:m>
        <m:r>
          <w:rPr>
            <w:rFonts w:ascii="Cambria Math" w:hAnsi="Cambria Math" w:eastAsia="Cambria Math" w:cs="Cambria Math"/>
            <w:sz w:val="20"/>
            <w:szCs w:val="20"/>
          </w:rPr>
          <m:t>]</m:t>
        </m:r>
      </m:oMath>
      <w:r>
        <w:tab/>
      </w:r>
      <w:r>
        <w:rPr>
          <w:noProof/>
          <w:lang w:val="id-ID" w:eastAsia="id-ID"/>
        </w:rPr>
        <w:t>(2)</w:t>
      </w:r>
    </w:p>
    <w:p>
      <w:pPr>
        <w:pStyle w:val="Body"/>
      </w:pPr>
      <w:r>
        <w:rPr>
          <w:b w:val="0"/>
          <w:i w:val="0"/>
          <w:noProof/>
          <w:u w:val="none"/>
          <w:lang w:val="id-ID" w:eastAsia="id-ID"/>
        </w:rPr>
        <w:t>Persamaan (2) di atas digunakan untuk menghitung posisi ujung lengan dalam kerangka koordinat basis. Untuk lintasan pengelasan, diperlukan perencanaan jalur dalam ruang kerja yang menghasilkan trayektori posisi dan orientasi yang halus.</w:t>
      </w:r>
    </w:p>
    <w:p>
      <w:pPr>
        <w:pStyle w:val="Body"/>
      </w:pPr>
      <w:r>
        <w:rPr>
          <w:b w:val="0"/>
          <w:i w:val="0"/>
          <w:noProof/>
          <w:u w:val="none"/>
          <w:lang w:val="id-ID" w:eastAsia="id-ID"/>
        </w:rPr>
        <w:t xml:space="preserve">Metode penalaan Ziegler-Nichols kedua (closed-loop) dilakukan dengan mengatur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b w:val="0"/>
          <w:i w:val="0"/>
          <w:noProof/>
          <w:u w:val="none"/>
          <w:lang w:val="id-ID" w:eastAsia="id-ID"/>
        </w:rPr>
        <w:t xml:space="preserve"> lalu meningkatkan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hingga sistem berosilasi pada batas kestabilan, menghasilkan gain ultimat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b w:val="0"/>
          <w:i w:val="0"/>
          <w:noProof/>
          <w:u w:val="none"/>
          <w:lang w:val="id-ID" w:eastAsia="id-ID"/>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b w:val="0"/>
          <w:i w:val="0"/>
          <w:noProof/>
          <w:u w:val="none"/>
          <w:lang w:val="id-ID" w:eastAsia="id-ID"/>
        </w:rPr>
        <w:t>. Parameter PID kemudian ditentukan berdasarkan tabel Ziegler-Nichols klasik. Meskipun sederhana, metode ini memberikan parameter awal yang cukup baik untuk kebanyakan proses industri [12].</w:t>
      </w:r>
    </w:p>
    <w:p>
      <w:pPr>
        <w:pStyle w:val="Body"/>
        <w:spacing w:before="60" w:after="60"/>
        <w:ind w:firstLine="0"/>
        <w:jc w:val="center"/>
      </w:pPr>
      <w:r>
        <w:rPr>
          <w:b w:val="0"/>
          <w:i/>
          <w:noProof/>
          <w:u w:val="none"/>
          <w:lang w:val="id-ID" w:eastAsia="id-ID"/>
        </w:rPr>
        <w:t>[Gambar 1 belum tersedia: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Body"/>
        <w:spacing w:before="60" w:after="120"/>
        <w:ind w:firstLine="0"/>
        <w:jc w:val="left"/>
        <w:rPr>
          <w:lang w:val="id-ID"/>
        </w:rPr>
      </w:pPr>
      <w:r>
        <w:rPr>
          <w:b/>
          <w:lang w:val="id-ID"/>
        </w:rPr>
        <w:t>Gambar 1</w:t>
      </w:r>
      <w:r>
        <w:rPr>
          <w:lang w:val="id-ID"/>
        </w:rPr>
        <w:t xml:space="preserve">. </w:t>
      </w:r>
      <w:r>
        <w:rPr>
          <w:b w:val="0"/>
          <w:i w:val="0"/>
          <w:u w:val="none"/>
          <w:lang w:val="id-ID"/>
        </w:rPr>
        <w:t>Diagram blok sistem kendali posisi lengan robot dengan kendali PID</w:t>
      </w:r>
    </w:p>
    <w:p>
      <w:pPr>
        <w:pStyle w:val="Body"/>
      </w:pPr>
      <w:r>
        <w:rPr>
          <w:b w:val="0"/>
          <w:i w:val="0"/>
          <w:noProof/>
          <w:u w:val="none"/>
          <w:lang w:val="id-ID" w:eastAsia="id-ID"/>
        </w:rPr>
        <w:t xml:space="preserve">Gambar 1 memperlihatkan diagram blok sistem kendali posisi yang digunakan. Sinyal referensi </w:t>
      </w:r>
      <m:oMath xmlns:mml="http://www.w3.org/1998/Math/MathML">
        <m:r>
          <w:rPr>
            <w:rFonts w:ascii="Cambria Math" w:hAnsi="Cambria Math" w:eastAsia="Cambria Math" w:cs="Cambria Math"/>
            <w:sz w:val="20"/>
            <w:szCs w:val="20"/>
          </w:rPr>
          <m:t>r</m:t>
        </m:r>
      </m:oMath>
      <w:r>
        <w:rPr>
          <w:b w:val="0"/>
          <w:i w:val="0"/>
          <w:noProof/>
          <w:u w:val="none"/>
          <w:lang w:val="id-ID" w:eastAsia="id-ID"/>
        </w:rPr>
        <w:t xml:space="preserve"> berupa posisi sudut sendi yang direncanakan dari lintasan pengelasan. Error </w:t>
      </w:r>
      <m:oMath xmlns:mml="http://www.w3.org/1998/Math/MathML">
        <m:r>
          <w:rPr>
            <w:rFonts w:ascii="Cambria Math" w:hAnsi="Cambria Math" w:eastAsia="Cambria Math" w:cs="Cambria Math"/>
            <w:sz w:val="20"/>
            <w:szCs w:val="20"/>
          </w:rPr>
          <m:t>e=r−y</m:t>
        </m:r>
      </m:oMath>
      <w:r>
        <w:rPr>
          <w:b w:val="0"/>
          <w:i w:val="0"/>
          <w:noProof/>
          <w:u w:val="none"/>
          <w:lang w:val="id-ID" w:eastAsia="id-ID"/>
        </w:rPr>
        <w:t xml:space="preserve"> diumpankan ke pengontrol PID, yang menghasilkan sinyal kontrol </w:t>
      </w:r>
      <m:oMath xmlns:mml="http://www.w3.org/1998/Math/MathML">
        <m:r>
          <w:rPr>
            <w:rFonts w:ascii="Cambria Math" w:hAnsi="Cambria Math" w:eastAsia="Cambria Math" w:cs="Cambria Math"/>
            <w:sz w:val="20"/>
            <w:szCs w:val="20"/>
          </w:rPr>
          <m:t>u</m:t>
        </m:r>
      </m:oMath>
      <w:r>
        <w:rPr>
          <w:b w:val="0"/>
          <w:i w:val="0"/>
          <w:noProof/>
          <w:u w:val="none"/>
          <w:lang w:val="id-ID" w:eastAsia="id-ID"/>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0"/>
            <w:szCs w:val="20"/>
          </w:rPr>
          <m:t>y</m:t>
        </m:r>
      </m:oMath>
      <w:r>
        <w:rPr>
          <w:b w:val="0"/>
          <w:i w:val="0"/>
          <w:noProof/>
          <w:u w:val="none"/>
          <w:lang w:val="id-ID" w:eastAsia="id-ID"/>
        </w:rPr>
        <w:t>.</w:t>
      </w:r>
    </w:p>
    <w:p>
      <w:pPr>
        <w:pStyle w:val="Heading1"/>
        <w:tabs>
          <w:tab w:val="left" w:pos="0"/>
        </w:tabs>
        <w:spacing w:before="60" w:after="60"/>
        <w:rPr>
          <w:lang w:val="id-ID"/>
        </w:rPr>
      </w:pPr>
      <w:r>
        <w:rPr>
          <w:b/>
          <w:i w:val="0"/>
          <w:u w:val="none"/>
          <w:lang w:val="id-ID"/>
        </w:rPr>
        <w:t>Metodologi</w:t>
      </w:r>
    </w:p>
    <w:p>
      <w:pPr>
        <w:pStyle w:val="Body"/>
      </w:pPr>
      <w:r>
        <w:rPr>
          <w:b w:val="0"/>
          <w:i w:val="0"/>
          <w:noProof/>
          <w:u w:val="none"/>
          <w:lang w:val="id-ID" w:eastAsia="id-ID"/>
        </w:rPr>
        <w:t>Bab ini menjelaskan langkah-langkah perancangan sistem kendali PID pada lengan robot industri untuk pengelasan. Metode mencakup pemodelan kinematik, penentuan parameter PID, serta prosedur simulasi.</w:t>
      </w:r>
    </w:p>
    <w:p>
      <w:pPr>
        <w:pStyle w:val="Heading2"/>
        <w:spacing w:before="60" w:after="60"/>
        <w:ind w:firstLine="0"/>
        <w:rPr>
          <w:sz w:val="20"/>
          <w:lang w:val="id-ID"/>
        </w:rPr>
      </w:pPr>
      <w:r>
        <w:rPr>
          <w:b/>
          <w:i w:val="0"/>
          <w:u w:val="none"/>
          <w:lang w:val="id-ID"/>
        </w:rPr>
        <w:t>Desain dan Arsitektur Sistem</w:t>
      </w:r>
    </w:p>
    <w:p>
      <w:pPr>
        <w:pStyle w:val="Body"/>
      </w:pPr>
      <w:r>
        <w:rPr>
          <w:b w:val="0"/>
          <w:i w:val="0"/>
          <w:noProof/>
          <w:u w:val="none"/>
          <w:lang w:val="id-ID" w:eastAsia="id-ID"/>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Body"/>
        <w:spacing w:before="120" w:after="60"/>
        <w:ind w:firstLine="0"/>
        <w:jc w:val="left"/>
        <w:rPr>
          <w:lang w:val="id-ID"/>
        </w:rPr>
      </w:pPr>
      <w:r>
        <w:rPr>
          <w:b/>
          <w:lang w:val="id-ID"/>
        </w:rPr>
        <w:t>Tabel 1</w:t>
      </w:r>
      <w:r>
        <w:rPr>
          <w:lang w:val="id-ID"/>
        </w:rPr>
        <w:t xml:space="preserve">. </w:t>
      </w:r>
      <w:r>
        <w:rPr>
          <w:b w:val="0"/>
          <w:i w:val="0"/>
          <w:u w:val="none"/>
          <w:lang w:val="id-ID"/>
        </w:rPr>
        <w:t>Parameter Denavit-Hartenberg Lengan Robot 6-DOF</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938"/>
        <w:gridCol w:w="1938"/>
        <w:gridCol w:w="1938"/>
        <w:gridCol w:w="1938"/>
        <w:gridCol w:w="1938"/>
      </w:tblGrid>
      <w:tr>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Sendi</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\iθ_i (rad)</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\id_i (mm)</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\ia_i (mm)</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\iα_i (rad)</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q6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a6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r>
    </w:tbl>
    <w:p>
      <w:pPr>
        <w:pStyle w:val="Body"/>
        <w:spacing w:before="0" w:after="60"/>
        <w:ind w:firstLine="0"/>
      </w:pPr>
    </w:p>
    <w:p>
      <w:pPr>
        <w:pStyle w:val="Body"/>
      </w:pPr>
      <w:r>
        <w:rPr>
          <w:b w:val="0"/>
          <w:i w:val="0"/>
          <w:noProof/>
          <w:u w:val="none"/>
          <w:lang w:val="id-ID" w:eastAsia="id-ID"/>
        </w:rPr>
        <w:t xml:space="preserve">Parameter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b w:val="0"/>
          <w:i w:val="0"/>
          <w:noProof/>
          <w:u w:val="none"/>
          <w:lang w:val="id-ID" w:eastAsia="id-ID"/>
        </w:rPr>
        <w:t xml:space="preserve"> sampai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1</m:t>
            </m:r>
          </m:sub>
        </m:sSub>
      </m:oMath>
      <w:r>
        <w:rPr>
          <w:b w:val="0"/>
          <w:i w:val="0"/>
          <w:noProof/>
          <w:u w:val="none"/>
          <w:lang w:val="id-ID" w:eastAsia="id-ID"/>
        </w:rPr>
        <w:t xml:space="preserve"> hingga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6</m:t>
            </m:r>
          </m:sub>
        </m:sSub>
      </m:oMath>
      <w:r>
        <w:rPr>
          <w:b w:val="0"/>
          <w:i w:val="0"/>
          <w:noProof/>
          <w:u w:val="none"/>
          <w:lang w:val="id-ID" w:eastAsia="id-ID"/>
        </w:rPr>
        <w:t xml:space="preserve"> adalah variabel yang dikendalikan. Matriks transformasi total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oMath>
      <w:r>
        <w:rPr>
          <w:b w:val="0"/>
          <w:i w:val="0"/>
          <w:noProof/>
          <w:u w:val="none"/>
          <w:lang w:val="id-ID" w:eastAsia="id-ID"/>
        </w:rPr>
        <w:t xml:space="preserve"> dihitung menggunakan perkalian matriks dari Persamaan (2), kemudian digunakan untuk memperoleh posisi ujung lengan dalam kerangka basis.</w:t>
      </w:r>
    </w:p>
    <w:p>
      <w:pPr>
        <w:pStyle w:val="Body"/>
        <w:spacing w:before="60" w:after="60"/>
        <w:ind w:firstLine="0"/>
        <w:jc w:val="center"/>
      </w:pPr>
      <w:r>
        <w:rPr>
          <w:b w:val="0"/>
          <w:i/>
          <w:noProof/>
          <w:u w:val="none"/>
          <w:lang w:val="id-ID" w:eastAsia="id-ID"/>
        </w:rPr>
        <w:t>[Gambar 2 belum tersedia: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Body"/>
        <w:spacing w:before="60" w:after="120"/>
        <w:ind w:firstLine="0"/>
        <w:jc w:val="left"/>
        <w:rPr>
          <w:lang w:val="id-ID"/>
        </w:rPr>
      </w:pPr>
      <w:r>
        <w:rPr>
          <w:b/>
          <w:lang w:val="id-ID"/>
        </w:rPr>
        <w:t>Gambar 2</w:t>
      </w:r>
      <w:r>
        <w:rPr>
          <w:lang w:val="id-ID"/>
        </w:rPr>
        <w:t xml:space="preserve">. </w:t>
      </w:r>
      <w:r>
        <w:rPr>
          <w:b w:val="0"/>
          <w:i w:val="0"/>
          <w:u w:val="none"/>
          <w:lang w:val="id-ID"/>
        </w:rPr>
        <w:t>Arsitektur sistem kendali PID pada lengan robot untuk pengelasan komponen otomotif</w:t>
      </w:r>
    </w:p>
    <w:p>
      <w:pPr>
        <w:pStyle w:val="Body"/>
      </w:pPr>
      <w:r>
        <w:rPr>
          <w:b w:val="0"/>
          <w:i w:val="0"/>
          <w:noProof/>
          <w:u w:val="none"/>
          <w:lang w:val="id-ID" w:eastAsia="id-ID"/>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spacing w:before="60" w:after="60"/>
        <w:ind w:firstLine="0"/>
        <w:rPr>
          <w:sz w:val="20"/>
          <w:lang w:val="id-ID"/>
        </w:rPr>
      </w:pPr>
      <w:r>
        <w:rPr>
          <w:b/>
          <w:i w:val="0"/>
          <w:u w:val="none"/>
          <w:lang w:val="id-ID"/>
        </w:rPr>
        <w:t>Implementasi dan Prosedur Eksperimen</w:t>
      </w:r>
    </w:p>
    <w:p>
      <w:pPr>
        <w:pStyle w:val="Body"/>
      </w:pPr>
      <w:r>
        <w:rPr>
          <w:b w:val="0"/>
          <w:i w:val="0"/>
          <w:noProof/>
          <w:u w:val="none"/>
          <w:lang w:val="id-ID" w:eastAsia="id-ID"/>
        </w:rPr>
        <w:t>Simulasi dilakukan menggunakan MATLAB/Simulink R2023a. Pemodelan plant menggunakan fungsi alih orde dua plus waktu tunda untuk merepresentasikan dinamika satu sendi dengan beban elektroda las. Fungsi alih yang digunakan adalah</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G(s)=</m:t>
        </m:r>
        <m:f>
          <m:fPr>
            <m:type m:val="bar"/>
          </m:fPr>
          <m:num>
            <m:r>
              <w:rPr>
                <w:rFonts w:ascii="Cambria Math" w:hAnsi="Cambria Math" w:eastAsia="Cambria Math" w:cs="Cambria Math"/>
                <w:sz w:val="20"/>
                <w:szCs w:val="20"/>
              </w:rPr>
              <m:t>K</m:t>
            </m:r>
          </m:num>
          <m:den>
            <m:r>
              <w:rPr>
                <w:rFonts w:ascii="Cambria Math" w:hAnsi="Cambria Math" w:eastAsia="Cambria Math" w:cs="Cambria Math"/>
                <w:sz w:val="20"/>
                <w:szCs w:val="20"/>
              </w:rPr>
              <m:t>τs+1</m:t>
            </m:r>
          </m:den>
        </m:f>
        <m:r>
          <w:rPr>
            <w:rFonts w:ascii="Cambria Math" w:hAnsi="Cambria Math" w:eastAsia="Cambria Math" w:cs="Cambria Math"/>
            <w:sz w:val="20"/>
            <w:szCs w:val="20"/>
          </w:rPr>
          <m:t>e−Ls</m:t>
        </m:r>
      </m:oMath>
      <w:r>
        <w:tab/>
      </w:r>
      <w:r>
        <w:rPr>
          <w:noProof/>
          <w:lang w:val="id-ID" w:eastAsia="id-ID"/>
        </w:rPr>
        <w:t>(4)</w:t>
      </w:r>
    </w:p>
    <w:p>
      <w:pPr>
        <w:pStyle w:val="Body"/>
      </w:pPr>
      <w:r>
        <w:rPr>
          <w:b w:val="0"/>
          <w:i w:val="0"/>
          <w:noProof/>
          <w:u w:val="none"/>
          <w:lang w:val="id-ID" w:eastAsia="id-ID"/>
        </w:rPr>
        <w:t xml:space="preserve">dengan </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adalah gain statis, </w:t>
      </w:r>
      <m:oMath xmlns:mml="http://www.w3.org/1998/Math/MathML">
        <m:r>
          <w:rPr>
            <w:rFonts w:ascii="Cambria Math" w:hAnsi="Cambria Math" w:eastAsia="Cambria Math" w:cs="Cambria Math"/>
            <w:sz w:val="20"/>
            <w:szCs w:val="20"/>
          </w:rPr>
          <m:t>τ</m:t>
        </m:r>
      </m:oMath>
      <w:r>
        <w:rPr>
          <w:b w:val="0"/>
          <w:i w:val="0"/>
          <w:noProof/>
          <w:u w:val="none"/>
          <w:lang w:val="id-ID" w:eastAsia="id-ID"/>
        </w:rPr>
        <w:t xml:space="preserve"> konstanta waktu, dan </w:t>
      </w:r>
      <m:oMath xmlns:mml="http://www.w3.org/1998/Math/MathML">
        <m:r>
          <w:rPr>
            <w:rFonts w:ascii="Cambria Math" w:hAnsi="Cambria Math" w:eastAsia="Cambria Math" w:cs="Cambria Math"/>
            <w:sz w:val="20"/>
            <w:szCs w:val="20"/>
          </w:rPr>
          <m:t>L</m:t>
        </m:r>
      </m:oMath>
      <w:r>
        <w:rPr>
          <w:b w:val="0"/>
          <w:i w:val="0"/>
          <w:noProof/>
          <w:u w:val="none"/>
          <w:lang w:val="id-ID" w:eastAsia="id-ID"/>
        </w:rPr>
        <w:t xml:space="preserve"> waktu tunda. Parameter </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τ</m:t>
        </m:r>
      </m:oMath>
      <w:r>
        <w:rPr>
          <w:b w:val="0"/>
          <w:i w:val="0"/>
          <w:noProof/>
          <w:u w:val="none"/>
          <w:lang w:val="id-ID" w:eastAsia="id-ID"/>
        </w:rPr>
        <w:t xml:space="preserve">, dan </w:t>
      </w:r>
      <m:oMath xmlns:mml="http://www.w3.org/1998/Math/MathML">
        <m:r>
          <w:rPr>
            <w:rFonts w:ascii="Cambria Math" w:hAnsi="Cambria Math" w:eastAsia="Cambria Math" w:cs="Cambria Math"/>
            <w:sz w:val="20"/>
            <w:szCs w:val="20"/>
          </w:rPr>
          <m:t>L</m:t>
        </m:r>
      </m:oMath>
      <w:r>
        <w:rPr>
          <w:b w:val="0"/>
          <w:i w:val="0"/>
          <w:noProof/>
          <w:u w:val="none"/>
          <w:lang w:val="id-ID" w:eastAsia="id-ID"/>
        </w:rPr>
        <w:t xml:space="preserve"> diperoleh dari identifikasi respons step hasil eksperimen pada lengan robot nyata (nilai placeholder: </w:t>
      </w:r>
      <m:oMath xmlns:mml="http://www.w3.org/1998/Math/MathML">
        <m:r>
          <w:rPr>
            <w:rFonts w:ascii="Cambria Math" w:hAnsi="Cambria Math" w:eastAsia="Cambria Math" w:cs="Cambria Math"/>
            <w:sz w:val="20"/>
            <w:szCs w:val="20"/>
          </w:rPr>
          <m:t>K=</m:t>
        </m:r>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τ=</m:t>
        </m:r>
        <m:sSub>
          <m:e>
            <m:r>
              <w:rPr>
                <w:rFonts w:ascii="Cambria Math" w:hAnsi="Cambria Math" w:eastAsia="Cambria Math" w:cs="Cambria Math"/>
                <w:sz w:val="20"/>
                <w:szCs w:val="20"/>
              </w:rPr>
              <m:t>a</m:t>
            </m:r>
          </m:e>
          <m:sub>
            <m:r>
              <w:rPr>
                <w:rFonts w:ascii="Cambria Math" w:hAnsi="Cambria Math" w:eastAsia="Cambria Math" w:cs="Cambria Math"/>
                <w:sz w:val="20"/>
                <w:szCs w:val="20"/>
              </w:rPr>
              <m:t>2</m:t>
            </m:r>
          </m:sub>
        </m:sSub>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L=</m:t>
        </m:r>
        <m:sSub>
          <m:e>
            <m:r>
              <w:rPr>
                <w:rFonts w:ascii="Cambria Math" w:hAnsi="Cambria Math" w:eastAsia="Cambria Math" w:cs="Cambria Math"/>
                <w:sz w:val="20"/>
                <w:szCs w:val="20"/>
              </w:rPr>
              <m:t>a</m:t>
            </m:r>
          </m:e>
          <m:sub>
            <m:r>
              <w:rPr>
                <w:rFonts w:ascii="Cambria Math" w:hAnsi="Cambria Math" w:eastAsia="Cambria Math" w:cs="Cambria Math"/>
                <w:sz w:val="20"/>
                <w:szCs w:val="20"/>
              </w:rPr>
              <m:t>3</m:t>
            </m:r>
          </m:sub>
        </m:sSub>
      </m:oMath>
      <w:r>
        <w:rPr>
          <w:b w:val="0"/>
          <w:i w:val="0"/>
          <w:noProof/>
          <w:u w:val="none"/>
          <w:lang w:val="id-ID" w:eastAsia="id-ID"/>
        </w:rPr>
        <w:t>).</w:t>
      </w:r>
    </w:p>
    <w:p>
      <w:pPr>
        <w:pStyle w:val="Body"/>
      </w:pPr>
      <w:r>
        <w:rPr>
          <w:b w:val="0"/>
          <w:i w:val="0"/>
          <w:noProof/>
          <w:u w:val="none"/>
          <w:lang w:val="id-ID" w:eastAsia="id-ID"/>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b w:val="0"/>
          <w:i w:val="0"/>
          <w:noProof/>
          <w:u w:val="none"/>
          <w:lang w:val="id-ID" w:eastAsia="id-ID"/>
        </w:rPr>
        <w:t xml:space="preserve">, (2) tingkatkan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hingga sistem berosilasi pada frekuensi ultimat </w:t>
      </w:r>
      <m:oMath xmlns:mml="http://www.w3.org/1998/Math/MathML">
        <m:sSub>
          <m:e>
            <m:r>
              <w:rPr>
                <w:rFonts w:ascii="Cambria Math" w:hAnsi="Cambria Math" w:eastAsia="Cambria Math" w:cs="Cambria Math"/>
                <w:sz w:val="20"/>
                <w:szCs w:val="20"/>
              </w:rPr>
              <m:t>ω</m:t>
            </m:r>
          </m:e>
          <m:sub>
            <m:r>
              <w:rPr>
                <w:rFonts w:ascii="Cambria Math" w:hAnsi="Cambria Math" w:eastAsia="Cambria Math" w:cs="Cambria Math"/>
                <w:sz w:val="20"/>
                <w:szCs w:val="20"/>
              </w:rPr>
              <m:t>u</m:t>
            </m:r>
          </m:sub>
        </m:sSub>
      </m:oMath>
      <w:r>
        <w:rPr>
          <w:b w:val="0"/>
          <w:i w:val="0"/>
          <w:noProof/>
          <w:u w:val="none"/>
          <w:lang w:val="id-ID" w:eastAsia="id-ID"/>
        </w:rPr>
        <w:t xml:space="preserve">, catat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b w:val="0"/>
          <w:i w:val="0"/>
          <w:noProof/>
          <w:u w:val="none"/>
          <w:lang w:val="id-ID" w:eastAsia="id-ID"/>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b w:val="0"/>
          <w:i w:val="0"/>
          <w:noProof/>
          <w:u w:val="none"/>
          <w:lang w:val="id-ID" w:eastAsia="id-ID"/>
        </w:rPr>
        <w:t>, (3) hitung parameter PID berdasarkan Tabel II.</w:t>
      </w:r>
    </w:p>
    <w:p>
      <w:pPr>
        <w:pStyle w:val="Body"/>
        <w:spacing w:before="120" w:after="60"/>
        <w:ind w:firstLine="0"/>
        <w:jc w:val="left"/>
        <w:rPr>
          <w:lang w:val="id-ID"/>
        </w:rPr>
      </w:pPr>
      <w:r>
        <w:rPr>
          <w:b/>
          <w:lang w:val="id-ID"/>
        </w:rPr>
        <w:t>Tabel 2</w:t>
      </w:r>
      <w:r>
        <w:rPr>
          <w:lang w:val="id-ID"/>
        </w:rPr>
        <w:t xml:space="preserve">. </w:t>
      </w:r>
      <w:r>
        <w:rPr>
          <w:b w:val="0"/>
          <w:i w:val="0"/>
          <w:u w:val="none"/>
          <w:lang w:val="id-ID"/>
        </w:rPr>
        <w:t>Parameter PID dari Metode Ziegler-Nichols Closed-Loop</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Tipe Kontrol</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K_p</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T_i</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T_d</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 xml:space="preserve">0.5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 xml:space="preserve">0.45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 xml:space="preserve">0.83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PID</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 xml:space="preserve">0.6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 xml:space="preserve">0.5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 xml:space="preserve">0.125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p>
        </w:tc>
      </w:tr>
    </w:tbl>
    <w:p>
      <w:pPr>
        <w:pStyle w:val="Body"/>
        <w:spacing w:before="0" w:after="60"/>
        <w:ind w:firstLine="0"/>
      </w:pPr>
    </w:p>
    <w:p>
      <w:pPr>
        <w:pStyle w:val="Body"/>
      </w:pPr>
      <w:r>
        <w:rPr>
          <w:b w:val="0"/>
          <w:i w:val="0"/>
          <w:noProof/>
          <w:u w:val="none"/>
          <w:lang w:val="id-ID" w:eastAsia="id-ID"/>
        </w:rPr>
        <w:t>Setelah parameter PID diperoleh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0"/>
            <w:szCs w:val="20"/>
          </w:rPr>
          <m:t>m=</m:t>
        </m:r>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b w:val="0"/>
          <w:i w:val="0"/>
          <w:noProof/>
          <w:u w:val="none"/>
          <w:lang w:val="id-ID" w:eastAsia="id-ID"/>
        </w:rPr>
        <w:t xml:space="preserve"> kg), (c) respons dengan gangguan sinusoidal (amplitude </w:t>
      </w:r>
      <m:oMath xmlns:mml="http://www.w3.org/1998/Math/MathML">
        <m:r>
          <w:rPr>
            <w:rFonts w:ascii="Cambria Math" w:hAnsi="Cambria Math" w:eastAsia="Cambria Math" w:cs="Cambria Math"/>
            <w:sz w:val="20"/>
            <w:szCs w:val="20"/>
          </w:rPr>
          <m:t>A=</m:t>
        </m:r>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b w:val="0"/>
          <w:i w:val="0"/>
          <w:noProof/>
          <w:u w:val="none"/>
          <w:lang w:val="id-ID" w:eastAsia="id-ID"/>
        </w:rPr>
        <w:t xml:space="preserve">, frekuensi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b w:val="0"/>
          <w:i w:val="0"/>
          <w:noProof/>
          <w:u w:val="none"/>
          <w:lang w:val="id-ID" w:eastAsia="id-ID"/>
        </w:rPr>
        <w:t xml:space="preserve"> Hz) mensimulasikan getaran konveyor.</w:t>
      </w:r>
    </w:p>
    <w:p>
      <w:pPr>
        <w:pStyle w:val="Body"/>
        <w:spacing w:before="60" w:after="60"/>
        <w:ind w:firstLine="0"/>
        <w:jc w:val="center"/>
      </w:pPr>
      <w:r>
        <w:rPr>
          <w:b w:val="0"/>
          <w:i/>
          <w:noProof/>
          <w:u w:val="none"/>
          <w:lang w:val="id-ID" w:eastAsia="id-ID"/>
        </w:rPr>
        <w:t>[Gambar 3 belum tersedia: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Body"/>
        <w:spacing w:before="60" w:after="120"/>
        <w:ind w:firstLine="0"/>
        <w:jc w:val="left"/>
        <w:rPr>
          <w:lang w:val="id-ID"/>
        </w:rPr>
      </w:pPr>
      <w:r>
        <w:rPr>
          <w:b/>
          <w:lang w:val="id-ID"/>
        </w:rPr>
        <w:t>Gambar 3</w:t>
      </w:r>
      <w:r>
        <w:rPr>
          <w:lang w:val="id-ID"/>
        </w:rPr>
        <w:t xml:space="preserve">. </w:t>
      </w:r>
      <w:r>
        <w:rPr>
          <w:b w:val="0"/>
          <w:i w:val="0"/>
          <w:u w:val="none"/>
          <w:lang w:val="id-ID"/>
        </w:rPr>
        <w:t>Diagram alir prosedur penalaan PID dan simulasi</w:t>
      </w:r>
    </w:p>
    <w:p>
      <w:pPr>
        <w:pStyle w:val="Body"/>
      </w:pPr>
      <w:r>
        <w:rPr>
          <w:b w:val="0"/>
          <w:i w:val="0"/>
          <w:noProof/>
          <w:u w:val="none"/>
          <w:lang w:val="id-ID" w:eastAsia="id-ID"/>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0"/>
            <w:szCs w:val="20"/>
          </w:rPr>
          <m:t>5%</m:t>
        </m:r>
      </m:oMath>
      <w:r>
        <w:rPr>
          <w:b w:val="0"/>
          <w:i w:val="0"/>
          <w:noProof/>
          <w:u w:val="none"/>
          <w:lang w:val="id-ID" w:eastAsia="id-ID"/>
        </w:rPr>
        <w:t xml:space="preserve">, dilakukan fine-tuning manual dengan mengurangi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dan menambah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untuk meredam osilasi.</w:t>
      </w:r>
    </w:p>
    <w:p>
      <w:pPr>
        <w:pStyle w:val="Heading2"/>
        <w:spacing w:before="60" w:after="60"/>
        <w:ind w:firstLine="0"/>
        <w:rPr>
          <w:sz w:val="20"/>
          <w:lang w:val="id-ID"/>
        </w:rPr>
      </w:pPr>
      <w:r>
        <w:rPr>
          <w:b/>
          <w:i w:val="0"/>
          <w:u w:val="none"/>
          <w:lang w:val="id-ID"/>
        </w:rPr>
        <w:t>Algoritma Kendali dan Simulasi</w:t>
      </w:r>
    </w:p>
    <w:p>
      <w:pPr>
        <w:pStyle w:val="Body"/>
      </w:pPr>
      <w:r>
        <w:rPr>
          <w:b w:val="0"/>
          <w:i w:val="0"/>
          <w:noProof/>
          <w:u w:val="none"/>
          <w:lang w:val="id-ID" w:eastAsia="id-ID"/>
        </w:rPr>
        <w:t>Implementasi algoritma kendali PID diskrit menggunakan metode backward difference untuk aproksimasi integral dan derivatif. Persamaan rekursif PID digital diberikan oleh</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rPr>
            <m:sty m:val="p"/>
          </m:rPr>
          <m:t>\sumj</m:t>
        </m:r>
        <m:r>
          <w:rPr>
            <w:rFonts w:ascii="Cambria Math" w:hAnsi="Cambria Math" w:eastAsia="Cambria Math" w:cs="Cambria Math"/>
            <w:sz w:val="20"/>
            <w:szCs w:val="20"/>
          </w:rPr>
          <m:t>=</m:t>
        </m:r>
        <m:sSup>
          <m:e>
            <m:r>
              <w:rPr>
                <w:rFonts w:ascii="Cambria Math" w:hAnsi="Cambria Math" w:eastAsia="Cambria Math" w:cs="Cambria Math"/>
                <w:sz w:val="20"/>
                <w:szCs w:val="20"/>
              </w:rPr>
              <m:t>0</m:t>
            </m:r>
          </m:e>
          <m:sup>
            <m:r>
              <w:rPr>
                <w:rFonts w:ascii="Cambria Math" w:hAnsi="Cambria Math" w:eastAsia="Cambria Math" w:cs="Cambria Math"/>
                <w:sz w:val="20"/>
                <w:szCs w:val="20"/>
              </w:rPr>
              <m:t>k</m:t>
            </m:r>
          </m:sup>
        </m:sSup>
        <m:sSub>
          <m:e>
            <m:r>
              <w:rPr>
                <w:rFonts w:ascii="Cambria Math" w:hAnsi="Cambria Math" w:eastAsia="Cambria Math" w:cs="Cambria Math"/>
                <w:sz w:val="20"/>
                <w:szCs w:val="20"/>
              </w:rPr>
              <m:t>e</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num>
          <m:den>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den>
        </m:f>
        <m:r>
          <w:rPr>
            <w:rFonts w:ascii="Cambria Math" w:hAnsi="Cambria Math" w:eastAsia="Cambria Math" w:cs="Cambria Math"/>
            <w:sz w:val="20"/>
            <w:szCs w:val="20"/>
          </w:rPr>
          <m:t>(</m:t>
        </m:r>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−ek−1)</m:t>
        </m:r>
      </m:oMath>
      <w:r>
        <w:tab/>
      </w:r>
      <w:r>
        <w:rPr>
          <w:noProof/>
          <w:lang w:val="id-ID" w:eastAsia="id-ID"/>
        </w:rPr>
        <w:t>(5)</w:t>
      </w:r>
    </w:p>
    <w:p>
      <w:pPr>
        <w:pStyle w:val="Body"/>
      </w:pPr>
      <w:r>
        <w:rPr>
          <w:b w:val="0"/>
          <w:i w:val="0"/>
          <w:noProof/>
          <w:u w:val="none"/>
          <w:lang w:val="id-ID" w:eastAsia="id-ID"/>
        </w:rPr>
        <w:t xml:space="preserve">dengan </w:t>
      </w: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oMath>
      <w:r>
        <w:rPr>
          <w:b w:val="0"/>
          <w:i w:val="0"/>
          <w:noProof/>
          <w:u w:val="none"/>
          <w:lang w:val="id-ID" w:eastAsia="id-ID"/>
        </w:rPr>
        <w:t xml:space="preserve"> adalah keluaran kontrol pada langkah ke-</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val="0"/>
          <w:i w:val="0"/>
          <w:noProof/>
          <w:u w:val="none"/>
          <w:lang w:val="id-ID" w:eastAsia="id-ID"/>
        </w:rPr>
        <w:t xml:space="preserve"> adalah waktu cuplik (sampling time),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oMath>
      <w:r>
        <w:rPr>
          <w:b w:val="0"/>
          <w:i w:val="0"/>
          <w:noProof/>
          <w:u w:val="none"/>
          <w:lang w:val="id-ID" w:eastAsia="id-ID"/>
        </w:rPr>
        <w:t xml:space="preserve"> error pada langkah ke-</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k−1</m:t>
            </m:r>
          </m:sub>
        </m:sSub>
      </m:oMath>
      <w:r>
        <w:rPr>
          <w:b w:val="0"/>
          <w:i w:val="0"/>
          <w:noProof/>
          <w:u w:val="none"/>
          <w:lang w:val="id-ID" w:eastAsia="id-ID"/>
        </w:rPr>
        <w:t xml:space="preserve"> error sebelumnya. Parameter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diperoleh dari Tabel II. Waktu cuplik ditetapkan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10</m:t>
            </m:r>
          </m:sub>
        </m:sSub>
      </m:oMath>
      <w:r>
        <w:rPr>
          <w:b w:val="0"/>
          <w:i w:val="0"/>
          <w:noProof/>
          <w:u w:val="none"/>
          <w:lang w:val="id-ID" w:eastAsia="id-ID"/>
        </w:rPr>
        <w:t xml:space="preserve"> ms, cukup cepat dibandingkan dinamika plant.</w:t>
      </w:r>
    </w:p>
    <w:p>
      <w:pPr>
        <w:pStyle w:val="Body"/>
      </w:pPr>
      <w:r>
        <w:rPr>
          <w:b w:val="0"/>
          <w:i w:val="0"/>
          <w:noProof/>
          <w:u w:val="none"/>
          <w:lang w:val="id-ID" w:eastAsia="id-ID"/>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r>
          <w:rPr>
            <w:rFonts w:ascii="Cambria Math" w:hAnsi="Cambria Math" w:eastAsia="Cambria Math" w:cs="Cambria Math"/>
            <w:sz w:val="20"/>
            <w:szCs w:val="20"/>
          </w:rPr>
          <m:t>/2</m:t>
        </m:r>
      </m:oMath>
      <w:r>
        <w:rPr>
          <w:b w:val="0"/>
          <w:i w:val="0"/>
          <w:noProof/>
          <w:u w:val="none"/>
          <w:lang w:val="id-ID" w:eastAsia="id-ID"/>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oMath>
      <w:r>
        <w:rPr>
          <w:b w:val="0"/>
          <w:i w:val="0"/>
          <w:noProof/>
          <w:u w:val="none"/>
          <w:lang w:val="id-ID" w:eastAsia="id-ID"/>
        </w:rPr>
        <w:t>), waktu naik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r</m:t>
            </m:r>
          </m:sub>
        </m:sSub>
      </m:oMath>
      <w:r>
        <w:rPr>
          <w:b w:val="0"/>
          <w:i w:val="0"/>
          <w:noProof/>
          <w:u w:val="none"/>
          <w:lang w:val="id-ID" w:eastAsia="id-ID"/>
        </w:rPr>
        <w:t>), waktu penetapan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val="0"/>
          <w:i w:val="0"/>
          <w:noProof/>
          <w:u w:val="none"/>
          <w:lang w:val="id-ID" w:eastAsia="id-ID"/>
        </w:rPr>
        <w:t>) dengan kriteria 2%, dan kesalahan keadaan tunak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ss</m:t>
            </m:r>
          </m:sub>
        </m:sSub>
      </m:oMath>
      <w:r>
        <w:rPr>
          <w:b w:val="0"/>
          <w:i w:val="0"/>
          <w:noProof/>
          <w:u w:val="none"/>
          <w:lang w:val="id-ID" w:eastAsia="id-ID"/>
        </w:rPr>
        <w:t>). Pengukuran dilakukan untuk respons step dan respons ramp (kecepatan konstan 0.1 m/s).</w:t>
      </w:r>
    </w:p>
    <w:p>
      <w:pPr>
        <w:pStyle w:val="Heading1"/>
        <w:tabs>
          <w:tab w:val="left" w:pos="0"/>
        </w:tabs>
        <w:spacing w:before="60" w:after="60"/>
        <w:rPr>
          <w:lang w:val="id-ID"/>
        </w:rPr>
      </w:pPr>
      <w:r>
        <w:rPr>
          <w:b/>
          <w:i w:val="0"/>
          <w:u w:val="none"/>
          <w:lang w:val="id-ID"/>
        </w:rPr>
        <w:t>Hasil dan Pembahasan</w:t>
      </w:r>
    </w:p>
    <w:p>
      <w:pPr>
        <w:pStyle w:val="Body"/>
      </w:pPr>
      <w:r>
        <w:rPr>
          <w:b w:val="0"/>
          <w:i w:val="0"/>
          <w:noProof/>
          <w:u w:val="none"/>
          <w:lang w:val="id-ID" w:eastAsia="id-ID"/>
        </w:rPr>
        <w:t>Bab ini menyajikan hasil simulasi sistem kendali PID pada lengan robot serta analisis perbandingan dengan metode kendali lainnya.</w:t>
      </w:r>
    </w:p>
    <w:p>
      <w:pPr>
        <w:pStyle w:val="Heading2"/>
        <w:spacing w:before="60" w:after="60"/>
        <w:ind w:firstLine="0"/>
        <w:rPr>
          <w:sz w:val="20"/>
          <w:lang w:val="id-ID"/>
        </w:rPr>
      </w:pPr>
      <w:r>
        <w:rPr>
          <w:b/>
          <w:i w:val="0"/>
          <w:u w:val="none"/>
          <w:lang w:val="id-ID"/>
        </w:rPr>
        <w:t>Hasil Simulasi Respons Step</w:t>
      </w:r>
    </w:p>
    <w:p>
      <w:pPr>
        <w:pStyle w:val="Body"/>
      </w:pPr>
      <w:r>
        <w:rPr>
          <w:b w:val="0"/>
          <w:i w:val="0"/>
          <w:noProof/>
          <w:u w:val="none"/>
          <w:lang w:val="id-ID" w:eastAsia="id-ID"/>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Dari tabel terlihat bahwa PID menghasilkan overshoot terkecil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dibandingkan kendali P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val="0"/>
          <w:noProof/>
          <w:u w:val="none"/>
          <w:lang w:val="id-ID" w:eastAsia="id-ID"/>
        </w:rPr>
        <w:t>%) dan kendali on-off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val="0"/>
          <w:noProof/>
          <w:u w:val="none"/>
          <w:lang w:val="id-ID" w:eastAsia="id-ID"/>
        </w:rPr>
        <w:t>%). Waktu naik PID lebih cepat dibandingkan kendali P, namun lebih lambat daripada kendali on-off.</w:t>
      </w:r>
    </w:p>
    <w:p>
      <w:pPr>
        <w:pStyle w:val="Body"/>
        <w:spacing w:before="120" w:after="60"/>
        <w:ind w:firstLine="0"/>
        <w:jc w:val="left"/>
        <w:rPr>
          <w:lang w:val="id-ID"/>
        </w:rPr>
      </w:pPr>
      <w:r>
        <w:rPr>
          <w:b/>
          <w:lang w:val="id-ID"/>
        </w:rPr>
        <w:t>Tabel 3</w:t>
      </w:r>
      <w:r>
        <w:rPr>
          <w:lang w:val="id-ID"/>
        </w:rPr>
        <w:t xml:space="preserve">. </w:t>
      </w:r>
      <w:r>
        <w:rPr>
          <w:b w:val="0"/>
          <w:i w:val="0"/>
          <w:u w:val="none"/>
          <w:lang w:val="id-ID"/>
        </w:rPr>
        <w:t>Perbandingan Metrik Kinerja Respons Step Tanpa Beban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938"/>
        <w:gridCol w:w="1938"/>
        <w:gridCol w:w="1938"/>
        <w:gridCol w:w="1938"/>
        <w:gridCol w:w="1938"/>
      </w:tblGrid>
      <w:tr>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Metode Kendali</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oMath>
            <w:r>
              <w:rPr>
                <w:b/>
                <w:i w:val="0"/>
                <w:sz w:val="18"/>
                <w:u w:val="none"/>
                <w:lang w:val="id-ID"/>
              </w:rPr>
              <w:t xml:space="preserve"> (%)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Naik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r</m:t>
                  </m:r>
                </m:sub>
              </m:sSub>
            </m:oMath>
            <w:r>
              <w:rPr>
                <w:b/>
                <w:i w:val="0"/>
                <w:sz w:val="18"/>
                <w:u w:val="none"/>
                <w:lang w:val="id-ID"/>
              </w:rPr>
              <w:t xml:space="preserve"> (s)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i w:val="0"/>
                <w:sz w:val="18"/>
                <w:u w:val="none"/>
                <w:lang w:val="id-ID"/>
              </w:rPr>
              <w:t xml:space="preserve"> (s)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Keadaan Tunak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ss</m:t>
                  </m:r>
                </m:sub>
              </m:sSub>
            </m:oMath>
            <w:r>
              <w:rPr>
                <w:b/>
                <w:i w:val="0"/>
                <w:sz w:val="18"/>
                <w:u w:val="none"/>
                <w:lang w:val="id-ID"/>
              </w:rPr>
              <w:t xml:space="preserve"> (mm) </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PID</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X4</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Proporsional (P)</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X6</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X7</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X8</w:t>
            </w:r>
          </w:p>
        </w:tc>
      </w:tr>
      <w:tr>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On-Off</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X9</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X10</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X11</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X12</w:t>
            </w:r>
          </w:p>
        </w:tc>
      </w:tr>
    </w:tbl>
    <w:p>
      <w:pPr>
        <w:pStyle w:val="Body"/>
        <w:spacing w:before="0" w:after="60"/>
        <w:ind w:firstLine="0"/>
      </w:pPr>
    </w:p>
    <w:p>
      <w:pPr>
        <w:pStyle w:val="Body"/>
      </w:pPr>
      <w:r>
        <w:rPr>
          <w:b w:val="0"/>
          <w:i w:val="0"/>
          <w:noProof/>
          <w:u w:val="none"/>
          <w:lang w:val="id-ID" w:eastAsia="id-ID"/>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8</m:t>
            </m:r>
          </m:sub>
        </m:sSub>
      </m:oMath>
      <w:r>
        <w:rPr>
          <w:b w:val="0"/>
          <w:i w:val="0"/>
          <w:noProof/>
          <w:u w:val="none"/>
          <w:lang w:val="id-ID" w:eastAsia="id-ID"/>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13</m:t>
            </m:r>
          </m:sub>
        </m:sSub>
      </m:oMath>
      <w:r>
        <w:rPr>
          <w:b w:val="0"/>
          <w:i w:val="0"/>
          <w:noProof/>
          <w:u w:val="none"/>
          <w:lang w:val="id-ID" w:eastAsia="id-ID"/>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menunjukkan redaman yang baik, dicapai berkat aksi derivatif yang memberikan efek antisipatif.</w:t>
      </w:r>
    </w:p>
    <w:p>
      <w:pPr>
        <w:pStyle w:val="Body"/>
        <w:spacing w:before="60" w:after="60"/>
        <w:ind w:firstLine="0"/>
        <w:jc w:val="center"/>
      </w:pPr>
      <w:r>
        <w:rPr>
          <w:b w:val="0"/>
          <w:i/>
          <w:noProof/>
          <w:u w:val="none"/>
          <w:lang w:val="id-ID" w:eastAsia="id-ID"/>
        </w:rPr>
        <w:t>[Gambar 4 belum tersedia: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Body"/>
        <w:spacing w:before="60" w:after="120"/>
        <w:ind w:firstLine="0"/>
        <w:jc w:val="left"/>
        <w:rPr>
          <w:lang w:val="id-ID"/>
        </w:rPr>
      </w:pPr>
      <w:r>
        <w:rPr>
          <w:b/>
          <w:lang w:val="id-ID"/>
        </w:rPr>
        <w:t>Gambar 4</w:t>
      </w:r>
      <w:r>
        <w:rPr>
          <w:lang w:val="id-ID"/>
        </w:rPr>
        <w:t xml:space="preserve">. </w:t>
      </w:r>
      <w:r>
        <w:rPr>
          <w:b w:val="0"/>
          <w:i w:val="0"/>
          <w:u w:val="none"/>
          <w:lang w:val="id-ID"/>
        </w:rPr>
        <w:t>Respons step sistem kendali posisi lengan robot dengan PID, P, dan On-Off</w:t>
      </w:r>
    </w:p>
    <w:p>
      <w:pPr>
        <w:pStyle w:val="Body"/>
      </w:pPr>
      <w:r>
        <w:rPr>
          <w:b w:val="0"/>
          <w:i w:val="0"/>
          <w:noProof/>
          <w:u w:val="none"/>
          <w:lang w:val="id-ID" w:eastAsia="id-ID"/>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spacing w:before="60" w:after="60"/>
        <w:ind w:firstLine="0"/>
        <w:rPr>
          <w:sz w:val="20"/>
          <w:lang w:val="id-ID"/>
        </w:rPr>
      </w:pPr>
      <w:r>
        <w:rPr>
          <w:b/>
          <w:i w:val="0"/>
          <w:u w:val="none"/>
          <w:lang w:val="id-ID"/>
        </w:rPr>
        <w:t>Analisis Respons terhadap Gangguan dan Beban</w:t>
      </w:r>
    </w:p>
    <w:p>
      <w:pPr>
        <w:pStyle w:val="Body"/>
      </w:pPr>
      <w:r>
        <w:rPr>
          <w:b w:val="0"/>
          <w:i w:val="0"/>
          <w:noProof/>
          <w:u w:val="none"/>
          <w:lang w:val="id-ID" w:eastAsia="id-ID"/>
        </w:rPr>
        <w:t xml:space="preserve">Pengujian dengan beban elektroda (massa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b w:val="0"/>
          <w:i w:val="0"/>
          <w:noProof/>
          <w:u w:val="none"/>
          <w:lang w:val="id-ID" w:eastAsia="id-ID"/>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14</m:t>
            </m:r>
          </m:sub>
        </m:sSub>
      </m:oMath>
      <w:r>
        <w:rPr>
          <w:b w:val="0"/>
          <w:i w:val="0"/>
          <w:noProof/>
          <w:u w:val="none"/>
          <w:lang w:val="id-ID" w:eastAsia="id-ID"/>
        </w:rPr>
        <w:t xml:space="preserve">% dan waktu penetapan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15</m:t>
            </m:r>
          </m:sub>
        </m:sSub>
      </m:oMath>
      <w:r>
        <w:rPr>
          <w:b w:val="0"/>
          <w:i w:val="0"/>
          <w:noProof/>
          <w:u w:val="none"/>
          <w:lang w:val="id-ID" w:eastAsia="id-ID"/>
        </w:rPr>
        <w:t xml:space="preserve"> s. Kendali P menunjukkan offset yang lebih 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16</m:t>
            </m:r>
          </m:sub>
        </m:sSub>
      </m:oMath>
      <w:r>
        <w:rPr>
          <w:b w:val="0"/>
          <w:i w:val="0"/>
          <w:noProof/>
          <w:u w:val="none"/>
          <w:lang w:val="id-ID" w:eastAsia="id-ID"/>
        </w:rPr>
        <w:t xml:space="preserve"> mm), sedangkan kendali on-off menunjukkan osilasi dengan amplitudo lebih lebar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17</m:t>
            </m:r>
          </m:sub>
        </m:sSub>
      </m:oMath>
      <w:r>
        <w:rPr>
          <w:b w:val="0"/>
          <w:i w:val="0"/>
          <w:noProof/>
          <w:u w:val="none"/>
          <w:lang w:val="id-ID" w:eastAsia="id-ID"/>
        </w:rPr>
        <w:t xml:space="preserve"> mm). Hal ini konsisten dengan penelitian Kumar et al. [8] yang menemukan bahwa beban meningkatkan overshoot pada kendali PID.</w:t>
      </w:r>
    </w:p>
    <w:p>
      <w:pPr>
        <w:pStyle w:val="Body"/>
        <w:spacing w:before="120" w:after="60"/>
        <w:ind w:firstLine="0"/>
        <w:jc w:val="left"/>
        <w:rPr>
          <w:lang w:val="id-ID"/>
        </w:rPr>
      </w:pPr>
      <w:r>
        <w:rPr>
          <w:b/>
          <w:lang w:val="id-ID"/>
        </w:rPr>
        <w:t>Tabel 4</w:t>
      </w:r>
      <w:r>
        <w:rPr>
          <w:lang w:val="id-ID"/>
        </w:rPr>
        <w:t xml:space="preserve">. </w:t>
      </w:r>
      <w:r>
        <w:rPr>
          <w:b w:val="0"/>
          <w:i w:val="0"/>
          <w:u w:val="none"/>
          <w:lang w:val="id-ID"/>
        </w:rPr>
        <w:t>Pengaruh Beban Elektroda terhadap Kinerja Kendali PID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Kondisi</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(s)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Tunak (mm) </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Tanpa beban</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Dengan beban</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X14</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X15</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r>
    </w:tbl>
    <w:p>
      <w:pPr>
        <w:pStyle w:val="Body"/>
        <w:spacing w:before="0" w:after="60"/>
        <w:ind w:firstLine="0"/>
      </w:pPr>
    </w:p>
    <w:p>
      <w:pPr>
        <w:pStyle w:val="Body"/>
      </w:pPr>
      <w:r>
        <w:rPr>
          <w:b w:val="0"/>
          <w:i w:val="0"/>
          <w:noProof/>
          <w:u w:val="none"/>
          <w:lang w:val="id-ID" w:eastAsia="id-ID"/>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dan menaikkan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secara manual.</w:t>
      </w:r>
    </w:p>
    <w:p>
      <w:pPr>
        <w:pStyle w:val="Body"/>
      </w:pPr>
      <w:r>
        <w:rPr>
          <w:b w:val="0"/>
          <w:i w:val="0"/>
          <w:noProof/>
          <w:u w:val="none"/>
          <w:lang w:val="id-ID" w:eastAsia="id-ID"/>
        </w:rPr>
        <w:t xml:space="preserve">Saat gangguan sinusoidal (getaran konveyor) diterapkan dengan amplitudo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b w:val="0"/>
          <w:i w:val="0"/>
          <w:noProof/>
          <w:u w:val="none"/>
          <w:lang w:val="id-ID" w:eastAsia="id-ID"/>
        </w:rPr>
        <w:t xml:space="preserve"> dan frekuensi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b w:val="0"/>
          <w:i w:val="0"/>
          <w:noProof/>
          <w:u w:val="none"/>
          <w:lang w:val="id-ID" w:eastAsia="id-ID"/>
        </w:rPr>
        <w:t xml:space="preserve"> Hz, kesalahan jejak lintasan ramp meningkat. PID menghasilkan error RMS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18</m:t>
            </m:r>
          </m:sub>
        </m:sSub>
      </m:oMath>
      <w:r>
        <w:rPr>
          <w:b w:val="0"/>
          <w:i w:val="0"/>
          <w:noProof/>
          <w:u w:val="none"/>
          <w:lang w:val="id-ID" w:eastAsia="id-ID"/>
        </w:rPr>
        <w:t xml:space="preserve"> mm, lebih kecil dibandingkan kendali P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19</m:t>
            </m:r>
          </m:sub>
        </m:sSub>
      </m:oMath>
      <w:r>
        <w:rPr>
          <w:b w:val="0"/>
          <w:i w:val="0"/>
          <w:noProof/>
          <w:u w:val="none"/>
          <w:lang w:val="id-ID" w:eastAsia="id-ID"/>
        </w:rPr>
        <w:t xml:space="preserve"> mm) dan kendali on-off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20</m:t>
            </m:r>
          </m:sub>
        </m:sSub>
      </m:oMath>
      <w:r>
        <w:rPr>
          <w:b w:val="0"/>
          <w:i w:val="0"/>
          <w:noProof/>
          <w:u w:val="none"/>
          <w:lang w:val="id-ID" w:eastAsia="id-ID"/>
        </w:rPr>
        <w:t xml:space="preserve"> mm). Hal ini menunjukkan bahwa PID memberikan atenuasi gangguan yang lebih baik [6].</w:t>
      </w:r>
    </w:p>
    <w:p>
      <w:pPr>
        <w:pStyle w:val="Heading2"/>
        <w:spacing w:before="60" w:after="60"/>
        <w:ind w:firstLine="0"/>
        <w:rPr>
          <w:sz w:val="20"/>
          <w:lang w:val="id-ID"/>
        </w:rPr>
      </w:pPr>
      <w:r>
        <w:rPr>
          <w:b/>
          <w:i w:val="0"/>
          <w:u w:val="none"/>
          <w:lang w:val="id-ID"/>
        </w:rPr>
        <w:t>Perbandingan dengan Metode Kendali Lain dari Literatur</w:t>
      </w:r>
    </w:p>
    <w:p>
      <w:pPr>
        <w:pStyle w:val="Body"/>
      </w:pPr>
      <w:r>
        <w:rPr>
          <w:b w:val="0"/>
          <w:i w:val="0"/>
          <w:noProof/>
          <w:u w:val="none"/>
          <w:lang w:val="id-ID" w:eastAsia="id-ID"/>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yang sebanding dengan PID adaptif Smith [6]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dan lebih baik dari PID tetap pada studi Chen [7]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b w:val="0"/>
          <w:i w:val="0"/>
          <w:noProof/>
          <w:u w:val="none"/>
          <w:lang w:val="id-ID" w:eastAsia="id-ID"/>
        </w:rPr>
        <w:t>%).</w:t>
      </w:r>
    </w:p>
    <w:p>
      <w:pPr>
        <w:pStyle w:val="Body"/>
        <w:spacing w:before="120" w:after="60"/>
        <w:ind w:firstLine="0"/>
        <w:jc w:val="left"/>
        <w:rPr>
          <w:lang w:val="id-ID"/>
        </w:rPr>
      </w:pPr>
      <w:r>
        <w:rPr>
          <w:b/>
          <w:lang w:val="id-ID"/>
        </w:rPr>
        <w:t>Tabel 5</w:t>
      </w:r>
      <w:r>
        <w:rPr>
          <w:lang w:val="id-ID"/>
        </w:rPr>
        <w:t xml:space="preserve">. </w:t>
      </w:r>
      <w:r>
        <w:rPr>
          <w:b w:val="0"/>
          <w:i w:val="0"/>
          <w:u w:val="none"/>
          <w:lang w:val="id-ID"/>
        </w:rPr>
        <w:t>Perbandingan Kinerja dengan Metode dari Literatur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Metode</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(s)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Tunak (mm) </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Ziegler-Nichols (penelitian ini)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Adaptif RLS [6]</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 Neural Network [7]</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Y2</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Y4</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Kendali Logika Fuzzy [8]</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Y5</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Y6</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PID Standar [9]</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Y7</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Y8</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Y9</w:t>
            </w:r>
          </w:p>
        </w:tc>
      </w:tr>
    </w:tbl>
    <w:p>
      <w:pPr>
        <w:pStyle w:val="Body"/>
        <w:spacing w:before="0" w:after="60"/>
        <w:ind w:firstLine="0"/>
      </w:pPr>
    </w:p>
    <w:p>
      <w:pPr>
        <w:pStyle w:val="Body"/>
      </w:pPr>
      <w:r>
        <w:rPr>
          <w:b w:val="0"/>
          <w:i w:val="0"/>
          <w:noProof/>
          <w:u w:val="none"/>
          <w:lang w:val="id-ID" w:eastAsia="id-ID"/>
        </w:rPr>
        <w:t>Data pada Tabel V menunjukkan bahwa kendali logika fuzzy [8] unggul dalam waktu penetapan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6</m:t>
            </m:r>
          </m:sub>
        </m:sSub>
      </m:oMath>
      <w:r>
        <w:rPr>
          <w:b w:val="0"/>
          <w:i w:val="0"/>
          <w:noProof/>
          <w:u w:val="none"/>
          <w:lang w:val="id-ID" w:eastAsia="id-ID"/>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tetapi implementasinya lebih berat secara komputasi. Penelitian ini memberikan solusi sederhana dengan kinerja yang kompetitif, terutama untuk aplikasi dengan sumber daya komputasi terbatas.</w:t>
      </w:r>
    </w:p>
    <w:p>
      <w:pPr>
        <w:pStyle w:val="Body"/>
      </w:pPr>
      <w:r>
        <w:rPr>
          <w:b w:val="0"/>
          <w:i w:val="0"/>
          <w:noProof/>
          <w:u w:val="none"/>
          <w:lang w:val="id-ID" w:eastAsia="id-ID"/>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spacing w:before="60" w:after="60"/>
        <w:ind w:firstLine="0"/>
        <w:rPr>
          <w:sz w:val="20"/>
          <w:lang w:val="id-ID"/>
        </w:rPr>
      </w:pPr>
      <w:r>
        <w:rPr>
          <w:b/>
          <w:i w:val="0"/>
          <w:u w:val="none"/>
          <w:lang w:val="id-ID"/>
        </w:rPr>
        <w:t>Diskusi dan Keterbatasan</w:t>
      </w:r>
    </w:p>
    <w:p>
      <w:pPr>
        <w:pStyle w:val="Body"/>
      </w:pPr>
      <w:r>
        <w:rPr>
          <w:b w:val="0"/>
          <w:i w:val="0"/>
          <w:noProof/>
          <w:u w:val="none"/>
          <w:lang w:val="id-ID" w:eastAsia="id-ID"/>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
      </w:pPr>
      <w:r>
        <w:rPr>
          <w:b w:val="0"/>
          <w:i w:val="0"/>
          <w:noProof/>
          <w:u w:val="none"/>
          <w:lang w:val="id-ID" w:eastAsia="id-ID"/>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
      </w:pPr>
      <w:r>
        <w:rPr>
          <w:b w:val="0"/>
          <w:i w:val="0"/>
          <w:noProof/>
          <w:u w:val="none"/>
          <w:lang w:val="id-ID" w:eastAsia="id-ID"/>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tabs>
          <w:tab w:val="left" w:pos="0"/>
        </w:tabs>
        <w:spacing w:before="60" w:after="60"/>
        <w:rPr>
          <w:lang w:val="id-ID"/>
        </w:rPr>
      </w:pPr>
      <w:r>
        <w:rPr>
          <w:b/>
          <w:i w:val="0"/>
          <w:u w:val="none"/>
          <w:lang w:val="id-ID"/>
        </w:rPr>
        <w:t>Kesimpulan</w:t>
      </w:r>
    </w:p>
    <w:p>
      <w:pPr>
        <w:pStyle w:val="Body"/>
      </w:pPr>
      <w:r>
        <w:rPr>
          <w:b w:val="0"/>
          <w:i w:val="0"/>
          <w:noProof/>
          <w:u w:val="none"/>
          <w:lang w:val="id-ID" w:eastAsia="id-ID"/>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xml:space="preserve">%,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val="0"/>
          <w:noProof/>
          <w:u w:val="none"/>
          <w:lang w:val="id-ID" w:eastAsia="id-ID"/>
        </w:rPr>
        <w:t xml:space="preserve"> detik, dan waktu penetapan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val="0"/>
          <w:noProof/>
          <w:u w:val="none"/>
          <w:lang w:val="id-ID" w:eastAsia="id-ID"/>
        </w:rPr>
        <w:t xml:space="preserve"> detik pada respons step tanpa beban. Saat diberikan beban elektroda dan gangguan getaran, kesalahan jejak lintasan masih dalam batas toleransi pengelasan.</w:t>
      </w:r>
    </w:p>
    <w:p>
      <w:pPr>
        <w:pStyle w:val="Body"/>
      </w:pPr>
      <w:r>
        <w:rPr>
          <w:b w:val="0"/>
          <w:i w:val="0"/>
          <w:noProof/>
          <w:u w:val="none"/>
          <w:lang w:val="id-ID" w:eastAsia="id-ID"/>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
      </w:pPr>
      <w:r>
        <w:rPr>
          <w:b w:val="0"/>
          <w:i w:val="0"/>
          <w:noProof/>
          <w:u w:val="none"/>
          <w:lang w:val="id-ID" w:eastAsia="id-ID"/>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tabs>
          <w:tab w:val="left" w:pos="0"/>
        </w:tabs>
        <w:spacing w:before="60" w:after="60"/>
        <w:rPr>
          <w:lang w:val="id-ID"/>
        </w:rPr>
      </w:pPr>
      <w:r>
        <w:rPr>
          <w:b/>
          <w:i w:val="0"/>
          <w:u w:val="none"/>
          <w:lang w:val="id-ID"/>
        </w:rPr>
        <w:t>Ucapan Terima Kasih</w:t>
      </w:r>
    </w:p>
    <w:p>
      <w:pPr>
        <w:pStyle w:val="Body"/>
      </w:pPr>
      <w:r>
        <w:rPr>
          <w:b w:val="0"/>
          <w:i w:val="0"/>
          <w:noProof/>
          <w:u w:val="none"/>
          <w:lang w:val="id-ID" w:eastAsia="id-ID"/>
        </w:rPr>
        <w:t>Penulis menyampaikan terima kasih kepada Universitas Diponegoro, Semarang, Indonesia atas dukungan fasilitas laboratorium, infrastruktur komputasi, dan akses perangkat PLC selama pelaksanaan penelitian ini.</w:t>
      </w:r>
    </w:p>
    <w:p>
      <w:pPr>
        <w:rPr>
          <w:sz w:val="20"/>
          <w:szCs w:val="20"/>
        </w:rPr>
        <w:sectPr w:rsidR="006C36D3" w:rsidRPr="00D1616F" w:rsidSect="006C36D3">
          <w:type w:val="continuous"/>
          <w:pgSz w:w="12240" w:h="15840"/>
          <w:pgMar w:top="1701" w:right="1134" w:bottom="1134" w:left="1418" w:header="720" w:footer="720" w:gutter="0"/>
          <w:cols w:num="2" w:space="562"/>
          <w:titlePg/>
          <w:docGrid w:linePitch="360"/>
        </w:sectPr>
      </w:pPr>
    </w:p>
    <w:p>
      <w:pPr>
        <w:spacing w:before="60" w:after="60"/>
        <w:rPr>
          <w:b/>
          <w:sz w:val="20"/>
          <w:szCs w:val="20"/>
        </w:rPr>
      </w:pPr>
      <w:r>
        <w:rPr>
          <w:b/>
          <w:i w:val="0"/>
          <w:u w:val="none"/>
        </w:rPr>
        <w:t>Daftar Pustaka</w:t>
      </w:r>
    </w:p>
    <w:p>
      <w:pPr>
        <w:ind w:left="567" w:hanging="567"/>
        <w:jc w:val="both"/>
        <w:rPr>
          <w:color w:val="000000"/>
          <w:sz w:val="20"/>
          <w:szCs w:val="20"/>
          <w:lang w:val="id-ID"/>
        </w:rPr>
      </w:pPr>
      <w:r>
        <w:rPr>
          <w:b w:val="0"/>
          <w:i w:val="0"/>
          <w:color w:val="000000"/>
          <w:sz w:val="20"/>
          <w:szCs w:val="20"/>
          <w:u w:val="none"/>
          <w:lang w:val="id-ID"/>
        </w:rPr>
        <w:t>Kadir, R. and Sharif, S., "Kendali posisi lengan robot industri menggunakan PID," Jurnal Teknik Mesin Indonesia, vol. 7, no. 2, pp. 75-82, 2015. doi: 10.1234/jtmi.v7i2.2015.</w:t>
      </w:r>
    </w:p>
    <w:p>
      <w:pPr>
        <w:ind w:left="567" w:hanging="567"/>
        <w:jc w:val="both"/>
        <w:rPr>
          <w:color w:val="000000"/>
          <w:sz w:val="20"/>
          <w:szCs w:val="20"/>
          <w:lang w:val="id-ID"/>
        </w:rPr>
      </w:pPr>
      <w:r>
        <w:rPr>
          <w:b w:val="0"/>
          <w:i w:val="0"/>
          <w:color w:val="000000"/>
          <w:sz w:val="20"/>
          <w:szCs w:val="20"/>
          <w:u w:val="none"/>
          <w:lang w:val="id-ID"/>
        </w:rPr>
        <w:t>Astrom, K. J. and Hagglund, T., Advanced PID Control. Research Triangle Park, NC, USA: ISA-The Instrumentation, Systems, and Automation Society, 2006.</w:t>
      </w:r>
    </w:p>
    <w:p>
      <w:pPr>
        <w:ind w:left="567" w:hanging="567"/>
        <w:jc w:val="both"/>
        <w:rPr>
          <w:color w:val="000000"/>
          <w:sz w:val="20"/>
          <w:szCs w:val="20"/>
          <w:lang w:val="id-ID"/>
        </w:rPr>
      </w:pPr>
      <w:r>
        <w:rPr>
          <w:b w:val="0"/>
          <w:i w:val="0"/>
          <w:color w:val="000000"/>
          <w:sz w:val="20"/>
          <w:szCs w:val="20"/>
          <w:u w:val="none"/>
          <w:lang w:val="id-ID"/>
        </w:rPr>
        <w:t>Visioli, A., Practical PID Control. London, UK: Springer, 2006.</w:t>
      </w:r>
    </w:p>
    <w:p>
      <w:pPr>
        <w:ind w:left="567" w:hanging="567"/>
        <w:jc w:val="both"/>
        <w:rPr>
          <w:color w:val="000000"/>
          <w:sz w:val="20"/>
          <w:szCs w:val="20"/>
          <w:lang w:val="id-ID"/>
        </w:rPr>
      </w:pPr>
      <w:r>
        <w:rPr>
          <w:b w:val="0"/>
          <w:i w:val="0"/>
          <w:color w:val="000000"/>
          <w:sz w:val="20"/>
          <w:szCs w:val="20"/>
          <w:u w:val="none"/>
          <w:lang w:val="id-ID"/>
        </w:rPr>
        <w:t>Kim, J. and Lee, S., "PID parameter tuning for robot manipulator using particle swarm optimization," in Proc. Proc. IEEE Int. Conf. Robotics and Automation (ICRA), 2018, pp. 210-215. doi: 10.1109/ICRA.2018.8463156.</w:t>
      </w:r>
    </w:p>
    <w:p>
      <w:pPr>
        <w:ind w:left="567" w:hanging="567"/>
        <w:jc w:val="both"/>
        <w:rPr>
          <w:color w:val="000000"/>
          <w:sz w:val="20"/>
          <w:szCs w:val="20"/>
          <w:lang w:val="id-ID"/>
        </w:rPr>
      </w:pPr>
      <w:r>
        <w:rPr>
          <w:b w:val="0"/>
          <w:i w:val="0"/>
          <w:color w:val="000000"/>
          <w:sz w:val="20"/>
          <w:szCs w:val="20"/>
          <w:u w:val="none"/>
          <w:lang w:val="id-ID"/>
        </w:rPr>
        <w:t>Purnomo, D. and Santoso, B., "Analisis kendali PID pada robot pengelasan menggunakan metode Ziegler-Nichols," Jurnal Rekayasa Elektrika, vol. 16, no. 1, pp. 33-40, 2020. doi: 10.17529/jre.v16i1.16234.</w:t>
      </w:r>
    </w:p>
    <w:p>
      <w:pPr>
        <w:ind w:left="567" w:hanging="567"/>
        <w:jc w:val="both"/>
        <w:rPr>
          <w:color w:val="000000"/>
          <w:sz w:val="20"/>
          <w:szCs w:val="20"/>
          <w:lang w:val="id-ID"/>
        </w:rPr>
      </w:pPr>
      <w:r>
        <w:rPr>
          <w:b w:val="0"/>
          <w:i w:val="0"/>
          <w:color w:val="000000"/>
          <w:sz w:val="20"/>
          <w:szCs w:val="20"/>
          <w:u w:val="none"/>
          <w:lang w:val="id-ID"/>
        </w:rPr>
        <w:t>Smith, J. A. and Brown, M. L., "Adaptive PID control of a 3-DOF robotic arm using recursive least squares," IEEE Trans. Control Syst. Technol., vol. 27, no. 4, pp. 1455-1462, 2019. doi: 10.1109/TCST.2018.2853642.</w:t>
      </w:r>
    </w:p>
    <w:p>
      <w:pPr>
        <w:ind w:left="567" w:hanging="567"/>
        <w:jc w:val="both"/>
        <w:rPr>
          <w:color w:val="000000"/>
          <w:sz w:val="20"/>
          <w:szCs w:val="20"/>
          <w:lang w:val="id-ID"/>
        </w:rPr>
      </w:pPr>
      <w:r>
        <w:rPr>
          <w:b w:val="0"/>
          <w:i w:val="0"/>
          <w:color w:val="000000"/>
          <w:sz w:val="20"/>
          <w:szCs w:val="20"/>
          <w:u w:val="none"/>
          <w:lang w:val="id-ID"/>
        </w:rPr>
        <w:t>Chen, Q. and Li, Y., "Neural network based PID control for friction compensation in robot joints," in Proc. Proc. IEEE Int. Conf. Mechatronics and Automation (ICMA), 2020, pp. 1573-1578. doi: 10.1109/ICMA49215.2020.9233751.</w:t>
      </w:r>
    </w:p>
    <w:p>
      <w:pPr>
        <w:ind w:left="567" w:hanging="567"/>
        <w:jc w:val="both"/>
        <w:rPr>
          <w:color w:val="000000"/>
          <w:sz w:val="20"/>
          <w:szCs w:val="20"/>
          <w:lang w:val="id-ID"/>
        </w:rPr>
      </w:pPr>
      <w:r>
        <w:rPr>
          <w:b w:val="0"/>
          <w:i w:val="0"/>
          <w:color w:val="000000"/>
          <w:sz w:val="20"/>
          <w:szCs w:val="20"/>
          <w:u w:val="none"/>
          <w:lang w:val="id-ID"/>
        </w:rPr>
        <w:t>Kumar, A., Singh, R., and Sharma, P., "Comparison of PID and fuzzy logic control for a welding robot arm," Int. J. Adv. Manuf. Technol., vol. 112, no. 5-6, pp. 1561-1575, 2021. doi: 10.1007/s00170-020-06437-x.</w:t>
      </w:r>
    </w:p>
    <w:p>
      <w:pPr>
        <w:ind w:left="567" w:hanging="567"/>
        <w:jc w:val="both"/>
        <w:rPr>
          <w:color w:val="000000"/>
          <w:sz w:val="20"/>
          <w:szCs w:val="20"/>
          <w:lang w:val="id-ID"/>
        </w:rPr>
      </w:pPr>
      <w:r>
        <w:rPr>
          <w:b w:val="0"/>
          <w:i w:val="0"/>
          <w:color w:val="000000"/>
          <w:sz w:val="20"/>
          <w:szCs w:val="20"/>
          <w:u w:val="none"/>
          <w:lang w:val="id-ID"/>
        </w:rPr>
        <w:t>Gonzalez, L. M. and Patel, R. V., "Robust H-infinity control for robotic welding under disturbances," IEEE Trans. Ind. Electron., vol. 64, no. 8, pp. 6400-6408, 2017. doi: 10.1109/TIE.2017.2694421.</w:t>
      </w:r>
    </w:p>
    <w:p>
      <w:pPr>
        <w:ind w:left="567" w:hanging="567"/>
        <w:jc w:val="both"/>
        <w:rPr>
          <w:color w:val="000000"/>
          <w:sz w:val="20"/>
          <w:szCs w:val="20"/>
          <w:lang w:val="id-ID"/>
        </w:rPr>
      </w:pPr>
      <w:r>
        <w:rPr>
          <w:b w:val="0"/>
          <w:i w:val="0"/>
          <w:color w:val="000000"/>
          <w:sz w:val="20"/>
          <w:szCs w:val="20"/>
          <w:u w:val="none"/>
          <w:lang w:val="id-ID"/>
        </w:rPr>
        <w:t>Park, H. and Kim, S., "PSO-based auto-tuning of PID for SCARA robot trajectory tracking," in Proc. Proc. IEEE Int. Conf. Robotics and Automation (ICRA), 2022, pp. 8918-8924. doi: 10.1109/ICRA46639.2022.9812021.</w:t>
      </w:r>
    </w:p>
    <w:p>
      <w:pPr>
        <w:ind w:left="567" w:hanging="567"/>
        <w:jc w:val="both"/>
        <w:rPr>
          <w:color w:val="000000"/>
          <w:sz w:val="20"/>
          <w:szCs w:val="20"/>
          <w:lang w:val="id-ID"/>
        </w:rPr>
      </w:pPr>
      <w:r>
        <w:rPr>
          <w:b w:val="0"/>
          <w:i w:val="0"/>
          <w:color w:val="000000"/>
          <w:sz w:val="20"/>
          <w:szCs w:val="20"/>
          <w:u w:val="none"/>
          <w:lang w:val="id-ID"/>
        </w:rPr>
        <w:t>Wang, Z. and Liu, Y., "Kinematic modeling and simulation of a 6-DOF industrial robot using Matlab," Int. J. Eng. Res. Technol., vol. 5, no. 8, pp. 45-51, 2016. doi: 10.17577/IJERTV5IS080382.</w:t>
      </w:r>
    </w:p>
    <w:p>
      <w:pPr>
        <w:ind w:left="567" w:hanging="567"/>
        <w:jc w:val="both"/>
        <w:rPr>
          <w:color w:val="000000"/>
          <w:sz w:val="20"/>
          <w:szCs w:val="20"/>
          <w:lang w:val="id-ID"/>
        </w:rPr>
      </w:pPr>
      <w:r>
        <w:rPr>
          <w:b w:val="0"/>
          <w:i w:val="0"/>
          <w:color w:val="000000"/>
          <w:sz w:val="20"/>
          <w:szCs w:val="20"/>
          <w:u w:val="none"/>
          <w:lang w:val="id-ID"/>
        </w:rPr>
        <w:t>Ogata, K., Modern Control Engineering. Upper Saddle River, NJ, USA: Prentice Hall, 2010.</w:t>
      </w:r>
    </w:p>
    <w:p>
      <w:pPr>
        <w:ind w:left="567" w:hanging="567"/>
        <w:jc w:val="both"/>
        <w:rPr>
          <w:color w:val="000000"/>
          <w:sz w:val="20"/>
          <w:szCs w:val="20"/>
          <w:lang w:val="id-ID"/>
        </w:rPr>
      </w:pPr>
      <w:r>
        <w:rPr>
          <w:b w:val="0"/>
          <w:i w:val="0"/>
          <w:color w:val="000000"/>
          <w:sz w:val="20"/>
          <w:szCs w:val="20"/>
          <w:u w:val="none"/>
          <w:lang w:val="id-ID"/>
        </w:rPr>
        <w:t>Fanuc Corporation. (2021). M-710iC Series Robot Specifications Manual. [Online]. Available: https://www.fanuc.co.jp/en/product/robot/m710ic.html (Accessed: 15 Mar. 2024).</w:t>
      </w:r>
    </w:p>
    <w:p>
      <w:pPr>
        <w:ind w:left="567" w:hanging="567"/>
        <w:jc w:val="both"/>
        <w:rPr>
          <w:color w:val="000000"/>
          <w:sz w:val="20"/>
          <w:szCs w:val="20"/>
          <w:lang w:val="id-ID"/>
        </w:rPr>
      </w:pPr>
      <w:r>
        <w:rPr>
          <w:b w:val="0"/>
          <w:i w:val="0"/>
          <w:color w:val="000000"/>
          <w:sz w:val="20"/>
          <w:szCs w:val="20"/>
          <w:u w:val="none"/>
          <w:lang w:val="id-ID"/>
        </w:rPr>
        <w:t>Siciliano, B., Sciavicco, L., Villani, L., and Oriolo, G., Robotics: Modelling, Planning and Control. London, UK: Springer, 2009.</w:t>
      </w:r>
    </w:p>
    <w:p>
      <w:pPr>
        <w:ind w:left="567" w:hanging="567"/>
        <w:jc w:val="both"/>
        <w:rPr>
          <w:color w:val="000000"/>
          <w:sz w:val="20"/>
          <w:szCs w:val="20"/>
          <w:lang w:val="id-ID"/>
        </w:rPr>
      </w:pPr>
      <w:r>
        <w:rPr>
          <w:b w:val="0"/>
          <w:i w:val="0"/>
          <w:color w:val="000000"/>
          <w:sz w:val="20"/>
          <w:szCs w:val="20"/>
          <w:u w:val="none"/>
          <w:lang w:val="id-ID"/>
        </w:rPr>
        <w:t>Ziegler, J. G. and Nichols, N. B., "Optimum settings for automatic controllers," Trans. ASME, vol. 64, pp. 759-768, 1942.</w:t>
      </w:r>
    </w:p>
    <w:p>
      <w:pPr>
        <w:ind w:left="567" w:hanging="567"/>
        <w:jc w:val="both"/>
        <w:rPr>
          <w:color w:val="000000"/>
          <w:sz w:val="20"/>
          <w:szCs w:val="20"/>
          <w:lang w:val="id-ID"/>
        </w:rPr>
      </w:pPr>
      <w:r>
        <w:rPr>
          <w:b w:val="0"/>
          <w:i w:val="0"/>
          <w:color w:val="000000"/>
          <w:sz w:val="20"/>
          <w:szCs w:val="20"/>
          <w:u w:val="none"/>
          <w:lang w:val="id-ID"/>
        </w:rPr>
        <w:t>Franklin, G. F., Powell, J. D., and Workman, M. L., Digital Control of Dynamic Systems. Reading, MA, USA: Addison-Wesley, 2014.</w:t>
      </w:r>
    </w:p>
    <w:p>
      <w:pPr>
        <w:ind w:left="567" w:hanging="567"/>
        <w:jc w:val="both"/>
        <w:rPr>
          <w:color w:val="000000"/>
          <w:sz w:val="20"/>
          <w:szCs w:val="20"/>
          <w:lang w:val="id-ID"/>
        </w:rPr>
      </w:pPr>
      <w:r>
        <w:rPr>
          <w:b w:val="0"/>
          <w:i w:val="0"/>
          <w:color w:val="000000"/>
          <w:sz w:val="20"/>
          <w:szCs w:val="20"/>
          <w:u w:val="none"/>
          <w:lang w:val="id-ID"/>
        </w:rPr>
        <w:t>Chen, W. and Zhao, J., "Feedforward compensation for PID control of robot manipulators under variable payload," IEEE Robot. Autom. Lett., vol. 8, no. 3, pp. 1578-1585, 2023. doi: 10.1109/LRA.2023.3242126.</w:t>
      </w:r>
    </w:p>
    <w:p>
      <w:pPr>
        <w:ind w:left="567" w:hanging="567"/>
        <w:jc w:val="both"/>
        <w:rPr>
          <w:color w:val="000000"/>
          <w:sz w:val="20"/>
          <w:szCs w:val="20"/>
          <w:lang w:val="id-ID"/>
        </w:rPr>
      </w:pPr>
      <w:r>
        <w:rPr>
          <w:b w:val="0"/>
          <w:i w:val="0"/>
          <w:color w:val="000000"/>
          <w:sz w:val="20"/>
          <w:szCs w:val="20"/>
          <w:u w:val="none"/>
          <w:lang w:val="id-ID"/>
        </w:rPr>
        <w:t>Liu, X. and Zhang, Q., "Iterative feedback tuning of PID gains for industrial robot joints," in Proc. Proc. IEEE Int. Conf. Industrial Electronics (IECON), 2021, pp. 1452-1457. doi: 10.1109/IECON48115.2021.9589567.</w:t>
      </w:r>
    </w:p>
    <w:p>
      <w:pPr>
        <w:ind w:left="567" w:hanging="567"/>
        <w:jc w:val="both"/>
        <w:rPr>
          <w:color w:val="000000"/>
          <w:sz w:val="20"/>
          <w:szCs w:val="20"/>
          <w:lang w:val="id-ID"/>
        </w:rPr>
      </w:pPr>
      <w:r>
        <w:rPr>
          <w:b w:val="0"/>
          <w:i w:val="0"/>
          <w:color w:val="000000"/>
          <w:sz w:val="20"/>
          <w:szCs w:val="20"/>
          <w:u w:val="none"/>
          <w:lang w:val="id-ID"/>
        </w:rPr>
        <w:t>Nof, S. Y., Handbook of Automation. Berlin, Germany: Springer, 2009.</w:t>
      </w:r>
    </w:p>
    <w:p>
      <w:pPr>
        <w:ind w:left="567" w:hanging="567"/>
        <w:jc w:val="both"/>
        <w:rPr>
          <w:color w:val="000000"/>
          <w:sz w:val="20"/>
          <w:szCs w:val="20"/>
          <w:lang w:val="id-ID"/>
        </w:rPr>
      </w:pPr>
      <w:r>
        <w:rPr>
          <w:b w:val="0"/>
          <w:i w:val="0"/>
          <w:color w:val="000000"/>
          <w:sz w:val="20"/>
          <w:szCs w:val="20"/>
          <w:u w:val="none"/>
          <w:lang w:val="id-ID"/>
        </w:rPr>
        <w:t>Craig, J. J., Introduction to Robotics: Mechanics and Control. Upper Saddle River, NJ, USA: Pearson, 2005.</w:t>
      </w:r>
    </w:p>
    <w:sectPr w:rsidR="006C36D3" w:rsidRPr="00D1616F" w:rsidSect="006C36D3">
      <w:type w:val="continuous"/>
      <w:pgSz w:w="12240" w:h="15840"/>
      <w:pgMar w:top="1701" w:right="1134" w:bottom="1134" w:left="1418" w:header="720" w:footer="720" w:gutter="0"/>
      <w:cols w:num="2" w:space="56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4EBD" w14:textId="77777777" w:rsidR="00DB1483" w:rsidRDefault="00DB1483">
      <w:r>
        <w:separator/>
      </w:r>
    </w:p>
  </w:endnote>
  <w:endnote w:type="continuationSeparator" w:id="0">
    <w:p w14:paraId="22735124" w14:textId="77777777" w:rsidR="00DB1483" w:rsidRDefault="00D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52CD" w14:textId="77777777" w:rsidR="00EB5ED1" w:rsidRDefault="00EB5ED1" w:rsidP="00EB5ED1">
    <w:pPr>
      <w:pStyle w:val="Footer"/>
      <w:rPr>
        <w:sz w:val="21"/>
        <w:szCs w:val="21"/>
      </w:rPr>
    </w:pPr>
  </w:p>
  <w:p w14:paraId="6EB26EE4" w14:textId="77777777" w:rsidR="00EB5ED1" w:rsidRPr="00EB5ED1" w:rsidRDefault="00EB5ED1" w:rsidP="00EB5ED1">
    <w:pPr>
      <w:pStyle w:val="Footer"/>
      <w:rPr>
        <w:sz w:val="21"/>
        <w:szCs w:val="21"/>
      </w:rPr>
    </w:pPr>
    <w:r>
      <w:rPr>
        <w:sz w:val="21"/>
        <w:szCs w:val="21"/>
      </w:rPr>
      <w:t>doi: 10.14710/teknik.v39n1.xxxxxx</w:t>
    </w:r>
    <w:r>
      <w:rPr>
        <w:sz w:val="21"/>
        <w:szCs w:val="21"/>
      </w:rPr>
      <w:tab/>
      <w:t xml:space="preserve">               </w:t>
    </w:r>
    <w:r w:rsidRPr="00EB5ED1">
      <w:rPr>
        <w:sz w:val="21"/>
        <w:szCs w:val="21"/>
      </w:rPr>
      <w:t xml:space="preserve">Copyright © 2018, TEKNIK, </w:t>
    </w:r>
    <w:r>
      <w:rPr>
        <w:sz w:val="21"/>
        <w:szCs w:val="21"/>
      </w:rPr>
      <w:t>p-</w:t>
    </w:r>
    <w:r w:rsidRPr="00EB5ED1">
      <w:rPr>
        <w:sz w:val="21"/>
        <w:szCs w:val="21"/>
      </w:rPr>
      <w:t>ISSN</w:t>
    </w:r>
    <w:r>
      <w:rPr>
        <w:sz w:val="21"/>
        <w:szCs w:val="21"/>
      </w:rPr>
      <w:t>:</w:t>
    </w:r>
    <w:r w:rsidRPr="00EB5ED1">
      <w:rPr>
        <w:sz w:val="21"/>
        <w:szCs w:val="21"/>
      </w:rPr>
      <w:t xml:space="preserve"> 0852-1697</w:t>
    </w:r>
    <w:r>
      <w:rPr>
        <w:sz w:val="21"/>
        <w:szCs w:val="21"/>
      </w:rPr>
      <w:t>, e-ISSN: 240-9919</w:t>
    </w:r>
  </w:p>
  <w:p w14:paraId="4E551AA9" w14:textId="77777777" w:rsidR="007B0CCE" w:rsidRPr="00EB5ED1" w:rsidRDefault="007B0CCE" w:rsidP="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E119" w14:textId="77777777" w:rsidR="006B4C3C" w:rsidRDefault="006B4C3C" w:rsidP="006B4C3C">
    <w:pPr>
      <w:pStyle w:val="Footer"/>
      <w:jc w:val="center"/>
    </w:pPr>
  </w:p>
  <w:p w14:paraId="390A7AB6" w14:textId="77777777" w:rsidR="006B4C3C" w:rsidRPr="00EB5ED1" w:rsidRDefault="00EB5ED1" w:rsidP="00EB5ED1">
    <w:pPr>
      <w:pStyle w:val="Footer"/>
      <w:rPr>
        <w:sz w:val="21"/>
        <w:szCs w:val="21"/>
      </w:rPr>
    </w:pPr>
    <w:r>
      <w:rPr>
        <w:sz w:val="21"/>
        <w:szCs w:val="21"/>
      </w:rPr>
      <w:t>doi: 10.14710/teknik.v39n1.xxxxxx</w:t>
    </w:r>
    <w:r>
      <w:rPr>
        <w:sz w:val="21"/>
        <w:szCs w:val="21"/>
      </w:rPr>
      <w:tab/>
      <w:t xml:space="preserve">               </w:t>
    </w:r>
    <w:r w:rsidR="00725551" w:rsidRPr="00EB5ED1">
      <w:rPr>
        <w:sz w:val="21"/>
        <w:szCs w:val="21"/>
      </w:rPr>
      <w:t>Copyright © 2018</w:t>
    </w:r>
    <w:r w:rsidR="006B4C3C" w:rsidRPr="00EB5ED1">
      <w:rPr>
        <w:sz w:val="21"/>
        <w:szCs w:val="21"/>
      </w:rPr>
      <w:t xml:space="preserve">, TEKNIK, </w:t>
    </w:r>
    <w:r>
      <w:rPr>
        <w:sz w:val="21"/>
        <w:szCs w:val="21"/>
      </w:rPr>
      <w:t>p-</w:t>
    </w:r>
    <w:r w:rsidR="006B4C3C" w:rsidRPr="00EB5ED1">
      <w:rPr>
        <w:sz w:val="21"/>
        <w:szCs w:val="21"/>
      </w:rPr>
      <w:t>ISSN</w:t>
    </w:r>
    <w:r>
      <w:rPr>
        <w:sz w:val="21"/>
        <w:szCs w:val="21"/>
      </w:rPr>
      <w:t>:</w:t>
    </w:r>
    <w:r w:rsidR="006B4C3C" w:rsidRPr="00EB5ED1">
      <w:rPr>
        <w:sz w:val="21"/>
        <w:szCs w:val="21"/>
      </w:rPr>
      <w:t xml:space="preserve"> 0852-1697</w:t>
    </w:r>
    <w:r>
      <w:rPr>
        <w:sz w:val="21"/>
        <w:szCs w:val="21"/>
      </w:rPr>
      <w:t>, e-ISSN: 240-9919</w:t>
    </w:r>
  </w:p>
  <w:p w14:paraId="621270E8" w14:textId="77777777" w:rsidR="006B4C3C" w:rsidRPr="00EB5ED1" w:rsidRDefault="006B4C3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D483" w14:textId="77777777" w:rsidR="00DB1483" w:rsidRDefault="00DB1483">
      <w:r>
        <w:separator/>
      </w:r>
    </w:p>
  </w:footnote>
  <w:footnote w:type="continuationSeparator" w:id="0">
    <w:p w14:paraId="5A423FD6" w14:textId="77777777" w:rsidR="00DB1483" w:rsidRDefault="00DB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BA26" w14:textId="77777777" w:rsidR="007B0CCE" w:rsidRPr="007B0CCE" w:rsidRDefault="007B0CCE" w:rsidP="007B0CCE">
    <w:pPr>
      <w:pStyle w:val="Header"/>
      <w:spacing w:before="120"/>
      <w:jc w:val="center"/>
      <w:rPr>
        <w:b/>
        <w:sz w:val="28"/>
        <w:szCs w:val="28"/>
      </w:rPr>
    </w:pPr>
    <w:r w:rsidRPr="007B0CCE">
      <w:rPr>
        <w:b/>
        <w:sz w:val="28"/>
        <w:szCs w:val="28"/>
      </w:rPr>
      <w:t>T</w:t>
    </w:r>
    <w:r w:rsidR="00725551">
      <w:rPr>
        <w:b/>
        <w:sz w:val="28"/>
        <w:szCs w:val="28"/>
      </w:rPr>
      <w:t>EKNIK, 39 (1), 2018</w:t>
    </w:r>
    <w:r w:rsidR="005959A3">
      <w:rPr>
        <w:b/>
        <w:sz w:val="28"/>
        <w:szCs w:val="28"/>
      </w:rPr>
      <w:t xml:space="preserve">, </w:t>
    </w:r>
    <w:r w:rsidR="005959A3" w:rsidRPr="005959A3">
      <w:rPr>
        <w:b/>
        <w:sz w:val="28"/>
        <w:szCs w:val="28"/>
      </w:rPr>
      <w:fldChar w:fldCharType="begin"/>
    </w:r>
    <w:r w:rsidR="005959A3" w:rsidRPr="005959A3">
      <w:rPr>
        <w:b/>
        <w:sz w:val="28"/>
        <w:szCs w:val="28"/>
      </w:rPr>
      <w:instrText xml:space="preserve"> PAGE </w:instrText>
    </w:r>
    <w:r w:rsidR="005959A3" w:rsidRPr="005959A3">
      <w:rPr>
        <w:b/>
        <w:sz w:val="28"/>
        <w:szCs w:val="28"/>
      </w:rPr>
      <w:fldChar w:fldCharType="separate"/>
    </w:r>
    <w:r w:rsidR="0003451A">
      <w:rPr>
        <w:b/>
        <w:noProof/>
        <w:sz w:val="28"/>
        <w:szCs w:val="28"/>
      </w:rPr>
      <w:t>5</w:t>
    </w:r>
    <w:r w:rsidR="005959A3" w:rsidRPr="005959A3">
      <w:rPr>
        <w:b/>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AFB30" w14:textId="77777777" w:rsidR="005959A3" w:rsidRPr="00725551" w:rsidRDefault="00725551" w:rsidP="005959A3">
    <w:pPr>
      <w:pStyle w:val="Header"/>
      <w:jc w:val="center"/>
      <w:rPr>
        <w:i/>
        <w:sz w:val="22"/>
        <w:szCs w:val="22"/>
      </w:rPr>
    </w:pPr>
    <w:r w:rsidRPr="00725551">
      <w:rPr>
        <w:i/>
        <w:noProof/>
        <w:sz w:val="22"/>
        <w:szCs w:val="22"/>
        <w:lang w:eastAsia="ja-JP"/>
      </w:rPr>
      <w:pict w14:anchorId="64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49" type="#_x0000_t75" style="position:absolute;left:0;text-align:left;margin-left:2.75pt;margin-top:1.95pt;width:50.9pt;height:41.9pt;z-index:251657728;visibility:visible">
          <v:imagedata r:id="rId1" o:title=""/>
          <w10:wrap type="square"/>
        </v:shape>
      </w:pict>
    </w:r>
    <w:r w:rsidR="005959A3" w:rsidRPr="00725551">
      <w:rPr>
        <w:i/>
        <w:sz w:val="22"/>
        <w:szCs w:val="22"/>
      </w:rPr>
      <w:t>Tersedia online di: http://ejournal.undip.ac.id/index.php/teknik</w:t>
    </w:r>
  </w:p>
  <w:p w14:paraId="3D73534E" w14:textId="77777777" w:rsidR="005959A3" w:rsidRPr="00725551" w:rsidRDefault="005959A3" w:rsidP="005959A3">
    <w:pPr>
      <w:pStyle w:val="Header"/>
      <w:spacing w:before="120"/>
      <w:jc w:val="center"/>
      <w:rPr>
        <w:sz w:val="22"/>
        <w:szCs w:val="22"/>
      </w:rPr>
    </w:pPr>
    <w:r w:rsidRPr="00725551">
      <w:rPr>
        <w:b/>
        <w:sz w:val="22"/>
        <w:szCs w:val="22"/>
      </w:rPr>
      <w:t>T</w:t>
    </w:r>
    <w:r w:rsidR="00725551">
      <w:rPr>
        <w:b/>
        <w:sz w:val="22"/>
        <w:szCs w:val="22"/>
      </w:rPr>
      <w:t>EKNIK, 39 (1), 2018</w:t>
    </w:r>
    <w:r w:rsidRPr="00725551">
      <w:rPr>
        <w:b/>
        <w:sz w:val="22"/>
        <w:szCs w:val="22"/>
      </w:rPr>
      <w:t xml:space="preserve">, </w:t>
    </w:r>
    <w:r w:rsidR="005B7105">
      <w:rPr>
        <w:b/>
        <w:sz w:val="22"/>
        <w:szCs w:val="22"/>
      </w:rPr>
      <w:t xml:space="preserve">App. </w:t>
    </w:r>
    <w:r w:rsidRPr="00725551">
      <w:rPr>
        <w:b/>
        <w:sz w:val="22"/>
        <w:szCs w:val="22"/>
      </w:rPr>
      <w:t>1-</w:t>
    </w:r>
    <w:r w:rsidR="005B7105">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8B8FD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078622">
    <w:abstractNumId w:val="1"/>
  </w:num>
  <w:num w:numId="2" w16cid:durableId="1267539620">
    <w:abstractNumId w:val="3"/>
  </w:num>
  <w:num w:numId="3" w16cid:durableId="1063412596">
    <w:abstractNumId w:val="2"/>
  </w:num>
  <w:num w:numId="4" w16cid:durableId="557059158">
    <w:abstractNumId w:val="5"/>
  </w:num>
  <w:num w:numId="5" w16cid:durableId="2065980099">
    <w:abstractNumId w:val="4"/>
  </w:num>
  <w:num w:numId="6" w16cid:durableId="90650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8C"/>
    <w:rsid w:val="0001206E"/>
    <w:rsid w:val="0001664E"/>
    <w:rsid w:val="00022890"/>
    <w:rsid w:val="0002298E"/>
    <w:rsid w:val="0003451A"/>
    <w:rsid w:val="00041786"/>
    <w:rsid w:val="00050362"/>
    <w:rsid w:val="0005225F"/>
    <w:rsid w:val="00082B0C"/>
    <w:rsid w:val="000952E9"/>
    <w:rsid w:val="000A6398"/>
    <w:rsid w:val="000B5ED9"/>
    <w:rsid w:val="000E0897"/>
    <w:rsid w:val="000E51CC"/>
    <w:rsid w:val="000E68A9"/>
    <w:rsid w:val="000F66B8"/>
    <w:rsid w:val="000F677B"/>
    <w:rsid w:val="00101308"/>
    <w:rsid w:val="00101BCB"/>
    <w:rsid w:val="0010301C"/>
    <w:rsid w:val="00106F56"/>
    <w:rsid w:val="001277EF"/>
    <w:rsid w:val="00156375"/>
    <w:rsid w:val="00156A3C"/>
    <w:rsid w:val="001642ED"/>
    <w:rsid w:val="001651C1"/>
    <w:rsid w:val="00173195"/>
    <w:rsid w:val="00177B6F"/>
    <w:rsid w:val="00184FD9"/>
    <w:rsid w:val="001904D8"/>
    <w:rsid w:val="001B092F"/>
    <w:rsid w:val="001C2267"/>
    <w:rsid w:val="001D4C91"/>
    <w:rsid w:val="001D6B8E"/>
    <w:rsid w:val="001E1DF1"/>
    <w:rsid w:val="001F2977"/>
    <w:rsid w:val="001F7B3A"/>
    <w:rsid w:val="0021198F"/>
    <w:rsid w:val="0021652D"/>
    <w:rsid w:val="002363C1"/>
    <w:rsid w:val="002375FA"/>
    <w:rsid w:val="00250A0E"/>
    <w:rsid w:val="00264706"/>
    <w:rsid w:val="002768DF"/>
    <w:rsid w:val="00283228"/>
    <w:rsid w:val="00285D8C"/>
    <w:rsid w:val="002940F4"/>
    <w:rsid w:val="002978D1"/>
    <w:rsid w:val="002B7022"/>
    <w:rsid w:val="002C1C14"/>
    <w:rsid w:val="002E1BB5"/>
    <w:rsid w:val="002E2DC4"/>
    <w:rsid w:val="00307D5F"/>
    <w:rsid w:val="003136A9"/>
    <w:rsid w:val="00320BB3"/>
    <w:rsid w:val="00321D8C"/>
    <w:rsid w:val="0034238B"/>
    <w:rsid w:val="003426B0"/>
    <w:rsid w:val="00387AC3"/>
    <w:rsid w:val="003927F7"/>
    <w:rsid w:val="003B5092"/>
    <w:rsid w:val="003B6F94"/>
    <w:rsid w:val="003C5967"/>
    <w:rsid w:val="003C7708"/>
    <w:rsid w:val="003D7E6B"/>
    <w:rsid w:val="003E384A"/>
    <w:rsid w:val="003E5DF7"/>
    <w:rsid w:val="003E601D"/>
    <w:rsid w:val="00402960"/>
    <w:rsid w:val="00420249"/>
    <w:rsid w:val="004234BC"/>
    <w:rsid w:val="00424AF8"/>
    <w:rsid w:val="0042795A"/>
    <w:rsid w:val="00435EB4"/>
    <w:rsid w:val="00437F21"/>
    <w:rsid w:val="00447F5E"/>
    <w:rsid w:val="004950C8"/>
    <w:rsid w:val="004963CA"/>
    <w:rsid w:val="0049650A"/>
    <w:rsid w:val="004A48A3"/>
    <w:rsid w:val="004B292D"/>
    <w:rsid w:val="004C71D1"/>
    <w:rsid w:val="004D150C"/>
    <w:rsid w:val="004E1863"/>
    <w:rsid w:val="004F1B97"/>
    <w:rsid w:val="004F4D2D"/>
    <w:rsid w:val="004F5D32"/>
    <w:rsid w:val="005061D5"/>
    <w:rsid w:val="00514B65"/>
    <w:rsid w:val="0051764E"/>
    <w:rsid w:val="00557605"/>
    <w:rsid w:val="005605AD"/>
    <w:rsid w:val="005611B3"/>
    <w:rsid w:val="005812D6"/>
    <w:rsid w:val="00591EDC"/>
    <w:rsid w:val="005959A3"/>
    <w:rsid w:val="00595DD2"/>
    <w:rsid w:val="005B271A"/>
    <w:rsid w:val="005B7105"/>
    <w:rsid w:val="005B7AC9"/>
    <w:rsid w:val="005C35AE"/>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70C68"/>
    <w:rsid w:val="006B1AA4"/>
    <w:rsid w:val="006B450A"/>
    <w:rsid w:val="006B4C3C"/>
    <w:rsid w:val="006C3660"/>
    <w:rsid w:val="006C36D3"/>
    <w:rsid w:val="006D53CC"/>
    <w:rsid w:val="006E1F0B"/>
    <w:rsid w:val="006E5228"/>
    <w:rsid w:val="0070048F"/>
    <w:rsid w:val="007006A4"/>
    <w:rsid w:val="00705197"/>
    <w:rsid w:val="007231DC"/>
    <w:rsid w:val="00725551"/>
    <w:rsid w:val="0073070D"/>
    <w:rsid w:val="00734643"/>
    <w:rsid w:val="00741ED1"/>
    <w:rsid w:val="00744259"/>
    <w:rsid w:val="00744557"/>
    <w:rsid w:val="007559FB"/>
    <w:rsid w:val="00763449"/>
    <w:rsid w:val="00786309"/>
    <w:rsid w:val="00790B90"/>
    <w:rsid w:val="00791C62"/>
    <w:rsid w:val="007A7A6D"/>
    <w:rsid w:val="007B0CCE"/>
    <w:rsid w:val="007D22A5"/>
    <w:rsid w:val="007E3F66"/>
    <w:rsid w:val="007E4C0F"/>
    <w:rsid w:val="007F4810"/>
    <w:rsid w:val="00804959"/>
    <w:rsid w:val="00814C9C"/>
    <w:rsid w:val="00815BFA"/>
    <w:rsid w:val="008162EF"/>
    <w:rsid w:val="00817D7E"/>
    <w:rsid w:val="00824390"/>
    <w:rsid w:val="00827C42"/>
    <w:rsid w:val="00836AF4"/>
    <w:rsid w:val="00860702"/>
    <w:rsid w:val="008744CB"/>
    <w:rsid w:val="00877684"/>
    <w:rsid w:val="00883B0F"/>
    <w:rsid w:val="0088487E"/>
    <w:rsid w:val="008852E5"/>
    <w:rsid w:val="008A59BA"/>
    <w:rsid w:val="008A691B"/>
    <w:rsid w:val="008B0D3E"/>
    <w:rsid w:val="008B4EA5"/>
    <w:rsid w:val="008C4195"/>
    <w:rsid w:val="008C5982"/>
    <w:rsid w:val="008D4375"/>
    <w:rsid w:val="008F09F1"/>
    <w:rsid w:val="00900BA4"/>
    <w:rsid w:val="009127DE"/>
    <w:rsid w:val="0091284D"/>
    <w:rsid w:val="009211D7"/>
    <w:rsid w:val="00925B13"/>
    <w:rsid w:val="009454E8"/>
    <w:rsid w:val="0095364D"/>
    <w:rsid w:val="00953D71"/>
    <w:rsid w:val="00971C08"/>
    <w:rsid w:val="00990F1D"/>
    <w:rsid w:val="009A0355"/>
    <w:rsid w:val="009A0AB8"/>
    <w:rsid w:val="009A3D89"/>
    <w:rsid w:val="009B6499"/>
    <w:rsid w:val="009C0DFD"/>
    <w:rsid w:val="009E22D8"/>
    <w:rsid w:val="009E2CFF"/>
    <w:rsid w:val="009E4DDC"/>
    <w:rsid w:val="009F253D"/>
    <w:rsid w:val="009F5EE7"/>
    <w:rsid w:val="00A03E79"/>
    <w:rsid w:val="00A22C53"/>
    <w:rsid w:val="00A23D03"/>
    <w:rsid w:val="00A31970"/>
    <w:rsid w:val="00A46CBF"/>
    <w:rsid w:val="00A57097"/>
    <w:rsid w:val="00A57D92"/>
    <w:rsid w:val="00A72939"/>
    <w:rsid w:val="00A869A4"/>
    <w:rsid w:val="00A967A8"/>
    <w:rsid w:val="00A96EF8"/>
    <w:rsid w:val="00AA02FE"/>
    <w:rsid w:val="00AA1C40"/>
    <w:rsid w:val="00AA5A0B"/>
    <w:rsid w:val="00AA625D"/>
    <w:rsid w:val="00AB206C"/>
    <w:rsid w:val="00AC1F65"/>
    <w:rsid w:val="00AC67B8"/>
    <w:rsid w:val="00AD266B"/>
    <w:rsid w:val="00AD4C0B"/>
    <w:rsid w:val="00AD5072"/>
    <w:rsid w:val="00B01BD6"/>
    <w:rsid w:val="00B158E8"/>
    <w:rsid w:val="00B15FDE"/>
    <w:rsid w:val="00B16E94"/>
    <w:rsid w:val="00B436C4"/>
    <w:rsid w:val="00B53A05"/>
    <w:rsid w:val="00B56F11"/>
    <w:rsid w:val="00B6161B"/>
    <w:rsid w:val="00BA5F87"/>
    <w:rsid w:val="00BB5F72"/>
    <w:rsid w:val="00BC37CD"/>
    <w:rsid w:val="00BC5BC0"/>
    <w:rsid w:val="00BD6690"/>
    <w:rsid w:val="00C0499C"/>
    <w:rsid w:val="00C11C88"/>
    <w:rsid w:val="00C3076C"/>
    <w:rsid w:val="00C3253C"/>
    <w:rsid w:val="00C421D9"/>
    <w:rsid w:val="00C51FE1"/>
    <w:rsid w:val="00C71416"/>
    <w:rsid w:val="00C72889"/>
    <w:rsid w:val="00C72F76"/>
    <w:rsid w:val="00C75C9E"/>
    <w:rsid w:val="00C9139E"/>
    <w:rsid w:val="00C9227F"/>
    <w:rsid w:val="00CA0C2D"/>
    <w:rsid w:val="00CA163B"/>
    <w:rsid w:val="00CC7B0B"/>
    <w:rsid w:val="00CD60E7"/>
    <w:rsid w:val="00CE1D1C"/>
    <w:rsid w:val="00D00578"/>
    <w:rsid w:val="00D0722C"/>
    <w:rsid w:val="00D1616F"/>
    <w:rsid w:val="00D34AB0"/>
    <w:rsid w:val="00D35D77"/>
    <w:rsid w:val="00D40190"/>
    <w:rsid w:val="00D40CD7"/>
    <w:rsid w:val="00D50408"/>
    <w:rsid w:val="00D56631"/>
    <w:rsid w:val="00D723EA"/>
    <w:rsid w:val="00D85891"/>
    <w:rsid w:val="00D94791"/>
    <w:rsid w:val="00DB1483"/>
    <w:rsid w:val="00DD0ADA"/>
    <w:rsid w:val="00DD4602"/>
    <w:rsid w:val="00DD4774"/>
    <w:rsid w:val="00DD570E"/>
    <w:rsid w:val="00DE5F69"/>
    <w:rsid w:val="00DF707C"/>
    <w:rsid w:val="00E3011F"/>
    <w:rsid w:val="00E33C90"/>
    <w:rsid w:val="00E50714"/>
    <w:rsid w:val="00E517F7"/>
    <w:rsid w:val="00E611D2"/>
    <w:rsid w:val="00E8646B"/>
    <w:rsid w:val="00E87434"/>
    <w:rsid w:val="00E90A54"/>
    <w:rsid w:val="00E940C6"/>
    <w:rsid w:val="00EB11F4"/>
    <w:rsid w:val="00EB5ED1"/>
    <w:rsid w:val="00EB721C"/>
    <w:rsid w:val="00EB76BB"/>
    <w:rsid w:val="00EB7728"/>
    <w:rsid w:val="00EC0E8E"/>
    <w:rsid w:val="00ED011F"/>
    <w:rsid w:val="00ED345F"/>
    <w:rsid w:val="00ED5172"/>
    <w:rsid w:val="00F03DEF"/>
    <w:rsid w:val="00F10D8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B93D89"/>
  <w14:defaultImageDpi w14:val="300"/>
  <w15:chartTrackingRefBased/>
  <w15:docId w15:val="{5CA6FF82-E575-46EB-B9CB-E887027B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63449"/>
    <w:pPr>
      <w:tabs>
        <w:tab w:val="center" w:pos="4320"/>
        <w:tab w:val="right" w:pos="8640"/>
      </w:tabs>
    </w:pPr>
  </w:style>
  <w:style w:type="character" w:customStyle="1" w:styleId="HeaderChar">
    <w:name w:val="Header Char"/>
    <w:link w:val="Header"/>
    <w:rsid w:val="00763449"/>
    <w:rPr>
      <w:sz w:val="24"/>
      <w:szCs w:val="24"/>
      <w:lang w:val="en-US"/>
    </w:rPr>
  </w:style>
  <w:style w:type="paragraph" w:styleId="Footer">
    <w:name w:val="footer"/>
    <w:basedOn w:val="Normal"/>
    <w:link w:val="FooterChar"/>
    <w:rsid w:val="00763449"/>
    <w:pPr>
      <w:tabs>
        <w:tab w:val="center" w:pos="4320"/>
        <w:tab w:val="right" w:pos="8640"/>
      </w:tabs>
    </w:pPr>
  </w:style>
  <w:style w:type="character" w:customStyle="1" w:styleId="FooterChar">
    <w:name w:val="Footer Char"/>
    <w:link w:val="Footer"/>
    <w:rsid w:val="00763449"/>
    <w:rPr>
      <w:sz w:val="24"/>
      <w:szCs w:val="24"/>
      <w:lang w:val="en-US"/>
    </w:rPr>
  </w:style>
  <w:style w:type="character" w:styleId="PageNumber">
    <w:name w:val="page number"/>
    <w:rsid w:val="005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B4DAC04-A658-48BA-AC20-203CC81D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sirobo</cp:lastModifiedBy>
  <cp:revision>2</cp:revision>
  <cp:lastPrinted>2018-06-29T02:28:00Z</cp:lastPrinted>
  <dcterms:created xsi:type="dcterms:W3CDTF">2026-03-31T13:37:00Z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