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60"/>
        <w:jc w:val="left"/>
      </w:pPr>
      <w:r>
        <w:rPr>
          <w:b/>
          <w:sz w:val="32"/>
        </w:rPr>
        <w:t>Deep Learning for Natural Language Processing: A Comprehensive Review</w:t>
      </w:r>
    </w:p>
    <w:p>
      <w:pPr>
        <w:pStyle w:val="Author"/>
        <w:jc w:val="left"/>
      </w:pPr>
      <w:r>
        <w:rPr>
          <w:sz w:val="22"/>
        </w:rPr>
        <w:t>John Smith, Jane Doe</w:t>
      </w:r>
    </w:p>
    <w:p>
      <w:pPr>
        <w:pStyle w:val="Affiliation"/>
        <w:jc w:val="left"/>
      </w:pPr>
      <w:r>
        <w:rPr>
          <w:i/>
          <w:sz w:val="18"/>
        </w:rPr>
        <w:t>University of Technology</w:t>
      </w:r>
    </w:p>
    <w:p>
      <w:pPr>
        <w:pStyle w:val="Affiliation"/>
        <w:jc w:val="left"/>
      </w:pPr>
      <w:r>
        <w:rPr>
          <w:i/>
          <w:sz w:val="18"/>
        </w:rPr>
        <w:t>Research Institute</w:t>
      </w:r>
    </w:p>
    <w:p>
      <w:pPr>
        <w:pStyle w:val="AbstractHeading"/>
        <w:spacing w:before="240"/>
      </w:pPr>
      <w:r>
        <w:rPr>
          <w:b/>
          <w:sz w:val="22"/>
        </w:rPr>
        <w:t>Abstract</w:t>
      </w:r>
    </w:p>
    <w:p>
      <w:pPr>
        <w:pStyle w:val="Abstract"/>
      </w:pP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spacing w:before="120"/>
      </w:pPr>
      <w:r>
        <w:rPr>
          <w:b/>
        </w:rPr>
        <w:t xml:space="preserve">Keywords: </w:t>
      </w:r>
      <w:r>
        <w:rPr>
          <w:b w:val="0"/>
          <w:i w:val="0"/>
          <w:u w:val="none"/>
        </w:rPr>
        <w:t>deep learning; natural language processing; transformers; attention mechanism; neural networks</w:t>
      </w:r>
    </w:p>
    <w:p>
      <w:pPr>
        <w:pStyle w:val="Heading1"/>
        <w:spacing w:before="360"/>
      </w:pPr>
      <w:r>
        <w:t>References</w:t>
      </w:r>
    </w:p>
    <w:p>
      <w:pPr>
        <w:pStyle w:val="Reference"/>
        <w:ind w:hanging="720" w:left="720"/>
      </w:pPr>
      <w:r>
        <w:rPr>
          <w:b w:val="0"/>
          <w:i w:val="0"/>
          <w:u w:val="none"/>
        </w:rPr>
        <w:t>[1] Vaswani, A. et al. (2017) "Attention is All You Need,".</w:t>
      </w:r>
    </w:p>
    <w:p>
      <w:pPr>
        <w:pStyle w:val="Reference"/>
        <w:ind w:hanging="720" w:left="720"/>
      </w:pPr>
      <w:r>
        <w:rPr>
          <w:b w:val="0"/>
          <w:i w:val="0"/>
          <w:u w:val="none"/>
        </w:rPr>
        <w:t>[2] Devlin, J. et al. (2018) "BERT: Pre-training of Deep Bidirectional Transformers,".</w:t>
      </w:r>
    </w:p>
    <w:p>
      <w:pPr>
        <w:pStyle w:val="Reference"/>
        <w:ind w:hanging="720" w:left="720"/>
      </w:pPr>
      <w:r>
        <w:rPr>
          <w:b w:val="0"/>
          <w:i w:val="0"/>
          <w:u w:val="none"/>
        </w:rPr>
        <w:t>[3] Brown, T. et al. (2020) "Language Models are Few-Shot Learners,".</w:t>
      </w:r>
    </w:p>
    <w:p>
      <w:pPr>
        <w:pStyle w:val="Reference"/>
        <w:ind w:hanging="720" w:left="720"/>
      </w:pPr>
      <w:r>
        <w:rPr>
          <w:b w:val="0"/>
          <w:i w:val="0"/>
          <w:u w:val="none"/>
        </w:rPr>
        <w:t>[4] Mikolov, T. et al. (2013) "Distributed Representations of Words,".</w:t>
      </w:r>
    </w:p>
    <w:p>
      <w:pPr>
        <w:pStyle w:val="Reference"/>
        <w:ind w:hanging="720" w:left="720"/>
      </w:pPr>
      <w:r>
        <w:rPr>
          <w:b w:val="0"/>
          <w:i w:val="0"/>
          <w:u w:val="none"/>
        </w:rPr>
        <w:t>[5] Hochreiter, S. et al. (1997) "Long Short-Term Memory,".</w:t>
      </w:r>
    </w:p>
    <w:sectPr w:rsidR="00FC693F" w:rsidRPr="0006063C" w:rsidSect="00034616">
      <w:docGrid w:linePitch="360"/>
      <w:pgSz w:w="11906" w:h="16838"/>
      <w:pgMar w:top="1440" w:right="1440" w:bottom="1440" w:left="1440"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