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4"/>
        <w:tblGridChange w:id="0">
          <w:tblGrid>
            <w:gridCol w:w="2405"/>
            <w:gridCol w:w="6614"/>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8">
            <w:pPr>
              <w:spacing w:after="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Artikel Info</w:t>
            </w:r>
          </w:p>
        </w:tc>
        <w:tc>
          <w:tcPr>
            <w:vMerge w:val="restart"/>
            <w:tcBorders>
              <w:left w:color="000000" w:space="0" w:sz="4" w:val="single"/>
            </w:tcBorders>
            <w:shd w:fill="c6d9f1" w:val="clear"/>
          </w:tcPr>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18"/>
                <w:szCs w:val="18"/>
              </w:rPr>
            </w:pPr>
            <w:r>
              <w:rPr>
                <w:rFonts w:ascii="Times New Roman" w:hAnsi="Times New Roman"/>
                <w:i/>
                <w:sz w:val="20"/>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History</w:t>
            </w:r>
          </w:p>
          <w:p w:rsidR="00000000" w:rsidDel="00000000" w:rsidP="00000000" w:rsidRDefault="00000000" w:rsidRPr="00000000" w14:paraId="0000000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Received yyy-mm-dd,</w:t>
            </w:r>
          </w:p>
          <w:p w:rsidR="00000000" w:rsidDel="00000000" w:rsidP="00000000" w:rsidRDefault="00000000" w:rsidRPr="00000000" w14:paraId="0000000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Revised yyyy-mm-dd,</w:t>
            </w:r>
          </w:p>
          <w:p w:rsidR="00000000" w:rsidDel="00000000" w:rsidP="00000000" w:rsidRDefault="00000000" w:rsidRPr="00000000" w14:paraId="0000000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Accepted  yyyy-mm-dd,</w:t>
            </w:r>
          </w:p>
          <w:p w:rsidR="00000000" w:rsidDel="00000000" w:rsidP="00000000" w:rsidRDefault="00000000" w:rsidRPr="00000000" w14:paraId="0000000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Online First yyyy-mm-dd</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Pr>
                <w:rFonts w:ascii="Times New Roman" w:hAnsi="Times New Roman"/>
                <w:b/>
                <w:sz w:val="20"/>
              </w:rPr>
              <w:t xml:space="preserve">Keywords: </w:t>
            </w:r>
            <w:r>
              <w:rPr>
                <w:rFonts w:ascii="Times New Roman" w:hAnsi="Times New Roman"/>
                <w:sz w:val="20"/>
              </w:rPr>
              <w:t>deep learning; natural language processing; transformers; attention mechanism; neural networks</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 2025 Author 1, Author 2, et al.</w:t>
            </w:r>
          </w:p>
          <w:p w:rsidR="00000000" w:rsidDel="00000000" w:rsidP="00000000" w:rsidRDefault="00000000" w:rsidRPr="00000000" w14:paraId="00000016">
            <w:pPr>
              <w:widowControl w:val="0"/>
              <w:spacing w:after="120"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This is an open acces article under the </w:t>
            </w:r>
            <w:hyperlink r:id="rId8">
              <w:r w:rsidDel="00000000" w:rsidR="00000000" w:rsidRPr="00000000">
                <w:rPr>
                  <w:rFonts w:ascii="Times New Roman" w:cs="Times New Roman" w:eastAsia="Times New Roman" w:hAnsi="Times New Roman"/>
                  <w:i w:val="1"/>
                  <w:iCs w:val="1"/>
                  <w:color w:val="0000ff"/>
                  <w:sz w:val="16"/>
                  <w:szCs w:val="16"/>
                  <w:highlight w:val="white"/>
                  <w:u w:val="single"/>
                  <w:rtl w:val="0"/>
                </w:rPr>
                <w:t xml:space="preserve">CC-BY-NC-SA</w:t>
              </w:r>
            </w:hyperlink>
            <w:r w:rsidDel="00000000" w:rsidR="00000000" w:rsidRPr="00000000">
              <w:rPr>
                <w:rFonts w:ascii="Times New Roman" w:cs="Times New Roman" w:eastAsia="Times New Roman" w:hAnsi="Times New Roman"/>
                <w:i w:val="1"/>
                <w:iCs w:val="1"/>
                <w:sz w:val="16"/>
                <w:szCs w:val="16"/>
                <w:highlight w:val="white"/>
                <w:rtl w:val="0"/>
              </w:rPr>
              <w:t xml:space="preserve"> license.</w:t>
            </w:r>
            <w:r w:rsidDel="00000000" w:rsidR="00000000" w:rsidRPr="00000000">
              <w:drawing>
                <wp:anchor allowOverlap="1" behindDoc="0" distB="0" distT="0" distL="114300" distR="114300" hidden="0" layoutInCell="1" locked="0" relativeHeight="0" simplePos="0">
                  <wp:simplePos x="0" y="0"/>
                  <wp:positionH relativeFrom="column">
                    <wp:posOffset>8039</wp:posOffset>
                  </wp:positionH>
                  <wp:positionV relativeFrom="paragraph">
                    <wp:posOffset>306914</wp:posOffset>
                  </wp:positionV>
                  <wp:extent cx="603250" cy="211455"/>
                  <wp:effectExtent b="0" l="0" r="0" t="0"/>
                  <wp:wrapNone/>
                  <wp:docPr id="19604755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3250" cy="211455"/>
                          </a:xfrm>
                          <a:prstGeom prst="rect"/>
                          <a:ln/>
                        </pic:spPr>
                      </pic:pic>
                    </a:graphicData>
                  </a:graphic>
                </wp:anchor>
              </w:drawing>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tc>
        <w:tc>
          <w:tcPr>
            <w:vMerge w:val="continue"/>
            <w:tcBorders>
              <w:left w:color="000000" w:space="0" w:sz="4" w:val="single"/>
            </w:tcBorders>
            <w:shd w:fill="c6d9f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pPr>
        <w:spacing w:before="120" w:after="480" w:line="240" w:lineRule="auto"/>
        <w:jc w:val="center"/>
      </w:pPr>
      <w:r>
        <w:rPr>
          <w:rFonts w:ascii="Times New Roman" w:hAnsi="Times New Roman"/>
          <w:b/>
          <w:sz w:val="28"/>
        </w:rPr>
        <w:t>Deep Learning for Natural Language Processing: A Comprehensive Review</w:t>
      </w:r>
    </w:p>
    <w:p>
      <w:pPr>
        <w:spacing w:before="0" w:after="0" w:line="240" w:lineRule="auto"/>
        <w:jc w:val="center"/>
      </w:pPr>
      <w:r>
        <w:rPr>
          <w:rFonts w:ascii="Times New Roman" w:hAnsi="Times New Roman"/>
          <w:sz w:val="22"/>
        </w:rPr>
        <w:t>John Smith, Jane Doe</w:t>
      </w:r>
    </w:p>
    <w:p>
      <w:pPr>
        <w:spacing w:before="0" w:after="0" w:line="240" w:lineRule="auto"/>
        <w:jc w:val="center"/>
      </w:pPr>
      <w:r>
        <w:rPr>
          <w:rFonts w:ascii="Times New Roman" w:hAnsi="Times New Roman"/>
          <w:sz w:val="18"/>
        </w:rPr>
        <w:t>Research Institute</w:t>
      </w:r>
    </w:p>
    <w:p>
      <w:pPr>
        <w:spacing w:before="0" w:after="0" w:line="240" w:lineRule="auto"/>
        <w:jc w:val="center"/>
      </w:pPr>
      <w:r>
        <w:rPr>
          <w:rFonts w:ascii="Times New Roman" w:hAnsi="Times New Roman"/>
          <w:sz w:val="18"/>
        </w:rPr>
        <w:t>University of Technology</w:t>
      </w:r>
    </w:p>
    <w:p>
      <w:pPr>
        <w:spacing w:before="0" w:after="0" w:line="240" w:lineRule="auto"/>
        <w:jc w:val="center"/>
      </w:pPr>
      <w:r>
        <w:rPr>
          <w:rFonts w:ascii="Times New Roman" w:hAnsi="Times New Roman"/>
          <w:sz w:val="18"/>
        </w:rPr>
        <w:t>john@univ.edu, jane@ri.edu</w:t>
      </w:r>
    </w:p>
    <w:p>
      <w:pPr>
        <w:spacing w:before="120" w:after="120" w:line="360" w:lineRule="auto"/>
        <w:jc w:val="both"/>
      </w:pPr>
      <w:r>
        <w:rPr>
          <w:rFonts w:ascii="Times New Roman" w:hAnsi="Times New Roman"/>
          <w:b/>
          <w:sz w:val="22"/>
        </w:rPr>
        <w:t>DAFTAR PUSTAKA</w:t>
      </w:r>
    </w:p>
    <w:p>
      <w:pPr>
        <w:spacing w:before="0" w:after="0" w:line="240" w:lineRule="auto"/>
        <w:jc w:val="both"/>
        <w:ind w:firstLine="-567" w:left="567"/>
      </w:pPr>
      <w:r>
        <w:rPr>
          <w:rFonts w:ascii="Times New Roman" w:hAnsi="Times New Roman"/>
          <w:sz w:val="22"/>
        </w:rPr>
        <w:t>[1] Vaswani, A. et al. (2017). Attention is All You Need.</w:t>
      </w:r>
    </w:p>
    <w:p>
      <w:pPr>
        <w:spacing w:before="0" w:after="0" w:line="240" w:lineRule="auto"/>
        <w:jc w:val="both"/>
        <w:ind w:firstLine="-567" w:left="567"/>
      </w:pPr>
      <w:r>
        <w:rPr>
          <w:rFonts w:ascii="Times New Roman" w:hAnsi="Times New Roman"/>
          <w:sz w:val="22"/>
        </w:rPr>
        <w:t>[2] Devlin, J. et al. (2018). BERT: Pre-training of Deep Bidirectional Transformers.</w:t>
      </w:r>
    </w:p>
    <w:p>
      <w:pPr>
        <w:spacing w:before="0" w:after="0" w:line="240" w:lineRule="auto"/>
        <w:jc w:val="both"/>
        <w:ind w:firstLine="-567" w:left="567"/>
      </w:pPr>
      <w:r>
        <w:rPr>
          <w:rFonts w:ascii="Times New Roman" w:hAnsi="Times New Roman"/>
          <w:sz w:val="22"/>
        </w:rPr>
        <w:t>[3] Brown, T. et al. (2020). Language Models are Few-Shot Learners.</w:t>
      </w:r>
    </w:p>
    <w:p>
      <w:pPr>
        <w:spacing w:before="0" w:after="0" w:line="240" w:lineRule="auto"/>
        <w:jc w:val="both"/>
        <w:ind w:firstLine="-567" w:left="567"/>
      </w:pPr>
      <w:r>
        <w:rPr>
          <w:rFonts w:ascii="Times New Roman" w:hAnsi="Times New Roman"/>
          <w:sz w:val="22"/>
        </w:rPr>
        <w:t>[4] Mikolov, T. et al. (2013). Distributed Representations of Words.</w:t>
      </w:r>
    </w:p>
    <w:p>
      <w:pPr>
        <w:spacing w:before="0" w:after="0" w:line="240" w:lineRule="auto"/>
        <w:jc w:val="both"/>
        <w:ind w:firstLine="-567" w:left="567"/>
      </w:pPr>
      <w:r>
        <w:rPr>
          <w:rFonts w:ascii="Times New Roman" w:hAnsi="Times New Roman"/>
          <w:sz w:val="22"/>
        </w:rPr>
        <w:t>[5] Hochreiter, S. et al. (1997). Long Short-Term Memory.</w:t>
      </w:r>
    </w:p>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0"/>
        <w:tab w:val="center" w:leader="none" w:pos="3420"/>
        <w:tab w:val="right" w:leader="none" w:pos="9000"/>
      </w:tabs>
      <w:spacing w:after="0" w:line="24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b w:val="1"/>
        <w:bCs w:val="1"/>
        <w:i w:val="1"/>
        <w:iCs w:val="1"/>
        <w:color w:val="000000"/>
        <w:sz w:val="18"/>
        <w:szCs w:val="18"/>
        <w:rtl w:val="0"/>
      </w:rPr>
      <w:t xml:space="preserve"> </w:t>
      <w:tab/>
      <w:tab/>
      <w:t xml:space="preserve">PAUDIA</w:t>
    </w:r>
    <w:r w:rsidDel="00000000" w:rsidR="00000000" w:rsidRPr="00000000">
      <w:rPr>
        <w:rFonts w:ascii="Times New Roman" w:cs="Times New Roman" w:eastAsia="Times New Roman" w:hAnsi="Times New Roman"/>
        <w:i w:val="1"/>
        <w:iCs w:val="1"/>
        <w:color w:val="000000"/>
        <w:sz w:val="18"/>
        <w:szCs w:val="18"/>
        <w:rtl w:val="0"/>
      </w:rPr>
      <w:t xml:space="preserve">, Volume xx, No. x, July xxxx, pp. xx-xx</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i w:val="1"/>
        <w:iCs w:val="1"/>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Article Title … </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Author 1, Author 2 </w:t>
      <w:tab/>
      <w:tab/>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rtl w:val="0"/>
      </w:rPr>
      <w:t xml:space="preserve">PAUDIA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4681220</wp:posOffset>
          </wp:positionH>
          <wp:positionV relativeFrom="paragraph">
            <wp:posOffset>36195</wp:posOffset>
          </wp:positionV>
          <wp:extent cx="1180465" cy="801370"/>
          <wp:effectExtent b="0" l="0" r="0" t="0"/>
          <wp:wrapNone/>
          <wp:docPr id="1960475512" name="image2.png"/>
          <a:graphic>
            <a:graphicData uri="http://schemas.openxmlformats.org/drawingml/2006/picture">
              <pic:pic>
                <pic:nvPicPr>
                  <pic:cNvPr id="0" name="image2.png"/>
                  <pic:cNvPicPr preferRelativeResize="0"/>
                </pic:nvPicPr>
                <pic:blipFill>
                  <a:blip r:embed="rId1"/>
                  <a:srcRect b="0" l="0" r="0" t="8390"/>
                  <a:stretch>
                    <a:fillRect/>
                  </a:stretch>
                </pic:blipFill>
                <pic:spPr>
                  <a:xfrm>
                    <a:off x="0" y="0"/>
                    <a:ext cx="1180465" cy="801370"/>
                  </a:xfrm>
                  <a:prstGeom prst="rect"/>
                  <a:ln/>
                </pic:spPr>
              </pic:pic>
            </a:graphicData>
          </a:graphic>
        </wp:anchor>
      </w:drawing>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Jurnal Penelitian dalam Bidang Pendidikan Anak Usia Dini</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Volume xx, No. x, Month xxxx, pp. x-xx</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ISSN : 2089-1431 (print) </w:t>
    </w:r>
    <w:r w:rsidDel="00000000" w:rsidR="00000000" w:rsidRPr="00000000">
      <w:rPr>
        <w:rFonts w:ascii="Times New Roman" w:cs="Times New Roman" w:eastAsia="Times New Roman" w:hAnsi="Times New Roman"/>
        <w:sz w:val="18"/>
        <w:szCs w:val="18"/>
        <w:rtl w:val="0"/>
      </w:rPr>
      <w:t xml:space="preserve">ISSN : 2598-4047 (online)</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DOI: 10.26877/paudia.xxx.xxxx</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hyperlink r:id="rId2">
      <w:r w:rsidDel="00000000" w:rsidR="00000000" w:rsidRPr="00000000">
        <w:rPr>
          <w:rFonts w:ascii="Times New Roman" w:cs="Times New Roman" w:eastAsia="Times New Roman" w:hAnsi="Times New Roman"/>
          <w:color w:val="0000ff"/>
          <w:sz w:val="18"/>
          <w:szCs w:val="18"/>
          <w:u w:val="single"/>
          <w:rtl w:val="0"/>
        </w:rPr>
        <w:t xml:space="preserve">https://journal2.upgris.ac.id/index.php/paudia/index</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
              <a:graphic>
                <a:graphicData uri="http://schemas.microsoft.com/office/word/2010/wordprocessingShape">
                  <wps:wsp>
                    <wps:cNvCnPr/>
                    <wps:spPr>
                      <a:xfrm>
                        <a:off x="2442780" y="3780000"/>
                        <a:ext cx="58064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
              <a:graphic>
                <a:graphicData uri="http://schemas.microsoft.com/office/word/2010/wordprocessingShape">
                  <wps:wsp>
                    <wps:cNvCnPr/>
                    <wps:spPr>
                      <a:xfrm>
                        <a:off x="2442780" y="3780000"/>
                        <a:ext cx="5806440" cy="0"/>
                      </a:xfrm>
                      <a:prstGeom prst="straightConnector1">
                        <a:avLst/>
                      </a:prstGeom>
                      <a:noFill/>
                      <a:ln cap="flat" cmpd="sng" w="381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pPr>
    <w:rPr>
      <w:rFonts w:ascii="Times New Roman" w:cs="Times New Roman" w:eastAsia="Times New Roman" w:hAnsi="Times New Roman"/>
      <w:b w:val="1"/>
      <w:bCs w:val="1"/>
    </w:rPr>
  </w:style>
  <w:style w:type="paragraph" w:styleId="Heading2">
    <w:name w:val="heading 2"/>
    <w:basedOn w:val="Normal"/>
    <w:next w:val="Normal"/>
    <w:pPr>
      <w:keepNext w:val="1"/>
      <w:widowControl w:val="0"/>
      <w:spacing w:after="0"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0" w:before="200" w:line="240" w:lineRule="auto"/>
    </w:pPr>
    <w:rPr>
      <w:rFonts w:ascii="Times New Roman" w:cs="Times New Roman" w:eastAsia="Times New Roman" w:hAnsi="Times New Roman"/>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CA7788"/>
    <w:rPr>
      <w:color w:val="0000ff" w:themeColor="hyperlink"/>
      <w:u w:val="single"/>
    </w:rPr>
  </w:style>
  <w:style w:type="paragraph" w:styleId="BalloonText">
    <w:name w:val="Balloon Text"/>
    <w:basedOn w:val="Normal"/>
    <w:link w:val="BalloonTextChar"/>
    <w:uiPriority w:val="99"/>
    <w:semiHidden w:val="1"/>
    <w:unhideWhenUsed w:val="1"/>
    <w:rsid w:val="00A27E6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27E65"/>
    <w:rPr>
      <w:rFonts w:ascii="Tahoma" w:cs="Tahoma" w:hAnsi="Tahoma"/>
      <w:sz w:val="16"/>
      <w:szCs w:val="16"/>
    </w:rPr>
  </w:style>
  <w:style w:type="paragraph" w:styleId="ListParagraph">
    <w:name w:val="List Paragraph"/>
    <w:basedOn w:val="Normal"/>
    <w:link w:val="ListParagraphChar"/>
    <w:uiPriority w:val="34"/>
    <w:qFormat w:val="1"/>
    <w:rsid w:val="005F14ED"/>
    <w:pPr>
      <w:ind w:left="720"/>
      <w:contextualSpacing w:val="1"/>
    </w:pPr>
    <w:rPr>
      <w:rFonts w:cs="Times New Roman"/>
    </w:rPr>
  </w:style>
  <w:style w:type="paragraph" w:styleId="CommentText">
    <w:name w:val="annotation text"/>
    <w:basedOn w:val="Normal"/>
    <w:link w:val="CommentTextChar"/>
    <w:uiPriority w:val="99"/>
    <w:unhideWhenUsed w:val="1"/>
    <w:rsid w:val="005F14ED"/>
    <w:pPr>
      <w:spacing w:line="240" w:lineRule="auto"/>
    </w:pPr>
    <w:rPr>
      <w:sz w:val="20"/>
      <w:szCs w:val="20"/>
    </w:rPr>
  </w:style>
  <w:style w:type="character" w:styleId="CommentTextChar" w:customStyle="1">
    <w:name w:val="Comment Text Char"/>
    <w:basedOn w:val="DefaultParagraphFont"/>
    <w:link w:val="CommentText"/>
    <w:uiPriority w:val="99"/>
    <w:rsid w:val="005F14ED"/>
    <w:rPr>
      <w:sz w:val="20"/>
      <w:szCs w:val="20"/>
      <w:lang w:val="id-ID"/>
    </w:rPr>
  </w:style>
  <w:style w:type="character" w:styleId="ListParagraphChar" w:customStyle="1">
    <w:name w:val="List Paragraph Char"/>
    <w:basedOn w:val="DefaultParagraphFont"/>
    <w:link w:val="ListParagraph"/>
    <w:uiPriority w:val="34"/>
    <w:locked w:val="1"/>
    <w:rsid w:val="005F14ED"/>
    <w:rPr>
      <w:rFonts w:ascii="Calibri" w:cs="Times New Roman" w:eastAsia="Calibri" w:hAnsi="Calibri"/>
    </w:rPr>
  </w:style>
  <w:style w:type="table" w:styleId="LightShading1" w:customStyle="1">
    <w:name w:val="Light Shading1"/>
    <w:basedOn w:val="TableNormal"/>
    <w:uiPriority w:val="60"/>
    <w:rsid w:val="005F14ED"/>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Grid1" w:customStyle="1">
    <w:name w:val="Light Grid1"/>
    <w:basedOn w:val="TableNormal"/>
    <w:uiPriority w:val="62"/>
    <w:rsid w:val="000A72B8"/>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TableGrid">
    <w:name w:val="Table Grid"/>
    <w:basedOn w:val="TableNormal"/>
    <w:uiPriority w:val="59"/>
    <w:rsid w:val="007660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766043"/>
    <w:pPr>
      <w:autoSpaceDE w:val="0"/>
      <w:autoSpaceDN w:val="0"/>
      <w:adjustRightInd w:val="0"/>
      <w:spacing w:after="0" w:line="240" w:lineRule="auto"/>
    </w:pPr>
    <w:rPr>
      <w:rFonts w:ascii="Cambria" w:cs="Cambria" w:hAnsi="Cambria"/>
      <w:color w:val="000000"/>
      <w:sz w:val="24"/>
      <w:szCs w:val="24"/>
    </w:rPr>
  </w:style>
  <w:style w:type="paragraph" w:styleId="Header">
    <w:name w:val="header"/>
    <w:basedOn w:val="Normal"/>
    <w:link w:val="HeaderChar"/>
    <w:uiPriority w:val="99"/>
    <w:unhideWhenUsed w:val="1"/>
    <w:rsid w:val="00B53143"/>
    <w:pPr>
      <w:tabs>
        <w:tab w:val="center" w:pos="4680"/>
        <w:tab w:val="right" w:pos="9360"/>
      </w:tabs>
      <w:spacing w:after="0" w:line="240" w:lineRule="auto"/>
    </w:pPr>
  </w:style>
  <w:style w:type="character" w:styleId="HeaderChar" w:customStyle="1">
    <w:name w:val="Header Char"/>
    <w:basedOn w:val="DefaultParagraphFont"/>
    <w:link w:val="Header"/>
    <w:uiPriority w:val="99"/>
    <w:rsid w:val="00B53143"/>
  </w:style>
  <w:style w:type="paragraph" w:styleId="Footer">
    <w:name w:val="footer"/>
    <w:basedOn w:val="Normal"/>
    <w:link w:val="FooterChar"/>
    <w:uiPriority w:val="99"/>
    <w:unhideWhenUsed w:val="1"/>
    <w:rsid w:val="00B53143"/>
    <w:pPr>
      <w:tabs>
        <w:tab w:val="center" w:pos="4680"/>
        <w:tab w:val="right" w:pos="9360"/>
      </w:tabs>
      <w:spacing w:after="0" w:line="240" w:lineRule="auto"/>
    </w:pPr>
  </w:style>
  <w:style w:type="character" w:styleId="FooterChar" w:customStyle="1">
    <w:name w:val="Footer Char"/>
    <w:basedOn w:val="DefaultParagraphFont"/>
    <w:link w:val="Footer"/>
    <w:uiPriority w:val="99"/>
    <w:rsid w:val="00B53143"/>
  </w:style>
  <w:style w:type="character" w:styleId="Strong">
    <w:name w:val="Strong"/>
    <w:basedOn w:val="DefaultParagraphFont"/>
    <w:uiPriority w:val="22"/>
    <w:qFormat w:val="1"/>
    <w:rsid w:val="00B53143"/>
    <w:rPr>
      <w:b w:val="1"/>
      <w:bCs w:val="1"/>
    </w:rPr>
  </w:style>
  <w:style w:type="paragraph" w:styleId="Body" w:customStyle="1">
    <w:name w:val="Body"/>
    <w:basedOn w:val="Normal"/>
    <w:rsid w:val="00EB4D55"/>
    <w:pPr>
      <w:widowControl w:val="0"/>
      <w:autoSpaceDE w:val="0"/>
      <w:autoSpaceDN w:val="0"/>
      <w:adjustRightInd w:val="0"/>
      <w:spacing w:after="0" w:line="360" w:lineRule="auto"/>
      <w:ind w:firstLine="340"/>
      <w:jc w:val="both"/>
      <w:textAlignment w:val="baseline"/>
    </w:pPr>
    <w:rPr>
      <w:rFonts w:ascii="Times New Roman" w:cs="Times New Roman" w:eastAsia="BatangChe" w:hAnsi="Times New Roman"/>
      <w:sz w:val="24"/>
      <w:szCs w:val="20"/>
      <w:lang w:eastAsia="ko-KR"/>
    </w:rPr>
  </w:style>
  <w:style w:type="character" w:styleId="Heading2Char" w:customStyle="1">
    <w:name w:val="Heading 2 Char"/>
    <w:basedOn w:val="DefaultParagraphFont"/>
    <w:link w:val="Heading2"/>
    <w:uiPriority w:val="9"/>
    <w:rsid w:val="00D03F57"/>
    <w:rPr>
      <w:rFonts w:ascii="Times New Roman" w:cs="Times New Roman" w:eastAsia="BatangChe" w:hAnsi="Times New Roman"/>
      <w:b w:val="1"/>
      <w:lang w:eastAsia="ko-KR"/>
    </w:rPr>
  </w:style>
  <w:style w:type="paragraph" w:styleId="Bullet" w:customStyle="1">
    <w:name w:val="Bullet"/>
    <w:basedOn w:val="Body"/>
    <w:rsid w:val="00EB4D55"/>
    <w:pPr>
      <w:ind w:left="576" w:hanging="288"/>
    </w:pPr>
  </w:style>
  <w:style w:type="paragraph" w:styleId="SubBullet" w:customStyle="1">
    <w:name w:val="SubBullet"/>
    <w:basedOn w:val="Body"/>
    <w:rsid w:val="00EB4D55"/>
    <w:pPr>
      <w:ind w:left="1145" w:hanging="283"/>
    </w:pPr>
  </w:style>
  <w:style w:type="paragraph" w:styleId="Enumerated" w:customStyle="1">
    <w:name w:val="Enumerated"/>
    <w:basedOn w:val="Bullet"/>
    <w:rsid w:val="00EB4D55"/>
  </w:style>
  <w:style w:type="paragraph" w:styleId="FigureTitle" w:customStyle="1">
    <w:name w:val="FigureTitle"/>
    <w:basedOn w:val="Body"/>
    <w:rsid w:val="00EB4D55"/>
    <w:pPr>
      <w:spacing w:after="120"/>
      <w:jc w:val="center"/>
    </w:pPr>
    <w:rPr>
      <w:i w:val="1"/>
    </w:rPr>
  </w:style>
  <w:style w:type="paragraph" w:styleId="Equation" w:customStyle="1">
    <w:name w:val="Equation"/>
    <w:basedOn w:val="Normal"/>
    <w:rsid w:val="00EB4D55"/>
    <w:pPr>
      <w:widowControl w:val="0"/>
      <w:tabs>
        <w:tab w:val="left" w:pos="0"/>
        <w:tab w:val="center" w:pos="2268"/>
        <w:tab w:val="right" w:pos="4706"/>
      </w:tabs>
      <w:autoSpaceDE w:val="0"/>
      <w:autoSpaceDN w:val="0"/>
      <w:adjustRightInd w:val="0"/>
      <w:spacing w:after="120" w:before="120" w:line="360" w:lineRule="auto"/>
      <w:jc w:val="both"/>
      <w:textAlignment w:val="baseline"/>
    </w:pPr>
    <w:rPr>
      <w:rFonts w:ascii="Times New Roman" w:cs="Times New Roman" w:eastAsia="BatangChe" w:hAnsi="Times New Roman"/>
      <w:szCs w:val="20"/>
      <w:lang w:eastAsia="ko-KR"/>
    </w:rPr>
  </w:style>
  <w:style w:type="character" w:styleId="Heading1Char" w:customStyle="1">
    <w:name w:val="Heading 1 Char"/>
    <w:basedOn w:val="DefaultParagraphFont"/>
    <w:link w:val="Heading1"/>
    <w:uiPriority w:val="9"/>
    <w:rsid w:val="00D03F57"/>
    <w:rPr>
      <w:rFonts w:ascii="Times New Roman" w:hAnsi="Times New Roman" w:cstheme="majorBidi" w:eastAsiaTheme="majorEastAsia"/>
      <w:b w:val="1"/>
      <w:szCs w:val="32"/>
    </w:rPr>
  </w:style>
  <w:style w:type="paragraph" w:styleId="Tabletitle" w:customStyle="1">
    <w:name w:val="Tabletitle"/>
    <w:basedOn w:val="Body"/>
    <w:rsid w:val="007E0220"/>
    <w:pPr>
      <w:spacing w:after="120" w:before="240"/>
      <w:jc w:val="center"/>
    </w:pPr>
    <w:rPr>
      <w:i w:val="1"/>
    </w:rPr>
  </w:style>
  <w:style w:type="character" w:styleId="Heading3Char" w:customStyle="1">
    <w:name w:val="Heading 3 Char"/>
    <w:basedOn w:val="DefaultParagraphFont"/>
    <w:link w:val="Heading3"/>
    <w:uiPriority w:val="9"/>
    <w:rsid w:val="00512EF1"/>
    <w:rPr>
      <w:rFonts w:ascii="Times New Roman" w:hAnsi="Times New Roman" w:cstheme="majorBidi" w:eastAsiaTheme="majorEastAsia"/>
      <w:b w:val="1"/>
      <w:bCs w:val="1"/>
      <w:i w:val="1"/>
    </w:rPr>
  </w:style>
  <w:style w:type="table" w:styleId="PlainTable2">
    <w:name w:val="Plain Table 2"/>
    <w:basedOn w:val="TableNormal"/>
    <w:uiPriority w:val="42"/>
    <w:rsid w:val="005D2D7E"/>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a" w:customStyle="1">
    <w:basedOn w:val="TableNormal"/>
    <w:pPr>
      <w:spacing w:after="0" w:line="240" w:lineRule="auto"/>
    </w:pPr>
    <w:rPr>
      <w:color w:val="000000"/>
    </w:rPr>
    <w:tblPr>
      <w:tblStyleRowBandSize w:val="1"/>
      <w:tblStyleColBandSize w:val="1"/>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paragraph" w:styleId="NormalWeb">
    <w:name w:val="Normal (Web)"/>
    <w:basedOn w:val="Normal"/>
    <w:uiPriority w:val="99"/>
    <w:semiHidden w:val="1"/>
    <w:unhideWhenUsed w:val="1"/>
    <w:rsid w:val="00ED3186"/>
    <w:pPr>
      <w:spacing w:after="100" w:afterAutospacing="1" w:before="100" w:beforeAutospacing="1" w:line="240" w:lineRule="auto"/>
    </w:pPr>
    <w:rPr>
      <w:rFonts w:ascii="Times New Roman" w:cs="Times New Roman" w:eastAsia="Times New Roman" w:hAnsi="Times New Roman"/>
      <w:sz w:val="24"/>
      <w:szCs w:val="24"/>
      <w:lang w:val="en-ID"/>
    </w:rPr>
  </w:style>
  <w:style w:type="character" w:styleId="UnresolvedMention">
    <w:name w:val="Unresolved Mention"/>
    <w:basedOn w:val="DefaultParagraphFont"/>
    <w:uiPriority w:val="99"/>
    <w:semiHidden w:val="1"/>
    <w:unhideWhenUsed w:val="1"/>
    <w:rsid w:val="0010286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1004/obsesi.v1i2.24" TargetMode="External"/><Relationship Id="rId10" Type="http://schemas.openxmlformats.org/officeDocument/2006/relationships/chart" Target="charts/chart1.xml"/><Relationship Id="rId13" Type="http://schemas.openxmlformats.org/officeDocument/2006/relationships/image" Target="media/image3.png"/><Relationship Id="rId12" Type="http://schemas.openxmlformats.org/officeDocument/2006/relationships/hyperlink" Target="https://doi.org/10.1089/cpb.2004.7.5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mailto:your@email.address" TargetMode="External"/><Relationship Id="rId8" Type="http://schemas.openxmlformats.org/officeDocument/2006/relationships/hyperlink" Target="https://creativecommons.org/licenses/by-nc-sa/4.0/"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journal2.upgris.ac.id/index.php/paudia/index" TargetMode="External"/><Relationship Id="rId3"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file:///C:\2015%20puji\UNSRI\2015%20statbio-with%20pak%20ucup\STATBIO%202016\puji-korelasi%20dan%20regre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'korelasi dan regresi'!$F$5</c:f>
              <c:strCache>
                <c:ptCount val="1"/>
                <c:pt idx="0">
                  <c:v>Y</c:v>
                </c:pt>
              </c:strCache>
            </c:strRef>
          </c:tx>
          <c:spPr>
            <a:ln w="28575">
              <a:noFill/>
            </a:ln>
          </c:spPr>
          <c:trendline>
            <c:trendlineType val="linear"/>
            <c:dispRSqr val="1"/>
            <c:dispEq val="1"/>
            <c:trendlineLbl>
              <c:layout>
                <c:manualLayout>
                  <c:x val="0.38061025188080605"/>
                  <c:y val="-0.16009646641735062"/>
                </c:manualLayout>
              </c:layout>
              <c:numFmt formatCode="General" sourceLinked="0"/>
            </c:trendlineLbl>
          </c:trendline>
          <c:trendline>
            <c:trendlineType val="linear"/>
            <c:dispRSqr val="0"/>
            <c:dispEq val="0"/>
          </c:trendline>
          <c:trendline>
            <c:trendlineType val="linear"/>
            <c:dispRSqr val="0"/>
            <c:dispEq val="0"/>
          </c:trendline>
          <c:xVal>
            <c:numRef>
              <c:f>'korelasi dan regresi'!$E$6:$E$114</c:f>
              <c:numCache>
                <c:formatCode>General</c:formatCode>
                <c:ptCount val="109"/>
                <c:pt idx="0">
                  <c:v>74.75</c:v>
                </c:pt>
                <c:pt idx="1">
                  <c:v>72.599999999999994</c:v>
                </c:pt>
                <c:pt idx="2">
                  <c:v>81.8</c:v>
                </c:pt>
                <c:pt idx="3">
                  <c:v>83.95</c:v>
                </c:pt>
                <c:pt idx="4">
                  <c:v>74.650000000000006</c:v>
                </c:pt>
                <c:pt idx="5">
                  <c:v>71.849999999999994</c:v>
                </c:pt>
                <c:pt idx="6">
                  <c:v>80.900000000000006</c:v>
                </c:pt>
                <c:pt idx="7">
                  <c:v>83.4</c:v>
                </c:pt>
                <c:pt idx="8">
                  <c:v>63.5</c:v>
                </c:pt>
                <c:pt idx="9">
                  <c:v>73.2</c:v>
                </c:pt>
                <c:pt idx="10">
                  <c:v>71.900000000000006</c:v>
                </c:pt>
                <c:pt idx="11">
                  <c:v>75</c:v>
                </c:pt>
                <c:pt idx="12">
                  <c:v>73.099999999999994</c:v>
                </c:pt>
                <c:pt idx="13">
                  <c:v>79</c:v>
                </c:pt>
                <c:pt idx="14">
                  <c:v>77</c:v>
                </c:pt>
                <c:pt idx="15">
                  <c:v>68.849999999999994</c:v>
                </c:pt>
                <c:pt idx="16">
                  <c:v>75.95</c:v>
                </c:pt>
                <c:pt idx="17">
                  <c:v>74.150000000000006</c:v>
                </c:pt>
                <c:pt idx="18">
                  <c:v>73.8</c:v>
                </c:pt>
                <c:pt idx="19">
                  <c:v>75.900000000000006</c:v>
                </c:pt>
                <c:pt idx="20">
                  <c:v>76.849999999999994</c:v>
                </c:pt>
                <c:pt idx="21">
                  <c:v>80.900000000000006</c:v>
                </c:pt>
                <c:pt idx="22">
                  <c:v>79.900000000000006</c:v>
                </c:pt>
                <c:pt idx="23">
                  <c:v>89.2</c:v>
                </c:pt>
                <c:pt idx="24">
                  <c:v>82</c:v>
                </c:pt>
                <c:pt idx="25">
                  <c:v>92</c:v>
                </c:pt>
                <c:pt idx="26">
                  <c:v>86.6</c:v>
                </c:pt>
                <c:pt idx="27">
                  <c:v>80.5</c:v>
                </c:pt>
                <c:pt idx="28">
                  <c:v>86</c:v>
                </c:pt>
                <c:pt idx="29">
                  <c:v>82.5</c:v>
                </c:pt>
                <c:pt idx="30">
                  <c:v>83.5</c:v>
                </c:pt>
                <c:pt idx="31">
                  <c:v>88.1</c:v>
                </c:pt>
                <c:pt idx="32">
                  <c:v>90.8</c:v>
                </c:pt>
                <c:pt idx="33">
                  <c:v>89.4</c:v>
                </c:pt>
                <c:pt idx="34">
                  <c:v>102</c:v>
                </c:pt>
                <c:pt idx="35">
                  <c:v>94.5</c:v>
                </c:pt>
                <c:pt idx="36">
                  <c:v>91</c:v>
                </c:pt>
                <c:pt idx="37">
                  <c:v>103</c:v>
                </c:pt>
                <c:pt idx="38">
                  <c:v>80</c:v>
                </c:pt>
                <c:pt idx="39">
                  <c:v>79</c:v>
                </c:pt>
                <c:pt idx="40">
                  <c:v>83.5</c:v>
                </c:pt>
                <c:pt idx="41">
                  <c:v>76</c:v>
                </c:pt>
                <c:pt idx="42">
                  <c:v>80.5</c:v>
                </c:pt>
                <c:pt idx="43">
                  <c:v>86.5</c:v>
                </c:pt>
                <c:pt idx="44">
                  <c:v>83</c:v>
                </c:pt>
                <c:pt idx="45">
                  <c:v>107.1</c:v>
                </c:pt>
                <c:pt idx="46">
                  <c:v>94.3</c:v>
                </c:pt>
                <c:pt idx="47">
                  <c:v>94.5</c:v>
                </c:pt>
                <c:pt idx="48">
                  <c:v>79.7</c:v>
                </c:pt>
                <c:pt idx="49">
                  <c:v>79.3</c:v>
                </c:pt>
                <c:pt idx="50">
                  <c:v>89.8</c:v>
                </c:pt>
                <c:pt idx="51">
                  <c:v>83.8</c:v>
                </c:pt>
                <c:pt idx="52">
                  <c:v>85.2</c:v>
                </c:pt>
                <c:pt idx="53">
                  <c:v>75.5</c:v>
                </c:pt>
                <c:pt idx="54">
                  <c:v>78.400000000000006</c:v>
                </c:pt>
                <c:pt idx="55">
                  <c:v>78.599999999999994</c:v>
                </c:pt>
                <c:pt idx="56">
                  <c:v>87.8</c:v>
                </c:pt>
                <c:pt idx="57">
                  <c:v>86.3</c:v>
                </c:pt>
                <c:pt idx="58">
                  <c:v>85.5</c:v>
                </c:pt>
                <c:pt idx="59">
                  <c:v>83.7</c:v>
                </c:pt>
                <c:pt idx="60">
                  <c:v>77.599999999999994</c:v>
                </c:pt>
                <c:pt idx="61">
                  <c:v>84.9</c:v>
                </c:pt>
                <c:pt idx="62">
                  <c:v>79.8</c:v>
                </c:pt>
                <c:pt idx="63">
                  <c:v>108.3</c:v>
                </c:pt>
                <c:pt idx="64">
                  <c:v>119.6</c:v>
                </c:pt>
                <c:pt idx="65">
                  <c:v>119.9</c:v>
                </c:pt>
                <c:pt idx="66">
                  <c:v>96.5</c:v>
                </c:pt>
                <c:pt idx="67">
                  <c:v>105.5</c:v>
                </c:pt>
                <c:pt idx="68">
                  <c:v>105</c:v>
                </c:pt>
                <c:pt idx="69">
                  <c:v>107</c:v>
                </c:pt>
                <c:pt idx="70">
                  <c:v>107</c:v>
                </c:pt>
                <c:pt idx="71">
                  <c:v>101</c:v>
                </c:pt>
                <c:pt idx="72">
                  <c:v>97</c:v>
                </c:pt>
                <c:pt idx="73">
                  <c:v>100</c:v>
                </c:pt>
                <c:pt idx="74">
                  <c:v>108</c:v>
                </c:pt>
                <c:pt idx="75">
                  <c:v>100</c:v>
                </c:pt>
                <c:pt idx="76">
                  <c:v>103</c:v>
                </c:pt>
                <c:pt idx="77">
                  <c:v>104</c:v>
                </c:pt>
                <c:pt idx="78">
                  <c:v>106</c:v>
                </c:pt>
                <c:pt idx="79">
                  <c:v>109</c:v>
                </c:pt>
                <c:pt idx="80">
                  <c:v>103.5</c:v>
                </c:pt>
                <c:pt idx="81">
                  <c:v>110</c:v>
                </c:pt>
                <c:pt idx="82">
                  <c:v>110</c:v>
                </c:pt>
                <c:pt idx="83">
                  <c:v>112</c:v>
                </c:pt>
                <c:pt idx="84">
                  <c:v>108.5</c:v>
                </c:pt>
                <c:pt idx="85">
                  <c:v>104</c:v>
                </c:pt>
                <c:pt idx="86">
                  <c:v>111</c:v>
                </c:pt>
                <c:pt idx="87">
                  <c:v>108.5</c:v>
                </c:pt>
                <c:pt idx="88">
                  <c:v>121</c:v>
                </c:pt>
                <c:pt idx="89">
                  <c:v>109</c:v>
                </c:pt>
                <c:pt idx="90">
                  <c:v>97.5</c:v>
                </c:pt>
                <c:pt idx="91">
                  <c:v>105.5</c:v>
                </c:pt>
                <c:pt idx="92">
                  <c:v>98</c:v>
                </c:pt>
                <c:pt idx="93">
                  <c:v>94.5</c:v>
                </c:pt>
                <c:pt idx="94">
                  <c:v>97</c:v>
                </c:pt>
                <c:pt idx="95">
                  <c:v>105</c:v>
                </c:pt>
                <c:pt idx="96">
                  <c:v>106</c:v>
                </c:pt>
                <c:pt idx="97">
                  <c:v>99</c:v>
                </c:pt>
                <c:pt idx="98">
                  <c:v>91</c:v>
                </c:pt>
                <c:pt idx="99">
                  <c:v>102.5</c:v>
                </c:pt>
                <c:pt idx="100">
                  <c:v>106</c:v>
                </c:pt>
                <c:pt idx="101">
                  <c:v>109.1</c:v>
                </c:pt>
                <c:pt idx="102">
                  <c:v>115</c:v>
                </c:pt>
                <c:pt idx="103">
                  <c:v>101</c:v>
                </c:pt>
                <c:pt idx="104">
                  <c:v>100.1</c:v>
                </c:pt>
                <c:pt idx="105">
                  <c:v>93.3</c:v>
                </c:pt>
                <c:pt idx="106">
                  <c:v>101.8</c:v>
                </c:pt>
                <c:pt idx="107">
                  <c:v>107.9</c:v>
                </c:pt>
                <c:pt idx="108">
                  <c:v>108.5</c:v>
                </c:pt>
              </c:numCache>
            </c:numRef>
          </c:xVal>
          <c:yVal>
            <c:numRef>
              <c:f>'korelasi dan regresi'!$F$6:$F$114</c:f>
              <c:numCache>
                <c:formatCode>General</c:formatCode>
                <c:ptCount val="109"/>
                <c:pt idx="0">
                  <c:v>25.72</c:v>
                </c:pt>
                <c:pt idx="1">
                  <c:v>25.89</c:v>
                </c:pt>
                <c:pt idx="2">
                  <c:v>42.6</c:v>
                </c:pt>
                <c:pt idx="3">
                  <c:v>42.8</c:v>
                </c:pt>
                <c:pt idx="4">
                  <c:v>29.84</c:v>
                </c:pt>
                <c:pt idx="5">
                  <c:v>21.68</c:v>
                </c:pt>
                <c:pt idx="6">
                  <c:v>29.08</c:v>
                </c:pt>
                <c:pt idx="7">
                  <c:v>32.979999999999997</c:v>
                </c:pt>
                <c:pt idx="8">
                  <c:v>11.44</c:v>
                </c:pt>
                <c:pt idx="9">
                  <c:v>32.220000000000013</c:v>
                </c:pt>
                <c:pt idx="10">
                  <c:v>28.32</c:v>
                </c:pt>
                <c:pt idx="11">
                  <c:v>43.86</c:v>
                </c:pt>
                <c:pt idx="12">
                  <c:v>38.21</c:v>
                </c:pt>
                <c:pt idx="13">
                  <c:v>42.48</c:v>
                </c:pt>
                <c:pt idx="14">
                  <c:v>30.95999999999999</c:v>
                </c:pt>
                <c:pt idx="15">
                  <c:v>55.78</c:v>
                </c:pt>
                <c:pt idx="16">
                  <c:v>43.78</c:v>
                </c:pt>
                <c:pt idx="17">
                  <c:v>33.409999999999997</c:v>
                </c:pt>
                <c:pt idx="18">
                  <c:v>43.35</c:v>
                </c:pt>
                <c:pt idx="19">
                  <c:v>29.31000000000002</c:v>
                </c:pt>
                <c:pt idx="20">
                  <c:v>36.6</c:v>
                </c:pt>
                <c:pt idx="21">
                  <c:v>40.25</c:v>
                </c:pt>
                <c:pt idx="22">
                  <c:v>35.43</c:v>
                </c:pt>
                <c:pt idx="23">
                  <c:v>60.09</c:v>
                </c:pt>
                <c:pt idx="24">
                  <c:v>45.84</c:v>
                </c:pt>
                <c:pt idx="25">
                  <c:v>70.400000000000006</c:v>
                </c:pt>
                <c:pt idx="26">
                  <c:v>83.45</c:v>
                </c:pt>
                <c:pt idx="27">
                  <c:v>84.3</c:v>
                </c:pt>
                <c:pt idx="28">
                  <c:v>78.89</c:v>
                </c:pt>
                <c:pt idx="29">
                  <c:v>64.75</c:v>
                </c:pt>
                <c:pt idx="30">
                  <c:v>72.56</c:v>
                </c:pt>
                <c:pt idx="31">
                  <c:v>89.31</c:v>
                </c:pt>
                <c:pt idx="32">
                  <c:v>78.940000000000026</c:v>
                </c:pt>
                <c:pt idx="33">
                  <c:v>83.55</c:v>
                </c:pt>
                <c:pt idx="34">
                  <c:v>127</c:v>
                </c:pt>
                <c:pt idx="35">
                  <c:v>121</c:v>
                </c:pt>
                <c:pt idx="36">
                  <c:v>107</c:v>
                </c:pt>
                <c:pt idx="37">
                  <c:v>129</c:v>
                </c:pt>
                <c:pt idx="38">
                  <c:v>74.02</c:v>
                </c:pt>
                <c:pt idx="39">
                  <c:v>55.48</c:v>
                </c:pt>
                <c:pt idx="40">
                  <c:v>73.13</c:v>
                </c:pt>
                <c:pt idx="41">
                  <c:v>50.5</c:v>
                </c:pt>
                <c:pt idx="42">
                  <c:v>50.88</c:v>
                </c:pt>
                <c:pt idx="43">
                  <c:v>140</c:v>
                </c:pt>
                <c:pt idx="44">
                  <c:v>96.54</c:v>
                </c:pt>
                <c:pt idx="45">
                  <c:v>118</c:v>
                </c:pt>
                <c:pt idx="46">
                  <c:v>107</c:v>
                </c:pt>
                <c:pt idx="47">
                  <c:v>123</c:v>
                </c:pt>
                <c:pt idx="48">
                  <c:v>65.92</c:v>
                </c:pt>
                <c:pt idx="49">
                  <c:v>81.290000000000006</c:v>
                </c:pt>
                <c:pt idx="50">
                  <c:v>111</c:v>
                </c:pt>
                <c:pt idx="51">
                  <c:v>90.73</c:v>
                </c:pt>
                <c:pt idx="52">
                  <c:v>133</c:v>
                </c:pt>
                <c:pt idx="53">
                  <c:v>41.9</c:v>
                </c:pt>
                <c:pt idx="54">
                  <c:v>41.71</c:v>
                </c:pt>
                <c:pt idx="55">
                  <c:v>58.160000000000011</c:v>
                </c:pt>
                <c:pt idx="56">
                  <c:v>88.85</c:v>
                </c:pt>
                <c:pt idx="57">
                  <c:v>155</c:v>
                </c:pt>
                <c:pt idx="58">
                  <c:v>70.77</c:v>
                </c:pt>
                <c:pt idx="59">
                  <c:v>75.08</c:v>
                </c:pt>
                <c:pt idx="60">
                  <c:v>57.05</c:v>
                </c:pt>
                <c:pt idx="61">
                  <c:v>99.73</c:v>
                </c:pt>
                <c:pt idx="62">
                  <c:v>27.95999999999999</c:v>
                </c:pt>
                <c:pt idx="63">
                  <c:v>123</c:v>
                </c:pt>
                <c:pt idx="64">
                  <c:v>90.410000000000025</c:v>
                </c:pt>
                <c:pt idx="65">
                  <c:v>106</c:v>
                </c:pt>
                <c:pt idx="66">
                  <c:v>144</c:v>
                </c:pt>
                <c:pt idx="67">
                  <c:v>121</c:v>
                </c:pt>
                <c:pt idx="68">
                  <c:v>97.13</c:v>
                </c:pt>
                <c:pt idx="69">
                  <c:v>166</c:v>
                </c:pt>
                <c:pt idx="70">
                  <c:v>87.990000000000023</c:v>
                </c:pt>
                <c:pt idx="71">
                  <c:v>154</c:v>
                </c:pt>
                <c:pt idx="72">
                  <c:v>100</c:v>
                </c:pt>
                <c:pt idx="73">
                  <c:v>123</c:v>
                </c:pt>
                <c:pt idx="74">
                  <c:v>217</c:v>
                </c:pt>
                <c:pt idx="75">
                  <c:v>140</c:v>
                </c:pt>
                <c:pt idx="76">
                  <c:v>109</c:v>
                </c:pt>
                <c:pt idx="77">
                  <c:v>127</c:v>
                </c:pt>
                <c:pt idx="78">
                  <c:v>112</c:v>
                </c:pt>
                <c:pt idx="79">
                  <c:v>192</c:v>
                </c:pt>
                <c:pt idx="80">
                  <c:v>132</c:v>
                </c:pt>
                <c:pt idx="81">
                  <c:v>126</c:v>
                </c:pt>
                <c:pt idx="82">
                  <c:v>153</c:v>
                </c:pt>
                <c:pt idx="83">
                  <c:v>158</c:v>
                </c:pt>
                <c:pt idx="84">
                  <c:v>183</c:v>
                </c:pt>
                <c:pt idx="85">
                  <c:v>184</c:v>
                </c:pt>
                <c:pt idx="86">
                  <c:v>121</c:v>
                </c:pt>
                <c:pt idx="87">
                  <c:v>159</c:v>
                </c:pt>
                <c:pt idx="88">
                  <c:v>245</c:v>
                </c:pt>
                <c:pt idx="89">
                  <c:v>137</c:v>
                </c:pt>
                <c:pt idx="90">
                  <c:v>165</c:v>
                </c:pt>
                <c:pt idx="91">
                  <c:v>152</c:v>
                </c:pt>
                <c:pt idx="92">
                  <c:v>181</c:v>
                </c:pt>
                <c:pt idx="93">
                  <c:v>80.95</c:v>
                </c:pt>
                <c:pt idx="94">
                  <c:v>137</c:v>
                </c:pt>
                <c:pt idx="95">
                  <c:v>125</c:v>
                </c:pt>
                <c:pt idx="96">
                  <c:v>241</c:v>
                </c:pt>
                <c:pt idx="97">
                  <c:v>134</c:v>
                </c:pt>
                <c:pt idx="98">
                  <c:v>150</c:v>
                </c:pt>
                <c:pt idx="99">
                  <c:v>198</c:v>
                </c:pt>
                <c:pt idx="100">
                  <c:v>151</c:v>
                </c:pt>
                <c:pt idx="101">
                  <c:v>229</c:v>
                </c:pt>
                <c:pt idx="102">
                  <c:v>253</c:v>
                </c:pt>
                <c:pt idx="103">
                  <c:v>188</c:v>
                </c:pt>
                <c:pt idx="104">
                  <c:v>124</c:v>
                </c:pt>
                <c:pt idx="105">
                  <c:v>62.2</c:v>
                </c:pt>
                <c:pt idx="106">
                  <c:v>133</c:v>
                </c:pt>
                <c:pt idx="107">
                  <c:v>208</c:v>
                </c:pt>
                <c:pt idx="108">
                  <c:v>208</c:v>
                </c:pt>
              </c:numCache>
            </c:numRef>
          </c:yVal>
          <c:smooth val="0"/>
          <c:extLst>
            <c:ext xmlns:c16="http://schemas.microsoft.com/office/drawing/2014/chart" uri="{C3380CC4-5D6E-409C-BE32-E72D297353CC}">
              <c16:uniqueId val="{00000003-6516-46FE-BFEA-209A5684F7A9}"/>
            </c:ext>
          </c:extLst>
        </c:ser>
        <c:dLbls>
          <c:showLegendKey val="0"/>
          <c:showVal val="0"/>
          <c:showCatName val="0"/>
          <c:showSerName val="0"/>
          <c:showPercent val="0"/>
          <c:showBubbleSize val="0"/>
        </c:dLbls>
        <c:axId val="592062840"/>
        <c:axId val="592058528"/>
      </c:scatterChart>
      <c:valAx>
        <c:axId val="592062840"/>
        <c:scaling>
          <c:orientation val="minMax"/>
          <c:min val="50"/>
        </c:scaling>
        <c:delete val="0"/>
        <c:axPos val="b"/>
        <c:numFmt formatCode="General" sourceLinked="1"/>
        <c:majorTickMark val="out"/>
        <c:minorTickMark val="none"/>
        <c:tickLblPos val="nextTo"/>
        <c:crossAx val="592058528"/>
        <c:crosses val="autoZero"/>
        <c:crossBetween val="midCat"/>
        <c:majorUnit val="20"/>
      </c:valAx>
      <c:valAx>
        <c:axId val="592058528"/>
        <c:scaling>
          <c:orientation val="minMax"/>
        </c:scaling>
        <c:delete val="0"/>
        <c:axPos val="l"/>
        <c:majorGridlines/>
        <c:numFmt formatCode="General" sourceLinked="1"/>
        <c:majorTickMark val="out"/>
        <c:minorTickMark val="none"/>
        <c:tickLblPos val="nextTo"/>
        <c:crossAx val="592062840"/>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2pjQV39TqmV0RRnQ82NSpL+vw==">CgMxLjAyDWguZG1ybTBtcDl4ZGEyDmgudWxjMTBoaHh2cmw4Mg5oLnkzMmh4cG8ycThpMjIOaC52bjV3NXV6NWRtZmIyDmguNHFlYTZlMXhuMTNmMghoLnR5amN3dDIJaC4zZHk2dmttOAByITFWV0llYUVqV3EzQlBpQk9PME9CZ1BHTXZVR3V0Q1NHWg==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2026-01-28T01:26:00Z</dcterms:created>
  <dc:creator>okti</dc:creator>
</cp:coreProperties>
</file>