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360" w:lineRule="auto"/>
        <w:jc w:val="center"/>
      </w:pPr>
      <w:r>
        <w:rPr>
          <w:rFonts w:ascii="Times New Roman" w:hAnsi="Times New Roman" w:cs="Times New Roman"/>
          <w:b/>
          <w:sz w:val="28"/>
        </w:rPr>
        <w:t>Sel Hibrida Solar-Lunar: Integrasi Fotovoltaik dan Konverter Termoradiatif untuk Pembangkitan Daya Berkelanjutan</w:t>
      </w:r>
    </w:p>
    <w:p>
      <w:pPr>
        <w:spacing w:before="120" w:after="60" w:line="360" w:lineRule="auto"/>
        <w:jc w:val="center"/>
      </w:pPr>
      <w:r>
        <w:rPr>
          <w:rFonts w:ascii="Times New Roman" w:hAnsi="Times New Roman" w:cs="Times New Roman"/>
          <w:sz w:val="20"/>
        </w:rPr>
        <w:t>Fikri Fahlevy</w:t>
      </w:r>
    </w:p>
    <w:p>
      <w:pPr>
        <w:spacing w:before="0" w:after="60" w:line="360" w:lineRule="auto"/>
        <w:jc w:val="center"/>
      </w:pPr>
      <w:r>
        <w:rPr>
          <w:rFonts w:ascii="Times New Roman" w:hAnsi="Times New Roman" w:cs="Times New Roman"/>
          <w:i/>
          <w:sz w:val="18"/>
        </w:rPr>
        <w:t>Universitas Diponegoro</w:t>
      </w:r>
    </w:p>
    <w:p>
      <w:pPr>
        <w:spacing w:before="0" w:after="120" w:line="360" w:lineRule="auto"/>
        <w:jc w:val="center"/>
      </w:pPr>
      <w:r>
        <w:rPr>
          <w:rFonts w:ascii="Times New Roman" w:hAnsi="Times New Roman" w:cs="Times New Roman"/>
          <w:i/>
          <w:sz w:val="18"/>
        </w:rPr>
        <w:t>fikri.fahlevy@live.undip.ac.id</w:t>
      </w:r>
    </w:p>
    <w:p>
      <w:pPr>
        <w:spacing w:before="120" w:after="60" w:line="276" w:lineRule="auto"/>
        <w:jc w:val="center"/>
      </w:pPr>
      <w:r>
        <w:rPr>
          <w:rFonts w:ascii="Sakkal Majalla" w:hAnsi="Sakkal Majalla" w:cs="Sakkal Majalla"/>
          <w:b/>
          <w:i/>
          <w:sz w:val="20"/>
        </w:rPr>
        <w:t>Abstract</w:t>
      </w:r>
    </w:p>
    <w:p>
      <w:pPr>
        <w:spacing w:before="0" w:after="120" w:line="276" w:lineRule="auto"/>
        <w:jc w:val="both"/>
      </w:pPr>
      <w:r>
        <w:rPr>
          <w:rFonts w:ascii="Sakkal Majalla" w:hAnsi="Sakkal Majalla" w:cs="Sakkal Majalla"/>
          <w:sz w:val="20"/>
        </w:rPr>
        <w:t>Kebutuhan energi global terus mendesak batas kapasitas pembangkitan surya konvensional. Masalah utamanya? Sel fotovoltaik (PV) mati total saat malam tiba. Celah intermitensi ini memaksa ketergantungan pada baterai yang mahal dan secara ekologis bermasalah. Konverter termoradiatif (TRC) muncul sebagai alternatif — menghasilkan listrik dengan memancarkan panas ke langit malam yang dingin — tapi daya keluarannya secara inheren rendah. Paper ini mengusulkan arsitektur Sel Hibrida Solar-Lunar yang menggabungkan PV dan TRC dalam satu struktur termal terkopel. Kami memodelkan batas termodinamika dan mensimulasikan kinerja siklus diurnal menggunakan variabel deskriptif (PPV, PTRC, ₜₒₜₐₗ). Hasil analisis menunjukkan bahwa kopling termal memungkinkan TRC memanfaatkan limbah panas PV di siang hari, sementara pada malam hari sistem beralih ke mode emisi radiatif murni. Temuan ini membuka jalan bagi pembangkitan daya 24 jam tanpa jeda, mengurangi kebutuhan kapasitas penyimpanan energi secara signifikan.</w:t>
      </w:r>
    </w:p>
    <w:p>
      <w:pPr>
        <w:spacing w:before="0" w:after="120" w:line="276" w:lineRule="auto"/>
        <w:jc w:val="both"/>
      </w:pPr>
      <w:r>
        <w:rPr>
          <w:rFonts w:ascii="Sakkal Majalla" w:hAnsi="Sakkal Majalla" w:cs="Sakkal Majalla"/>
          <w:b/>
          <w:sz w:val="20"/>
        </w:rPr>
        <w:t xml:space="preserve">Keywords: </w:t>
      </w:r>
      <w:r>
        <w:rPr>
          <w:rFonts w:ascii="Sakkal Majalla" w:hAnsi="Sakkal Majalla" w:cs="Sakkal Majalla"/>
          <w:i/>
          <w:sz w:val="20"/>
        </w:rPr>
        <w:t>Fotovoltaik, Termoradiatif, Sel Hibrida, Kopling Termal, Energi Berkelanjutan, Pembangkitan Diurnal</w:t>
      </w:r>
    </w:p>
    <w:p>
      <w:pPr>
        <w:spacing w:before="120" w:after="60" w:line="360" w:lineRule="auto"/>
        <w:jc w:val="left"/>
      </w:pPr>
      <w:r>
        <w:rPr>
          <w:rFonts w:ascii="Sakkal Majalla" w:hAnsi="Sakkal Majalla" w:cs="Sakkal Majalla"/>
          <w:b/>
          <w:sz w:val="20"/>
        </w:rPr>
        <w:t>PENDAHULUAN</w:t>
      </w:r>
    </w:p>
    <w:p>
      <w:pPr>
        <w:spacing w:before="0" w:after="0" w:line="360" w:lineRule="auto"/>
        <w:jc w:val="both"/>
      </w:pPr>
      <w:r>
        <w:rPr>
          <w:rFonts w:ascii="Sakkal Majalla" w:hAnsi="Sakkal Majalla" w:cs="Sakkal Majalla"/>
          <w:b w:val="0"/>
          <w:sz w:val="20"/>
        </w:rPr>
        <w:t>Matahari adalah sumber energi paling melimpah di planet ini, tapi ia punya kelemahan fatal: ia terbenam. Ketergantungan global pada fotovoltaik (PV) menciptakan jurang pasokan setiap malam, memaksa grid listrik bertumpu pada pembangkit fosil cadangan atau bank baterai raksasa [1]. Baterai lithium-ion, meski dominan saat ini, membawa jejak ekologis yang berat dari proses penambangan hingga pembuangan akhir [2]. Kami tak bisa sekadar menambah kapasitas panel surya untuk menyelesaikan masalah yang berakar pada rotasi bumi ini. Intermitensi bukan sekadar masalah teknis; ia adalah batasan fundamental dari teknologi yang hanya mengandalkan satu arah aliran foton.</w:t>
      </w:r>
    </w:p>
    <w:p>
      <w:pPr>
        <w:spacing w:before="0" w:after="0" w:line="360" w:lineRule="auto"/>
        <w:jc w:val="both"/>
      </w:pPr>
      <w:r>
        <w:rPr>
          <w:rFonts w:ascii="Sakkal Majalla" w:hAnsi="Sakkal Majalla" w:cs="Sakkal Majalla"/>
          <w:b w:val="0"/>
          <w:sz w:val="20"/>
        </w:rPr>
        <w:t>Di sisi lain spektrum teknologi, konverter termoradiatif (TRC) menawarkan janji yang berlawanan [3]. Alih-alih menyerap foton dari bintang, sel TRC menghasilkan listrik dengan memancarkan foton inframerah ke luar angkasa yang bersuhu ~3 K [4]. Prinsip termodinamika ini — memanfaatkan gradien suhu antara bumi dan langit malam — secara teoretis mampu menghasilkan daya kontinu 24 jam [5]. Tapi apakah ini cukup untuk skala industri, and Nyatanya, tidak. Densitas daya TRC mandiri saat ini masih terjebak di kisaran ~2 W/m², jauh di bawah ambang batas kelayakan komersial [6].</w:t>
      </w:r>
    </w:p>
    <w:p>
      <w:pPr>
        <w:spacing w:before="0" w:after="0" w:line="360" w:lineRule="auto"/>
        <w:jc w:val="both"/>
      </w:pPr>
      <w:r>
        <w:rPr>
          <w:rFonts w:ascii="Sakkal Majalla" w:hAnsi="Sakkal Majalla" w:cs="Sakkal Majalla"/>
          <w:b w:val="0"/>
          <w:sz w:val="20"/>
        </w:rPr>
        <w:t>Material semikonduktor celah pita sempit seperti InAs atau HgCdTe memang ideal untuk emisi inframerah, namun efisiensi konversinya anjlok saat suhu ambien berfluktuasi [7]. Peneliti sebelumnya cenderung memperlakukan PV dan TRC sebagai entitas yang terpisah; siang milik PV, malam milik TRC [8]. Pemisahan biner ini mengabaikan potensi sinergi termal yang sangat besar. Limbah panas dari sel PV siang hari — yang biasanya menurunkan efisiensi fotovoltaik — sebenarnya bisa menjadi sumber energi termal bagi TRC jika arsitekturnya dirancang ulang [9].</w:t>
      </w:r>
    </w:p>
    <w:p>
      <w:pPr>
        <w:spacing w:before="0" w:after="0" w:line="360" w:lineRule="auto"/>
        <w:jc w:val="both"/>
      </w:pPr>
      <w:r>
        <w:rPr>
          <w:rFonts w:ascii="Sakkal Majalla" w:hAnsi="Sakkal Majalla" w:cs="Sakkal Majalla"/>
          <w:b w:val="0"/>
          <w:sz w:val="20"/>
        </w:rPr>
        <w:t>Di sinilah letak celah penelitian yang kami incar. Menggabungkan keduanya bukan sekadar menumpuk dua lapisan material secara fisik, melainkan merancang kopling termal dan spektral yang dinamis [10]. Paper ini mengajukan tiga kontribusi utama: • Merumuskan model termodinamika terkopel untuk arsitektur Sel Hibrida Solar-Lunar. • Mengevaluasi batas efisiensi teoretis (ₕᵧbᵣᵢd) di bawah variasi gradien suhu diurnal. • Mensimulasikan profil pembangkitan energi harian (Edₐᵢₗᵧ) menggunakan parameter material semikonduktor celah pita ganda.</w:t>
      </w:r>
    </w:p>
    <w:p>
      <w:pPr>
        <w:spacing w:before="0" w:after="0" w:line="360" w:lineRule="auto"/>
        <w:jc w:val="both"/>
      </w:pPr>
      <w:r>
        <w:rPr>
          <w:rFonts w:ascii="Sakkal Majalla" w:hAnsi="Sakkal Majalla" w:cs="Sakkal Majalla"/>
          <w:b w:val="0"/>
          <w:sz w:val="20"/>
        </w:rPr>
        <w:t>Sisa paper ini disusun sebagai berikut. Bagian 2 membedah literatur dan kerangka teoretis yang mendasari emisi radiatif. Bagian 3 merinci metodologi, arsitektur sistem, dan persamaan matematis. Bagian 4 menyajikan hasil simulasi dan analisis trade-off termal, sebelum ditutup dengan kesimpulan dan arah riset masa depan pada Bagian 5.</w:t>
      </w:r>
    </w:p>
    <w:p>
      <w:pPr>
        <w:spacing w:before="120" w:after="60" w:line="360" w:lineRule="auto"/>
        <w:jc w:val="left"/>
      </w:pPr>
      <w:r>
        <w:rPr>
          <w:rFonts w:ascii="Sakkal Majalla" w:hAnsi="Sakkal Majalla" w:cs="Sakkal Majalla"/>
          <w:b/>
          <w:sz w:val="20"/>
        </w:rPr>
        <w:t>TINJAUAN PUSTAKA</w:t>
      </w:r>
    </w:p>
    <w:p>
      <w:pPr>
        <w:spacing w:before="0" w:after="0" w:line="360" w:lineRule="auto"/>
        <w:jc w:val="both"/>
      </w:pPr>
      <w:r>
        <w:rPr>
          <w:rFonts w:ascii="Sakkal Majalla" w:hAnsi="Sakkal Majalla" w:cs="Sakkal Majalla"/>
          <w:b w:val="0"/>
          <w:sz w:val="20"/>
        </w:rPr>
        <w:t>Bagian ini meninjau evolusi teknologi pembangkitan surya dan kemunculan konsep termoradiatif, mengidentifikasi di mana paradigma saat ini gagal menjembatani celah energi malam hari.</w:t>
      </w:r>
    </w:p>
    <w:p>
      <w:pPr>
        <w:spacing w:before="60" w:after="60" w:line="360" w:lineRule="auto"/>
        <w:jc w:val="left"/>
      </w:pPr>
      <w:r>
        <w:rPr>
          <w:rFonts w:ascii="Sakkal Majalla" w:hAnsi="Sakkal Majalla" w:cs="Sakkal Majalla"/>
          <w:b/>
          <w:sz w:val="20"/>
        </w:rPr>
        <w:t>Tinjauan Penelitian Terdahulu</w:t>
      </w:r>
    </w:p>
    <w:p>
      <w:pPr>
        <w:spacing w:before="0" w:after="0" w:line="360" w:lineRule="auto"/>
        <w:jc w:val="both"/>
      </w:pPr>
      <w:r>
        <w:rPr>
          <w:rFonts w:ascii="Sakkal Majalla" w:hAnsi="Sakkal Majalla" w:cs="Sakkal Majalla"/>
          <w:b w:val="0"/>
          <w:sz w:val="20"/>
        </w:rPr>
        <w:t>Evolusi sel surya telah mendekati batas teoretisnya. Shockley dan Queisser menetapkan batas efisiensi ~33.7% untuk sel sambungan p-n tunggal, sebuah angka yang nyaris tak tersentuh oleh silikon komersial [11]. Upaya menembus batas ini melalui sel tandem multi-sambungan memang berhasil di laboratorium, tapi biaya fabrikasinya mencekik untuk instalasi massal [12]. Di luar batas efisiensi, masalah intermitensi tetap tak terpecahkan. Panel surya menghasilkan nol watt saat malam. menciptakan kurva bebek (duck curve) yang memusingkan operator grid dan memaksa pembangkitan fosil tetap menyala dalam mode siaga [13].</w:t>
      </w:r>
    </w:p>
    <w:p>
      <w:pPr>
        <w:spacing w:before="0" w:after="0" w:line="360" w:lineRule="auto"/>
        <w:jc w:val="both"/>
      </w:pPr>
      <w:r>
        <w:rPr>
          <w:rFonts w:ascii="Sakkal Majalla" w:hAnsi="Sakkal Majalla" w:cs="Sakkal Majalla"/>
          <w:b w:val="0"/>
          <w:sz w:val="20"/>
        </w:rPr>
        <w:t>Konsep termoradiatif pertama kali diformalkan secara rigor oleh Byrnes dkk. (2014), yang membuktikan bahwa sel yang menghadap ke langit malam dapat menghasilkan arus negatif melalui emisi foton [14]. Sejak itu, berbagai kelompok riset bereksperimen dengan material celah pita sempit. Munday (2019) menunjukkan bahwa TRC bisa menghasilkan daya malam hari, meski dengan densitas yang sangat kecil [15]. Zhang dkk. (2021) meningkatkan angka ini dengan struktur nano-fotonik, namun kompleksitas manufakturnya menjadikannya tak praktis untuk instalasi atap [16].</w:t>
      </w:r>
    </w:p>
    <w:p>
      <w:pPr>
        <w:spacing w:before="0" w:after="0" w:line="360" w:lineRule="auto"/>
        <w:jc w:val="both"/>
      </w:pPr>
      <w:r>
        <w:rPr>
          <w:rFonts w:ascii="Sakkal Majalla" w:hAnsi="Sakkal Majalla" w:cs="Sakkal Majalla"/>
          <w:b w:val="0"/>
          <w:sz w:val="20"/>
        </w:rPr>
        <w:t>Beberapa studi awal mencoba menggabungkan konsep ini, and Chen dkk. (2022) mengusulkan sistem hibrida, tapi mereka menggunakan sakelar mekanis dan optik untuk memisahkan mode siang dan malam [17]. Ini menciptakan titik kegagalan fisik dan rugi-rugi termal pada antarmuka. Kami berargumen bahwa hibridisasi sejati harus terjadi di tingkat kuantum dan termal secara simultan, tanpa bagian yang bergerak [18]. Pendekatan pasif ini menuntut pemahaman mendalam tentang bagaimana foton dan fonon berinteraksi di dalam struktur multilapisan.</w:t>
      </w:r>
    </w:p>
    <w:p>
      <w:pPr>
        <w:spacing w:before="60" w:after="60" w:line="360" w:lineRule="auto"/>
        <w:jc w:val="left"/>
      </w:pPr>
      <w:r>
        <w:rPr>
          <w:rFonts w:ascii="Sakkal Majalla" w:hAnsi="Sakkal Majalla" w:cs="Sakkal Majalla"/>
          <w:b/>
          <w:sz w:val="20"/>
        </w:rPr>
        <w:t>Kerangka Teoritis</w:t>
      </w:r>
    </w:p>
    <w:p>
      <w:pPr>
        <w:spacing w:before="0" w:after="0" w:line="360" w:lineRule="auto"/>
        <w:jc w:val="both"/>
      </w:pPr>
      <w:r>
        <w:rPr>
          <w:rFonts w:ascii="Sakkal Majalla" w:hAnsi="Sakkal Majalla" w:cs="Sakkal Majalla"/>
          <w:b w:val="0"/>
          <w:sz w:val="20"/>
        </w:rPr>
        <w:t>Termodinamika TRC berakar pada hukum Planck dan prinsip keseimbangan terperinci (detailed balance). Saat sel berada pada suhu Tcₑₗₗ dan menghadap ke langit pada Tₛₖᵧ, sel tersebut memancarkan lebih banyak foton daripada yang diserapnya [19]. Defisit foton ini menciptakan kekosongan hole-elektron yang, jika diekstraksi melalui sirkuit eksternal, menghasilkan arus listrik. Ini adalah kebalikan persis dari efek fotovoltaik, di mana penyerapan foton menciptakan pasangan elektron-hole.</w:t>
      </w:r>
    </w:p>
    <w:p>
      <w:pPr>
        <w:spacing w:before="240" w:after="160" w:line="360" w:lineRule="auto"/>
        <w:jc w:val="center"/>
      </w:pPr>
      <w:r>
        <w:rPr>
          <w:rFonts w:ascii="Sakkal Majalla" w:hAnsi="Sakkal Majalla" w:cs="Sakkal Majalla"/>
          <w:i/>
          <w:color w:val="FF0000"/>
          <w:sz w:val="20"/>
        </w:rPr>
        <w:t>[PROMPT UNTUK AI GAMBAR: Perbandingan Spektrum Operasi PV dan TRC. (create an image "A detailed scientific diagram comparing the operational spectra of Photovoltaic (PV) and Thermoradiative (TRC) cells. The X-axis represents Wavelength (nm) from 0 to 15000 nm on a logarithmic scale. The Y-axis represents Spectral Irradiance. The graph shows two main curves: a yellow/orange curve representing the Solar Spectrum (AM1.5G) peaking around 500 nm and tapering off after 2000 nm. with a shaded blue region under it labeled 'PV Absorption Band'. A second curve, in deep purple/magenta, represents the Thermal Emission Spectrum of a TRC cell at 300K, peaking around 10000 nm (10 micrometers), with a shaded red region labeled 'TRC Emission Band'. An inset box in the top right corner shows a simplified energy band diagram with arrows pointing down for PV (photon absorption) and arrows pointing up for TRC (photon emission). The background is pure white. Clean academic paper figure style with crisp vector lines, clear axis labels, and a professional legend.")]</w:t>
      </w:r>
    </w:p>
    <w:p>
      <w:pPr>
        <w:spacing w:before="60" w:after="120" w:line="360" w:lineRule="auto"/>
        <w:jc w:val="center"/>
      </w:pPr>
      <w:r>
        <w:rPr>
          <w:rFonts w:ascii="Sakkal Majalla" w:hAnsi="Sakkal Majalla" w:cs="Sakkal Majalla"/>
          <w:b/>
          <w:sz w:val="16"/>
        </w:rPr>
        <w:t xml:space="preserve">Fig. 1. </w:t>
      </w:r>
      <w:r>
        <w:rPr>
          <w:rFonts w:ascii="Sakkal Majalla" w:hAnsi="Sakkal Majalla" w:cs="Sakkal Majalla"/>
          <w:sz w:val="16"/>
        </w:rPr>
        <w:t>Perbandingan Spektrum Operasi PV dan TRC</w:t>
      </w:r>
    </w:p>
    <w:p>
      <w:pPr>
        <w:spacing w:before="0" w:after="0" w:line="360" w:lineRule="auto"/>
        <w:jc w:val="both"/>
      </w:pPr>
      <w:r>
        <w:rPr>
          <w:rFonts w:ascii="Sakkal Majalla" w:hAnsi="Sakkal Majalla" w:cs="Sakkal Majalla"/>
          <w:b w:val="0"/>
          <w:sz w:val="20"/>
        </w:rPr>
        <w:t>Gambar 1 mengilustrasikan perbedaan mendasar dalam spektrum operasi kedua teknologi ini. PV beroperasi pada spektrum tampak dan inframerah dekat, sementara TRC bergantung pada inframerah tengah hingga jauh. Pemisahan spektral ini adalah kunci; keduanya tidak perlu berebut foton yang sama, memungkinkan integrasi vertikal tanpa filter optik yang kompleks.</w:t>
      </w:r>
    </w:p>
    <w:p>
      <w:pPr>
        <w:spacing w:before="240" w:after="160" w:line="360" w:lineRule="auto"/>
        <w:jc w:val="center"/>
      </w:pPr>
      <w:r>
        <w:rPr>
          <w:rFonts w:ascii="Sakkal Majalla" w:hAnsi="Sakkal Majalla" w:cs="Sakkal Majalla"/>
          <w:i/>
          <w:color w:val="FF0000"/>
          <w:sz w:val="20"/>
        </w:rPr>
        <w:t>[PROMPT UNTUK AI GAMBAR: Diagram Blok Kerangka Teoretis Hibridisasi. (create an image "A conceptual block diagram illustrating the theoretical framework of a Hybrid Solar-Lunar Cell. The diagram is divided into three main horizontal layers: Top Layer (Photovoltaic Absorber), Middle Layer (Thermal Coupling / Phase Change Material). Bottom Layer (Thermoradiative Emitter). Arrows indicate energy flow: downward yellow arrows for Solar Irradiance entering the PV layer, downward wavy red arrows for Waste Heat transferring through the Thermal Coupling layer. upward magenta arrows for Infrared Emission leaving the TRC layer towards the Cold Sky. On the right side, a mathematical block shows the coupling equations linking PV efficiency to TRC thermal input. The visual style is minimalist, using a white background, soft pastel colors for the layers (light blue for PV, orange for PCM, dark grey for TRC). crisp black text for labels, and clean academic paper figure style.")]</w:t>
      </w:r>
    </w:p>
    <w:p>
      <w:pPr>
        <w:spacing w:before="60" w:after="120" w:line="360" w:lineRule="auto"/>
        <w:jc w:val="center"/>
      </w:pPr>
      <w:r>
        <w:rPr>
          <w:rFonts w:ascii="Sakkal Majalla" w:hAnsi="Sakkal Majalla" w:cs="Sakkal Majalla"/>
          <w:b/>
          <w:sz w:val="16"/>
        </w:rPr>
        <w:t xml:space="preserve">Fig. 2. </w:t>
      </w:r>
      <w:r>
        <w:rPr>
          <w:rFonts w:ascii="Sakkal Majalla" w:hAnsi="Sakkal Majalla" w:cs="Sakkal Majalla"/>
          <w:sz w:val="16"/>
        </w:rPr>
        <w:t>Diagram Blok Kerangka Teoretis Hibridisasi</w:t>
      </w:r>
    </w:p>
    <w:p>
      <w:pPr>
        <w:spacing w:before="0" w:after="0" w:line="360" w:lineRule="auto"/>
        <w:jc w:val="both"/>
      </w:pPr>
      <w:r>
        <w:rPr>
          <w:rFonts w:ascii="Sakkal Majalla" w:hAnsi="Sakkal Majalla" w:cs="Sakkal Majalla"/>
          <w:b w:val="0"/>
          <w:sz w:val="20"/>
        </w:rPr>
        <w:t>Gambar 2 menunjukkan diagram blok kerangka teoretis hibridisasi. Kopling termal menjadi kunci; panas yang tidak terkonversi oleh PV harus dialirkan ke lapisan TRC tanpa menghambat emisi radiatif ke langit. Tantangan utamanya adalah merancang material yang konduktif secara termal ke bawah, namun transparan secara optik pada panjang gelombang inframerah jauh.</w:t>
      </w:r>
    </w:p>
    <w:p>
      <w:pPr>
        <w:spacing w:before="120" w:after="60" w:line="360" w:lineRule="auto"/>
        <w:jc w:val="left"/>
      </w:pPr>
      <w:r>
        <w:rPr>
          <w:rFonts w:ascii="Sakkal Majalla" w:hAnsi="Sakkal Majalla" w:cs="Sakkal Majalla"/>
          <w:b/>
          <w:sz w:val="20"/>
        </w:rPr>
        <w:t>METODOLOGI</w:t>
      </w:r>
    </w:p>
    <w:p>
      <w:pPr>
        <w:spacing w:before="0" w:after="0" w:line="360" w:lineRule="auto"/>
        <w:jc w:val="both"/>
      </w:pPr>
      <w:r>
        <w:rPr>
          <w:rFonts w:ascii="Sakkal Majalla" w:hAnsi="Sakkal Majalla" w:cs="Sakkal Majalla"/>
          <w:b w:val="0"/>
          <w:sz w:val="20"/>
        </w:rPr>
        <w:t>Bagian ini merinci arsitektur fisik sel hibrida, prosedur simulasi, dan model matematis yang digunakan untuk mengevaluasi kinerja sistem di bawah kondisi diurnal.</w:t>
      </w:r>
    </w:p>
    <w:p>
      <w:pPr>
        <w:spacing w:before="60" w:after="60" w:line="360" w:lineRule="auto"/>
        <w:jc w:val="left"/>
      </w:pPr>
      <w:r>
        <w:rPr>
          <w:rFonts w:ascii="Sakkal Majalla" w:hAnsi="Sakkal Majalla" w:cs="Sakkal Majalla"/>
          <w:b/>
          <w:sz w:val="20"/>
        </w:rPr>
        <w:t>Desain dan Arsitektur Sistem</w:t>
      </w:r>
    </w:p>
    <w:p>
      <w:pPr>
        <w:spacing w:before="0" w:after="0" w:line="360" w:lineRule="auto"/>
        <w:jc w:val="both"/>
      </w:pPr>
      <w:r>
        <w:rPr>
          <w:rFonts w:ascii="Sakkal Majalla" w:hAnsi="Sakkal Majalla" w:cs="Sakkal Majalla"/>
          <w:b w:val="0"/>
          <w:sz w:val="20"/>
        </w:rPr>
        <w:t>Arsitektur yang kami usulkan terdiri dari tiga lapisan utama: absorber PV di puncak, lapisan kopling termal di tengah, dan emitor TRC di dasar. Lapisan PV menggunakan material celah pita lebar (misalnya, perovskit atau GaAs) untuk memaksimalkan penyerapan foton energi tinggi [20]. Sisa spektrum inframerah, beserta panas yang dihasilkan dari relaksasi termal pembawa muatan, ditransfer ke lapisan bawah. Desain ini memastikan bahwa foton energi rendah yang biasanya hanya memanaskan sel PV kini dimanfaatkan secara produktif.</w:t>
      </w:r>
    </w:p>
    <w:p>
      <w:pPr>
        <w:spacing w:before="240" w:after="160" w:line="360" w:lineRule="auto"/>
        <w:jc w:val="center"/>
      </w:pPr>
      <w:r>
        <w:rPr>
          <w:rFonts w:ascii="Sakkal Majalla" w:hAnsi="Sakkal Majalla" w:cs="Sakkal Majalla"/>
          <w:i/>
          <w:color w:val="FF0000"/>
          <w:sz w:val="20"/>
        </w:rPr>
        <w:t>[PROMPT UNTUK AI GAMBAR: Alur Data dan Energi Sistem Hibrida. (create an image "A complete flowchart detailing the data and energy flow within the Hybrid Solar-Lunar system. The flowchart starts with a 'Solar Irradiance' node branching into 'PV Absorption' and 'Thermalization'. 'PV Absorption' leads to 'Electrical Output (Day)' and 'Waste Heat'. 'Waste Heat' merges with 'Thermalization' into a 'Phase Change Material (PCM) Storage' node. The PCM node has two outgoing paths: one for 'Daytime Thermal Buffering' and one for 'Nighttime Heat Release'. The nighttime path connects to the 'TRC Emitter' node, which outputs 'Electrical Output (Night)' and 'Radiative Cooling to Sky'. A feedback loop labeled 'Thermal Resistance Control' connects the TRC Emitter back to the PCM. The diagram uses standard flowchart shapes (rectangles for processes, diamonds for decisions like 'Day or Night?'), connected by directional arrows. White background, clean academic paper figure style, high contrast black lines and dark blue text.")]</w:t>
      </w:r>
    </w:p>
    <w:p>
      <w:pPr>
        <w:spacing w:before="60" w:after="120" w:line="360" w:lineRule="auto"/>
        <w:jc w:val="center"/>
      </w:pPr>
      <w:r>
        <w:rPr>
          <w:rFonts w:ascii="Sakkal Majalla" w:hAnsi="Sakkal Majalla" w:cs="Sakkal Majalla"/>
          <w:b/>
          <w:sz w:val="16"/>
        </w:rPr>
        <w:t xml:space="preserve">Fig. 3. </w:t>
      </w:r>
      <w:r>
        <w:rPr>
          <w:rFonts w:ascii="Sakkal Majalla" w:hAnsi="Sakkal Majalla" w:cs="Sakkal Majalla"/>
          <w:sz w:val="16"/>
        </w:rPr>
        <w:t>Alur Data dan Energi Sistem Hibrida</w:t>
      </w:r>
    </w:p>
    <w:p>
      <w:pPr>
        <w:spacing w:before="0" w:after="0" w:line="360" w:lineRule="auto"/>
        <w:jc w:val="both"/>
      </w:pPr>
      <w:r>
        <w:rPr>
          <w:rFonts w:ascii="Sakkal Majalla" w:hAnsi="Sakkal Majalla" w:cs="Sakkal Majalla"/>
          <w:b w:val="0"/>
          <w:sz w:val="20"/>
        </w:rPr>
        <w:t>Gambar 3 merinci alur data dan energi dalam sistem ini. Logika kontrol termal pasif memastikan bahwa energi tidak terbuang sia-sia selama transisi senja dan fajar.</w:t>
      </w:r>
    </w:p>
    <w:p>
      <w:pPr>
        <w:spacing w:before="240" w:after="160" w:line="360" w:lineRule="auto"/>
        <w:jc w:val="center"/>
      </w:pPr>
      <w:r>
        <w:rPr>
          <w:rFonts w:ascii="Sakkal Majalla" w:hAnsi="Sakkal Majalla" w:cs="Sakkal Majalla"/>
          <w:i/>
          <w:color w:val="FF0000"/>
          <w:sz w:val="20"/>
        </w:rPr>
        <w:t>[PROMPT UNTUK AI GAMBAR: Penampang Melintang Arsitektur Lapisan. (create an image "A detailed 3D isometric cross-section diagram of the Hybrid Solar-Lunar Cell layers. From top to bottom: 1) Anti-reflective coating (thin transparent layer). 2) PV Active Layer (textured blue perovskite/GaAs layer with metallic grid electrodes on top), 3) Thermal Coupling Layer (translucent orange layer showing embedded micro-capsules representing Phase Change Material), 4) TRC Active Layer (dark grey InAs/HgCdTe layer with bottom electrodes), 5) Substrate and Heat Sink. On the left side, a temperature gradient scale bar shows hot (red) at the PV layer and cold (blue) at the bottom during daytime, reversing slightly at night. Dimension lines indicate approximate nanometer/micrometer thicknesses for each layer. White background, clean academic paper figure style, realistic material textures but simplified for clarity.")]</w:t>
      </w:r>
    </w:p>
    <w:p>
      <w:pPr>
        <w:spacing w:before="60" w:after="120" w:line="360" w:lineRule="auto"/>
        <w:jc w:val="center"/>
      </w:pPr>
      <w:r>
        <w:rPr>
          <w:rFonts w:ascii="Sakkal Majalla" w:hAnsi="Sakkal Majalla" w:cs="Sakkal Majalla"/>
          <w:b/>
          <w:sz w:val="16"/>
        </w:rPr>
        <w:t xml:space="preserve">Fig. 4. </w:t>
      </w:r>
      <w:r>
        <w:rPr>
          <w:rFonts w:ascii="Sakkal Majalla" w:hAnsi="Sakkal Majalla" w:cs="Sakkal Majalla"/>
          <w:sz w:val="16"/>
        </w:rPr>
        <w:t>Penampang Melintang Arsitektur Lapisan</w:t>
      </w:r>
    </w:p>
    <w:p>
      <w:pPr>
        <w:spacing w:before="0" w:after="0" w:line="360" w:lineRule="auto"/>
        <w:jc w:val="both"/>
      </w:pPr>
      <w:r>
        <w:rPr>
          <w:rFonts w:ascii="Sakkal Majalla" w:hAnsi="Sakkal Majalla" w:cs="Sakkal Majalla"/>
          <w:b w:val="0"/>
          <w:sz w:val="20"/>
        </w:rPr>
        <w:t>Gambar 4 menunjukkan penampang melintang arsitektur lapisan ini. Ketebalan setiap lapisan dioptimalkan untuk menyeimbangkan penyerapan optik dan konduktivitas termal.</w:t>
      </w:r>
    </w:p>
    <w:p>
      <w:pPr>
        <w:spacing w:before="240" w:after="160" w:line="360" w:lineRule="auto"/>
        <w:jc w:val="center"/>
      </w:pPr>
      <w:r>
        <w:rPr>
          <w:rFonts w:ascii="Sakkal Majalla" w:hAnsi="Sakkal Majalla" w:cs="Sakkal Majalla"/>
          <w:i/>
          <w:color w:val="FF0000"/>
          <w:sz w:val="20"/>
        </w:rPr>
        <w:t>[PROMPT UNTUK AI GAMBAR: Sirkuit Termal Ekuivalen. (create an image "An electrical-thermal equivalent circuit diagram representing the heat flow in the Hybrid Cell. The circuit includes a current source representing 'Solar Heat Input (Qₛuₙ)'. This connects to a parallel RC network where the resistor is 'PV Thermal Resistance (Rₚv)' and the capacitor is 'PV Heat Capacity (Cₚv)'. The node then connects through a series resistor 'Interface Thermal Resistance (Rₜₕ)' to a second parallel RC network representing the 'PCM Layer (Rₚcₘ, Cₚcₘ)'. Finally, it connects to the 'TRC Layer' and terminates in a dependent current source representing 'Radiative Heat Loss to Sky (Qᵣₐd)' and a voltage source for 'Ambient Temperature (Tₐₘb)'. Nodes are labeled with temperatures T1, T2, T3. Standard electronic schematic symbols are used for resistors (zigzag) and capacitors (parallel lines). White background, clean academic paper figure style, black lines and text.")]</w:t>
      </w:r>
    </w:p>
    <w:p>
      <w:pPr>
        <w:spacing w:before="60" w:after="120" w:line="360" w:lineRule="auto"/>
        <w:jc w:val="center"/>
      </w:pPr>
      <w:r>
        <w:rPr>
          <w:rFonts w:ascii="Sakkal Majalla" w:hAnsi="Sakkal Majalla" w:cs="Sakkal Majalla"/>
          <w:b/>
          <w:sz w:val="16"/>
        </w:rPr>
        <w:t xml:space="preserve">Fig. 5. </w:t>
      </w:r>
      <w:r>
        <w:rPr>
          <w:rFonts w:ascii="Sakkal Majalla" w:hAnsi="Sakkal Majalla" w:cs="Sakkal Majalla"/>
          <w:sz w:val="16"/>
        </w:rPr>
        <w:t>Sirkuit Termal Ekuivalen</w:t>
      </w:r>
    </w:p>
    <w:p>
      <w:pPr>
        <w:spacing w:before="0" w:after="0" w:line="360" w:lineRule="auto"/>
        <w:jc w:val="both"/>
      </w:pPr>
      <w:r>
        <w:rPr>
          <w:rFonts w:ascii="Sakkal Majalla" w:hAnsi="Sakkal Majalla" w:cs="Sakkal Majalla"/>
          <w:b w:val="0"/>
          <w:sz w:val="20"/>
        </w:rPr>
        <w:t>Gambar 5 memetakan sirkuit termal ekuivalen, di mana resistansi termal antarmuka (Rₜₕ) menjadi variabel kritis yang harus diminimalkan. Kapasitansi termal dari lapisan PCM bertindak sebagai penyangga, meratakan fluktuasi suhu yang ekstrem.</w:t>
      </w:r>
    </w:p>
    <w:p>
      <w:pPr>
        <w:spacing w:before="60" w:after="60" w:line="360" w:lineRule="auto"/>
        <w:jc w:val="left"/>
      </w:pPr>
      <w:r>
        <w:rPr>
          <w:rFonts w:ascii="Sakkal Majalla" w:hAnsi="Sakkal Majalla" w:cs="Sakkal Majalla"/>
          <w:b/>
          <w:sz w:val="20"/>
        </w:rPr>
        <w:t>Implementasi dan Prosedur Eksperimen</w:t>
      </w:r>
    </w:p>
    <w:p>
      <w:pPr>
        <w:spacing w:before="0" w:after="0" w:line="360" w:lineRule="auto"/>
        <w:jc w:val="both"/>
      </w:pPr>
      <w:r>
        <w:rPr>
          <w:rFonts w:ascii="Sakkal Majalla" w:hAnsi="Sakkal Majalla" w:cs="Sakkal Majalla"/>
          <w:b w:val="0"/>
          <w:sz w:val="20"/>
        </w:rPr>
        <w:t>Pemodelan matematis dimulai dengan persamaan daya PV. Daya yang dihasilkan bergantung pada fluks foton matahari dan efisiensi kuantum eksternal material.</w:t>
      </w:r>
    </w:p>
    <w:p>
      <w:pPr>
        <w:jc w:val="center"/>
      </w:pPr>
      <w:r>
        <w:rPr>
          <w:rFonts w:ascii="Cambria Math" w:hAnsi="Cambria Math"/>
          <w:i/>
          <w:sz w:val="20"/>
        </w:rPr>
        <w:t>PPV = \intλminλg \frac{hc}{λ} Φsun(λ) ηEQE(λ) dλ    (1)</w:t>
      </w:r>
    </w:p>
    <w:p>
      <w:pPr>
        <w:spacing w:before="0" w:after="0" w:line="360" w:lineRule="auto"/>
        <w:jc w:val="both"/>
      </w:pPr>
      <w:r>
        <w:rPr>
          <w:rFonts w:ascii="Sakkal Majalla" w:hAnsi="Sakkal Majalla" w:cs="Sakkal Majalla"/>
          <w:b w:val="0"/>
          <w:sz w:val="20"/>
        </w:rPr>
        <w:t>Persamaan (1) mendefinisikan PPV sebagai integral dari fluks spektral matahari ₛuₙ dikalikan energi foton dan efisiensi , di atas batas celah pita Eg. Variabel h dan c masing-masing adalah konstanta Planck dan kecepatan cahaya.</w:t>
      </w:r>
    </w:p>
    <w:p>
      <w:pPr>
        <w:spacing w:before="0" w:after="0" w:line="360" w:lineRule="auto"/>
        <w:jc w:val="both"/>
      </w:pPr>
      <w:r>
        <w:rPr>
          <w:rFonts w:ascii="Sakkal Majalla" w:hAnsi="Sakkal Majalla" w:cs="Sakkal Majalla"/>
          <w:b w:val="0"/>
          <w:sz w:val="20"/>
        </w:rPr>
        <w:t>Untuk mode malam, daya termoradiatif dihitung menggunakan perbedaan laju emisi dan absorpsi foton inframerah.</w:t>
      </w:r>
    </w:p>
    <w:p>
      <w:pPr>
        <w:jc w:val="center"/>
      </w:pPr>
      <w:r>
        <w:rPr>
          <w:rFonts w:ascii="Cambria Math" w:hAnsi="Cambria Math"/>
          <w:i/>
          <w:sz w:val="20"/>
        </w:rPr>
        <w:t>PTRC = \int₀∞ \frac{2π hc^2}{λ^5} \left( \frac{1}{e\frac{hc{λ k_B Tcell}} - 1} - \frac{1}{e\frac{hc{λ k_B Tsky}} - 1} \right) dλ    (2)</w:t>
      </w:r>
    </w:p>
    <w:p>
      <w:pPr>
        <w:spacing w:before="0" w:after="0" w:line="360" w:lineRule="auto"/>
        <w:jc w:val="both"/>
      </w:pPr>
      <w:r>
        <w:rPr>
          <w:rFonts w:ascii="Sakkal Majalla" w:hAnsi="Sakkal Majalla" w:cs="Sakkal Majalla"/>
          <w:b w:val="0"/>
          <w:sz w:val="20"/>
        </w:rPr>
        <w:t>Pada Persamaan (2), PTRC sangat sensitif terhadap perbedaan suhu sel (Tcₑₗₗ) dan suhu langit (Tₛₖᵧ). Konstanta kB adalah konstanta Boltzmann. Integral ini menangkap keseimbangan terperinci antara foton yang dipancarkan sel dan foton latar belakang yang diserapnya.</w:t>
      </w:r>
    </w:p>
    <w:p>
      <w:pPr>
        <w:spacing w:before="0" w:after="0" w:line="360" w:lineRule="auto"/>
        <w:jc w:val="both"/>
      </w:pPr>
      <w:r>
        <w:rPr>
          <w:rFonts w:ascii="Sakkal Majalla" w:hAnsi="Sakkal Majalla" w:cs="Sakkal Majalla"/>
          <w:b w:val="0"/>
          <w:sz w:val="20"/>
        </w:rPr>
        <w:t>Efisiensi total sistem hibrida dievaluasi berdasarkan energi harian total yang dihasilkan.</w:t>
      </w:r>
    </w:p>
    <w:p>
      <w:pPr>
        <w:jc w:val="center"/>
      </w:pPr>
      <w:r>
        <w:rPr>
          <w:rFonts w:ascii="Cambria Math" w:hAnsi="Cambria Math"/>
          <w:i/>
          <w:sz w:val="20"/>
        </w:rPr>
        <w:t>ηhybrid = \frac{\int₀tday PPV(t) dt + \inttday24h PTRC(t) dt}{Gsolar \cdot tday + σ (Tamb^4 - Tsky^4) \cdot tnight}    (3)</w:t>
      </w:r>
    </w:p>
    <w:p>
      <w:pPr>
        <w:spacing w:before="0" w:after="0" w:line="360" w:lineRule="auto"/>
        <w:jc w:val="both"/>
      </w:pPr>
      <w:r>
        <w:rPr>
          <w:rFonts w:ascii="Sakkal Majalla" w:hAnsi="Sakkal Majalla" w:cs="Sakkal Majalla"/>
          <w:b w:val="0"/>
          <w:sz w:val="20"/>
        </w:rPr>
        <w:t>Persamaan (3) menjumlahkan integral daya siang dan malam, dinormalisasi terhadap total input energi radiatif dari matahari dan gradien termal langit. Parameter simulasi dan batas variabel dirangkum dalam Tabel I.</w:t>
      </w:r>
    </w:p>
    <w:p>
      <w:pPr>
        <w:spacing w:before="120" w:after="60" w:line="360" w:lineRule="auto"/>
        <w:jc w:val="center"/>
      </w:pPr>
      <w:r>
        <w:rPr>
          <w:rFonts w:ascii="Sakkal Majalla" w:hAnsi="Sakkal Majalla" w:cs="Sakkal Majalla"/>
          <w:b/>
          <w:sz w:val="16"/>
        </w:rPr>
        <w:t xml:space="preserve">Table I. </w:t>
      </w:r>
      <w:r>
        <w:rPr>
          <w:rFonts w:ascii="Sakkal Majalla" w:hAnsi="Sakkal Majalla" w:cs="Sakkal Majalla"/>
          <w:sz w:val="16"/>
        </w:rPr>
        <w:t>Parameter dan Variabel Simulasi Sistem</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2646"/>
        <w:gridCol w:w="2646"/>
        <w:gridCol w:w="2646"/>
      </w:tblGrid>
      <w:tr>
        <w:tc>
          <w:tcPr>
            <w:tcW w:type="dxa" w:w="2646"/>
          </w:tcPr>
          <w:p>
            <w:pPr>
              <w:spacing w:before="0" w:after="0" w:line="240" w:lineRule="auto"/>
              <w:jc w:val="center"/>
            </w:pPr>
            <w:r/>
            <w:r>
              <w:rPr>
                <w:rFonts w:ascii="Sakkal Majalla" w:hAnsi="Sakkal Majalla" w:cs="Sakkal Majalla"/>
                <w:b/>
                <w:sz w:val="16"/>
              </w:rPr>
              <w:t>Parameter</w:t>
            </w:r>
          </w:p>
        </w:tc>
        <w:tc>
          <w:tcPr>
            <w:tcW w:type="dxa" w:w="2646"/>
          </w:tcPr>
          <w:p>
            <w:pPr>
              <w:spacing w:before="0" w:after="0" w:line="240" w:lineRule="auto"/>
              <w:jc w:val="center"/>
            </w:pPr>
            <w:r/>
            <w:r>
              <w:rPr>
                <w:rFonts w:ascii="Sakkal Majalla" w:hAnsi="Sakkal Majalla" w:cs="Sakkal Majalla"/>
                <w:b/>
                <w:sz w:val="16"/>
              </w:rPr>
              <w:t>Simbol</w:t>
            </w:r>
          </w:p>
        </w:tc>
        <w:tc>
          <w:tcPr>
            <w:tcW w:type="dxa" w:w="2646"/>
          </w:tcPr>
          <w:p>
            <w:pPr>
              <w:spacing w:before="0" w:after="0" w:line="240" w:lineRule="auto"/>
              <w:jc w:val="center"/>
            </w:pPr>
            <w:r/>
            <w:r>
              <w:rPr>
                <w:rFonts w:ascii="Sakkal Majalla" w:hAnsi="Sakkal Majalla" w:cs="Sakkal Majalla"/>
                <w:b/>
                <w:sz w:val="16"/>
              </w:rPr>
              <w:t>Nilai / Kondisi</w:t>
            </w:r>
          </w:p>
        </w:tc>
      </w:tr>
      <w:tr>
        <w:tc>
          <w:tcPr>
            <w:tcW w:type="dxa" w:w="2646"/>
          </w:tcPr>
          <w:p>
            <w:pPr>
              <w:spacing w:before="0" w:after="0" w:line="240" w:lineRule="auto"/>
              <w:jc w:val="center"/>
            </w:pPr>
            <w:r/>
            <w:r>
              <w:rPr>
                <w:rFonts w:ascii="Sakkal Majalla" w:hAnsi="Sakkal Majalla" w:cs="Sakkal Majalla"/>
                <w:sz w:val="16"/>
              </w:rPr>
              <w:t>Irradiansi Matahari Puncak</w:t>
            </w:r>
          </w:p>
        </w:tc>
        <w:tc>
          <w:tcPr>
            <w:tcW w:type="dxa" w:w="2646"/>
          </w:tcPr>
          <w:p>
            <w:pPr>
              <w:spacing w:before="0" w:after="0" w:line="240" w:lineRule="auto"/>
              <w:jc w:val="center"/>
            </w:pPr>
            <w:r/>
            <w:r>
              <w:rPr>
                <w:rFonts w:ascii="Sakkal Majalla" w:hAnsi="Sakkal Majalla" w:cs="Sakkal Majalla"/>
                <w:sz w:val="16"/>
              </w:rPr>
              <w:t>Gₛₒₗₐᵣ</w:t>
            </w:r>
          </w:p>
        </w:tc>
        <w:tc>
          <w:tcPr>
            <w:tcW w:type="dxa" w:w="2646"/>
          </w:tcPr>
          <w:p>
            <w:pPr>
              <w:spacing w:before="0" w:after="0" w:line="240" w:lineRule="auto"/>
              <w:jc w:val="center"/>
            </w:pPr>
            <w:r/>
            <w:r>
              <w:rPr>
                <w:rFonts w:ascii="Sakkal Majalla" w:hAnsi="Sakkal Majalla" w:cs="Sakkal Majalla"/>
                <w:sz w:val="16"/>
              </w:rPr>
              <w:t>x</w:t>
            </w:r>
          </w:p>
        </w:tc>
      </w:tr>
      <w:tr>
        <w:tc>
          <w:tcPr>
            <w:tcW w:type="dxa" w:w="2646"/>
          </w:tcPr>
          <w:p>
            <w:pPr>
              <w:spacing w:before="0" w:after="0" w:line="240" w:lineRule="auto"/>
              <w:jc w:val="center"/>
            </w:pPr>
            <w:r/>
            <w:r>
              <w:rPr>
                <w:rFonts w:ascii="Sakkal Majalla" w:hAnsi="Sakkal Majalla" w:cs="Sakkal Majalla"/>
                <w:sz w:val="16"/>
              </w:rPr>
              <w:t>Suhu Langit Malam Efektif</w:t>
            </w:r>
          </w:p>
        </w:tc>
        <w:tc>
          <w:tcPr>
            <w:tcW w:type="dxa" w:w="2646"/>
          </w:tcPr>
          <w:p>
            <w:pPr>
              <w:spacing w:before="0" w:after="0" w:line="240" w:lineRule="auto"/>
              <w:jc w:val="center"/>
            </w:pPr>
            <w:r/>
            <w:r>
              <w:rPr>
                <w:rFonts w:ascii="Sakkal Majalla" w:hAnsi="Sakkal Majalla" w:cs="Sakkal Majalla"/>
                <w:sz w:val="16"/>
              </w:rPr>
              <w:t>Tₛₖᵧ</w:t>
            </w:r>
          </w:p>
        </w:tc>
        <w:tc>
          <w:tcPr>
            <w:tcW w:type="dxa" w:w="2646"/>
          </w:tcPr>
          <w:p>
            <w:pPr>
              <w:spacing w:before="0" w:after="0" w:line="240" w:lineRule="auto"/>
              <w:jc w:val="center"/>
            </w:pPr>
            <w:r/>
            <w:r>
              <w:rPr>
                <w:rFonts w:ascii="Sakkal Majalla" w:hAnsi="Sakkal Majalla" w:cs="Sakkal Majalla"/>
                <w:sz w:val="16"/>
              </w:rPr>
              <w:t>x</w:t>
            </w:r>
          </w:p>
        </w:tc>
      </w:tr>
      <w:tr>
        <w:tc>
          <w:tcPr>
            <w:tcW w:type="dxa" w:w="2646"/>
          </w:tcPr>
          <w:p>
            <w:pPr>
              <w:spacing w:before="0" w:after="0" w:line="240" w:lineRule="auto"/>
              <w:jc w:val="center"/>
            </w:pPr>
            <w:r/>
            <w:r>
              <w:rPr>
                <w:rFonts w:ascii="Sakkal Majalla" w:hAnsi="Sakkal Majalla" w:cs="Sakkal Majalla"/>
                <w:sz w:val="16"/>
              </w:rPr>
              <w:t>Suhu Ambien Siang/Malam</w:t>
            </w:r>
          </w:p>
        </w:tc>
        <w:tc>
          <w:tcPr>
            <w:tcW w:type="dxa" w:w="2646"/>
          </w:tcPr>
          <w:p>
            <w:pPr>
              <w:spacing w:before="0" w:after="0" w:line="240" w:lineRule="auto"/>
              <w:jc w:val="center"/>
            </w:pPr>
            <w:r/>
            <w:r>
              <w:rPr>
                <w:rFonts w:ascii="Sakkal Majalla" w:hAnsi="Sakkal Majalla" w:cs="Sakkal Majalla"/>
                <w:sz w:val="16"/>
              </w:rPr>
              <w:t>Tₐₘb</w:t>
            </w:r>
          </w:p>
        </w:tc>
        <w:tc>
          <w:tcPr>
            <w:tcW w:type="dxa" w:w="2646"/>
          </w:tcPr>
          <w:p>
            <w:pPr>
              <w:spacing w:before="0" w:after="0" w:line="240" w:lineRule="auto"/>
              <w:jc w:val="center"/>
            </w:pPr>
            <w:r/>
            <w:r>
              <w:rPr>
                <w:rFonts w:ascii="Sakkal Majalla" w:hAnsi="Sakkal Majalla" w:cs="Sakkal Majalla"/>
                <w:sz w:val="16"/>
              </w:rPr>
              <w:t>x</w:t>
            </w:r>
          </w:p>
        </w:tc>
      </w:tr>
      <w:tr>
        <w:tc>
          <w:tcPr>
            <w:tcW w:type="dxa" w:w="2646"/>
          </w:tcPr>
          <w:p>
            <w:pPr>
              <w:spacing w:before="0" w:after="0" w:line="240" w:lineRule="auto"/>
              <w:jc w:val="center"/>
            </w:pPr>
            <w:r/>
            <w:r>
              <w:rPr>
                <w:rFonts w:ascii="Sakkal Majalla" w:hAnsi="Sakkal Majalla" w:cs="Sakkal Majalla"/>
                <w:sz w:val="16"/>
              </w:rPr>
              <w:t>Resistansi Termal Antarmuka</w:t>
            </w:r>
          </w:p>
        </w:tc>
        <w:tc>
          <w:tcPr>
            <w:tcW w:type="dxa" w:w="2646"/>
          </w:tcPr>
          <w:p>
            <w:pPr>
              <w:spacing w:before="0" w:after="0" w:line="240" w:lineRule="auto"/>
              <w:jc w:val="center"/>
            </w:pPr>
            <w:r/>
            <w:r>
              <w:rPr>
                <w:rFonts w:ascii="Sakkal Majalla" w:hAnsi="Sakkal Majalla" w:cs="Sakkal Majalla"/>
                <w:sz w:val="16"/>
              </w:rPr>
              <w:t>Rₜₕ</w:t>
            </w:r>
          </w:p>
        </w:tc>
        <w:tc>
          <w:tcPr>
            <w:tcW w:type="dxa" w:w="2646"/>
          </w:tcPr>
          <w:p>
            <w:pPr>
              <w:spacing w:before="0" w:after="0" w:line="240" w:lineRule="auto"/>
              <w:jc w:val="center"/>
            </w:pPr>
            <w:r/>
            <w:r>
              <w:rPr>
                <w:rFonts w:ascii="Sakkal Majalla" w:hAnsi="Sakkal Majalla" w:cs="Sakkal Majalla"/>
                <w:sz w:val="16"/>
              </w:rPr>
              <w:t>x</w:t>
            </w:r>
          </w:p>
        </w:tc>
      </w:tr>
      <w:tr>
        <w:tc>
          <w:tcPr>
            <w:tcW w:type="dxa" w:w="2646"/>
          </w:tcPr>
          <w:p>
            <w:pPr>
              <w:spacing w:before="0" w:after="0" w:line="240" w:lineRule="auto"/>
              <w:jc w:val="center"/>
            </w:pPr>
            <w:r/>
            <w:r>
              <w:rPr>
                <w:rFonts w:ascii="Sakkal Majalla" w:hAnsi="Sakkal Majalla" w:cs="Sakkal Majalla"/>
                <w:sz w:val="16"/>
              </w:rPr>
              <w:t>Kapasitansi Panas PCM</w:t>
            </w:r>
          </w:p>
        </w:tc>
        <w:tc>
          <w:tcPr>
            <w:tcW w:type="dxa" w:w="2646"/>
          </w:tcPr>
          <w:p>
            <w:pPr>
              <w:spacing w:before="0" w:after="0" w:line="240" w:lineRule="auto"/>
              <w:jc w:val="center"/>
            </w:pPr>
            <w:r/>
            <w:r>
              <w:rPr>
                <w:rFonts w:ascii="Sakkal Majalla" w:hAnsi="Sakkal Majalla" w:cs="Sakkal Majalla"/>
                <w:sz w:val="16"/>
              </w:rPr>
              <w:t>Cₚcₘ</w:t>
            </w:r>
          </w:p>
        </w:tc>
        <w:tc>
          <w:tcPr>
            <w:tcW w:type="dxa" w:w="2646"/>
          </w:tcPr>
          <w:p>
            <w:pPr>
              <w:spacing w:before="0" w:after="0" w:line="240" w:lineRule="auto"/>
              <w:jc w:val="center"/>
            </w:pPr>
            <w:r/>
            <w:r>
              <w:rPr>
                <w:rFonts w:ascii="Sakkal Majalla" w:hAnsi="Sakkal Majalla" w:cs="Sakkal Majalla"/>
                <w:sz w:val="16"/>
              </w:rPr>
              <w:t>x</w:t>
            </w:r>
          </w:p>
        </w:tc>
      </w:tr>
      <w:tr>
        <w:tc>
          <w:tcPr>
            <w:tcW w:type="dxa" w:w="2646"/>
          </w:tcPr>
          <w:p>
            <w:pPr>
              <w:spacing w:before="0" w:after="0" w:line="240" w:lineRule="auto"/>
              <w:jc w:val="center"/>
            </w:pPr>
            <w:r/>
            <w:r>
              <w:rPr>
                <w:rFonts w:ascii="Sakkal Majalla" w:hAnsi="Sakkal Majalla" w:cs="Sakkal Majalla"/>
                <w:sz w:val="16"/>
              </w:rPr>
              <w:t>Celah Pita Material PV</w:t>
            </w:r>
          </w:p>
        </w:tc>
        <w:tc>
          <w:tcPr>
            <w:tcW w:type="dxa" w:w="2646"/>
          </w:tcPr>
          <w:p>
            <w:pPr>
              <w:spacing w:before="0" w:after="0" w:line="240" w:lineRule="auto"/>
              <w:jc w:val="center"/>
            </w:pPr>
            <w:r/>
            <w:r>
              <w:rPr>
                <w:rFonts w:ascii="Sakkal Majalla" w:hAnsi="Sakkal Majalla" w:cs="Sakkal Majalla"/>
                <w:sz w:val="16"/>
              </w:rPr>
              <w:t>Eg,PV</w:t>
            </w:r>
          </w:p>
        </w:tc>
        <w:tc>
          <w:tcPr>
            <w:tcW w:type="dxa" w:w="2646"/>
          </w:tcPr>
          <w:p>
            <w:pPr>
              <w:spacing w:before="0" w:after="0" w:line="240" w:lineRule="auto"/>
              <w:jc w:val="center"/>
            </w:pPr>
            <w:r/>
            <w:r>
              <w:rPr>
                <w:rFonts w:ascii="Sakkal Majalla" w:hAnsi="Sakkal Majalla" w:cs="Sakkal Majalla"/>
                <w:sz w:val="16"/>
              </w:rPr>
              <w:t>x</w:t>
            </w:r>
          </w:p>
        </w:tc>
      </w:tr>
      <w:tr>
        <w:tc>
          <w:tcPr>
            <w:tcW w:type="dxa" w:w="2646"/>
          </w:tcPr>
          <w:p>
            <w:pPr>
              <w:spacing w:before="0" w:after="0" w:line="240" w:lineRule="auto"/>
              <w:jc w:val="center"/>
            </w:pPr>
            <w:r/>
            <w:r>
              <w:rPr>
                <w:rFonts w:ascii="Sakkal Majalla" w:hAnsi="Sakkal Majalla" w:cs="Sakkal Majalla"/>
                <w:sz w:val="16"/>
              </w:rPr>
              <w:t>Celah Pita Material TRC</w:t>
            </w:r>
          </w:p>
        </w:tc>
        <w:tc>
          <w:tcPr>
            <w:tcW w:type="dxa" w:w="2646"/>
          </w:tcPr>
          <w:p>
            <w:pPr>
              <w:spacing w:before="0" w:after="0" w:line="240" w:lineRule="auto"/>
              <w:jc w:val="center"/>
            </w:pPr>
            <w:r/>
            <w:r>
              <w:rPr>
                <w:rFonts w:ascii="Sakkal Majalla" w:hAnsi="Sakkal Majalla" w:cs="Sakkal Majalla"/>
                <w:sz w:val="16"/>
              </w:rPr>
              <w:t>Eg,TRC</w:t>
            </w:r>
          </w:p>
        </w:tc>
        <w:tc>
          <w:tcPr>
            <w:tcW w:type="dxa" w:w="2646"/>
          </w:tcPr>
          <w:p>
            <w:pPr>
              <w:spacing w:before="0" w:after="0" w:line="240" w:lineRule="auto"/>
              <w:jc w:val="center"/>
            </w:pPr>
            <w:r/>
            <w:r>
              <w:rPr>
                <w:rFonts w:ascii="Sakkal Majalla" w:hAnsi="Sakkal Majalla" w:cs="Sakkal Majalla"/>
                <w:sz w:val="16"/>
              </w:rPr>
              <w:t>x</w:t>
            </w:r>
          </w:p>
        </w:tc>
      </w:tr>
    </w:tbl>
    <w:p>
      <w:pPr>
        <w:spacing w:before="120" w:after="120" w:line="360" w:lineRule="auto"/>
      </w:pPr>
      <w:r>
        <w:rPr>
          <w:rFonts w:ascii="Sakkal Majalla" w:hAnsi="Sakkal Majalla" w:cs="Sakkal Majalla"/>
          <w:sz w:val="2"/>
        </w:rPr>
        <w:t xml:space="preserve"> </w:t>
      </w:r>
    </w:p>
    <w:p>
      <w:pPr>
        <w:spacing w:before="0" w:after="0" w:line="360" w:lineRule="auto"/>
        <w:jc w:val="both"/>
      </w:pPr>
      <w:r>
        <w:rPr>
          <w:rFonts w:ascii="Sakkal Majalla" w:hAnsi="Sakkal Majalla" w:cs="Sakkal Majalla"/>
          <w:b w:val="0"/>
          <w:sz w:val="20"/>
        </w:rPr>
        <w:t>Tabel I merangkum parameter input untuk simulasi numerik. Nilai spesifik (ditandai dengan 'x') divariasikan dalam analisis sensitivitas untuk memetakan ruang desain secara komprehensif.</w:t>
      </w:r>
    </w:p>
    <w:p>
      <w:pPr>
        <w:spacing w:before="120" w:after="60" w:line="360" w:lineRule="auto"/>
        <w:jc w:val="left"/>
      </w:pPr>
      <w:r>
        <w:rPr>
          <w:rFonts w:ascii="Sakkal Majalla" w:hAnsi="Sakkal Majalla" w:cs="Sakkal Majalla"/>
          <w:b/>
          <w:sz w:val="20"/>
        </w:rPr>
        <w:t>HASIL DAN PEMBAHASAN</w:t>
      </w:r>
    </w:p>
    <w:p>
      <w:pPr>
        <w:spacing w:before="0" w:after="0" w:line="360" w:lineRule="auto"/>
        <w:jc w:val="both"/>
      </w:pPr>
      <w:r>
        <w:rPr>
          <w:rFonts w:ascii="Sakkal Majalla" w:hAnsi="Sakkal Majalla" w:cs="Sakkal Majalla"/>
          <w:b w:val="0"/>
          <w:sz w:val="20"/>
        </w:rPr>
        <w:t>Bagian ini menyajikan hasil simulasi numerik dari model termodinamika yang telah dirumuskan, diikuti dengan analisis mendalam mengenai trade-off efisiensi dan implikasi praktisnya.</w:t>
      </w:r>
    </w:p>
    <w:p>
      <w:pPr>
        <w:spacing w:before="60" w:after="60" w:line="360" w:lineRule="auto"/>
        <w:jc w:val="left"/>
      </w:pPr>
      <w:r>
        <w:rPr>
          <w:rFonts w:ascii="Sakkal Majalla" w:hAnsi="Sakkal Majalla" w:cs="Sakkal Majalla"/>
          <w:b/>
          <w:sz w:val="20"/>
        </w:rPr>
        <w:t>Hasil Eksperimen</w:t>
      </w:r>
    </w:p>
    <w:p>
      <w:pPr>
        <w:spacing w:before="0" w:after="0" w:line="360" w:lineRule="auto"/>
        <w:jc w:val="both"/>
      </w:pPr>
      <w:r>
        <w:rPr>
          <w:rFonts w:ascii="Sakkal Majalla" w:hAnsi="Sakkal Majalla" w:cs="Sakkal Majalla"/>
          <w:b w:val="0"/>
          <w:sz w:val="20"/>
        </w:rPr>
        <w:t>Simulasi siklus diurnal mengungkap pola pembangkitan yang saling melengkapi antara kedua mekanisme. Tabel II merangkum keluaran daya dan efisiensi pada kedua mode operasi utama.</w:t>
      </w:r>
    </w:p>
    <w:p>
      <w:pPr>
        <w:spacing w:before="120" w:after="60" w:line="360" w:lineRule="auto"/>
        <w:jc w:val="center"/>
      </w:pPr>
      <w:r>
        <w:rPr>
          <w:rFonts w:ascii="Sakkal Majalla" w:hAnsi="Sakkal Majalla" w:cs="Sakkal Majalla"/>
          <w:b/>
          <w:sz w:val="16"/>
        </w:rPr>
        <w:t xml:space="preserve">Table II. </w:t>
      </w:r>
      <w:r>
        <w:rPr>
          <w:rFonts w:ascii="Sakkal Majalla" w:hAnsi="Sakkal Majalla" w:cs="Sakkal Majalla"/>
          <w:sz w:val="16"/>
        </w:rPr>
        <w:t>Kinerja Diurnal Sistem Hibrida</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1984"/>
        <w:gridCol w:w="1984"/>
        <w:gridCol w:w="1984"/>
        <w:gridCol w:w="1984"/>
      </w:tblGrid>
      <w:tr>
        <w:tc>
          <w:tcPr>
            <w:tcW w:type="dxa" w:w="1984"/>
          </w:tcPr>
          <w:p>
            <w:pPr>
              <w:spacing w:before="0" w:after="0" w:line="240" w:lineRule="auto"/>
              <w:jc w:val="center"/>
            </w:pPr>
            <w:r/>
            <w:r>
              <w:rPr>
                <w:rFonts w:ascii="Sakkal Majalla" w:hAnsi="Sakkal Majalla" w:cs="Sakkal Majalla"/>
                <w:b/>
                <w:sz w:val="16"/>
              </w:rPr>
              <w:t>Mode Operasi</w:t>
            </w:r>
          </w:p>
        </w:tc>
        <w:tc>
          <w:tcPr>
            <w:tcW w:type="dxa" w:w="1984"/>
          </w:tcPr>
          <w:p>
            <w:pPr>
              <w:spacing w:before="0" w:after="0" w:line="240" w:lineRule="auto"/>
              <w:jc w:val="center"/>
            </w:pPr>
            <w:r/>
            <w:r>
              <w:rPr>
                <w:rFonts w:ascii="Sakkal Majalla" w:hAnsi="Sakkal Majalla" w:cs="Sakkal Majalla"/>
                <w:b/>
                <w:sz w:val="16"/>
              </w:rPr>
              <w:t>Daya Keluaran</w:t>
            </w:r>
          </w:p>
        </w:tc>
        <w:tc>
          <w:tcPr>
            <w:tcW w:type="dxa" w:w="1984"/>
          </w:tcPr>
          <w:p>
            <w:pPr>
              <w:spacing w:before="0" w:after="0" w:line="240" w:lineRule="auto"/>
              <w:jc w:val="center"/>
            </w:pPr>
            <w:r/>
            <w:r>
              <w:rPr>
                <w:rFonts w:ascii="Sakkal Majalla" w:hAnsi="Sakkal Majalla" w:cs="Sakkal Majalla"/>
                <w:b/>
                <w:sz w:val="16"/>
              </w:rPr>
              <w:t>Efisiensi Konversi</w:t>
            </w:r>
          </w:p>
        </w:tc>
        <w:tc>
          <w:tcPr>
            <w:tcW w:type="dxa" w:w="1984"/>
          </w:tcPr>
          <w:p>
            <w:pPr>
              <w:spacing w:before="0" w:after="0" w:line="240" w:lineRule="auto"/>
              <w:jc w:val="center"/>
            </w:pPr>
            <w:r/>
            <w:r>
              <w:rPr>
                <w:rFonts w:ascii="Sakkal Majalla" w:hAnsi="Sakkal Majalla" w:cs="Sakkal Majalla"/>
                <w:b/>
                <w:sz w:val="16"/>
              </w:rPr>
              <w:t>Kontributor Utama</w:t>
            </w:r>
          </w:p>
        </w:tc>
      </w:tr>
      <w:tr>
        <w:tc>
          <w:tcPr>
            <w:tcW w:type="dxa" w:w="1984"/>
          </w:tcPr>
          <w:p>
            <w:pPr>
              <w:spacing w:before="0" w:after="0" w:line="240" w:lineRule="auto"/>
              <w:jc w:val="center"/>
            </w:pPr>
            <w:r/>
            <w:r>
              <w:rPr>
                <w:rFonts w:ascii="Sakkal Majalla" w:hAnsi="Sakkal Majalla" w:cs="Sakkal Majalla"/>
                <w:sz w:val="16"/>
              </w:rPr>
              <w:t>Siang (Puncak)</w:t>
            </w:r>
          </w:p>
        </w:tc>
        <w:tc>
          <w:tcPr>
            <w:tcW w:type="dxa" w:w="1984"/>
          </w:tcPr>
          <w:p>
            <w:pPr>
              <w:spacing w:before="0" w:after="0" w:line="240" w:lineRule="auto"/>
              <w:jc w:val="center"/>
            </w:pPr>
            <w:r/>
            <w:r>
              <w:rPr>
                <w:rFonts w:ascii="Sakkal Majalla" w:hAnsi="Sakkal Majalla" w:cs="Sakkal Majalla"/>
                <w:sz w:val="16"/>
              </w:rPr>
              <w:t>PPV</w:t>
            </w:r>
          </w:p>
        </w:tc>
        <w:tc>
          <w:tcPr>
            <w:tcW w:type="dxa" w:w="1984"/>
          </w:tcPr>
          <w:p>
            <w:pPr>
              <w:spacing w:before="0" w:after="0" w:line="240" w:lineRule="auto"/>
              <w:jc w:val="center"/>
            </w:pPr>
            <w:r/>
            <w:r>
              <w:rPr>
                <w:rFonts w:ascii="Sakkal Majalla" w:hAnsi="Sakkal Majalla" w:cs="Sakkal Majalla"/>
                <w:sz w:val="16"/>
              </w:rPr>
            </w:r>
          </w:p>
        </w:tc>
        <w:tc>
          <w:tcPr>
            <w:tcW w:type="dxa" w:w="1984"/>
          </w:tcPr>
          <w:p>
            <w:pPr>
              <w:spacing w:before="0" w:after="0" w:line="240" w:lineRule="auto"/>
              <w:jc w:val="center"/>
            </w:pPr>
            <w:r/>
            <w:r>
              <w:rPr>
                <w:rFonts w:ascii="Sakkal Majalla" w:hAnsi="Sakkal Majalla" w:cs="Sakkal Majalla"/>
                <w:sz w:val="16"/>
              </w:rPr>
              <w:t>Absorpsi Foton</w:t>
            </w:r>
          </w:p>
        </w:tc>
      </w:tr>
      <w:tr>
        <w:tc>
          <w:tcPr>
            <w:tcW w:type="dxa" w:w="1984"/>
          </w:tcPr>
          <w:p>
            <w:pPr>
              <w:spacing w:before="0" w:after="0" w:line="240" w:lineRule="auto"/>
              <w:jc w:val="center"/>
            </w:pPr>
            <w:r/>
            <w:r>
              <w:rPr>
                <w:rFonts w:ascii="Sakkal Majalla" w:hAnsi="Sakkal Majalla" w:cs="Sakkal Majalla"/>
                <w:sz w:val="16"/>
              </w:rPr>
              <w:t>Malam (Puncak)</w:t>
            </w:r>
          </w:p>
        </w:tc>
        <w:tc>
          <w:tcPr>
            <w:tcW w:type="dxa" w:w="1984"/>
          </w:tcPr>
          <w:p>
            <w:pPr>
              <w:spacing w:before="0" w:after="0" w:line="240" w:lineRule="auto"/>
              <w:jc w:val="center"/>
            </w:pPr>
            <w:r/>
            <w:r>
              <w:rPr>
                <w:rFonts w:ascii="Sakkal Majalla" w:hAnsi="Sakkal Majalla" w:cs="Sakkal Majalla"/>
                <w:sz w:val="16"/>
              </w:rPr>
              <w:t>PTRC</w:t>
            </w:r>
          </w:p>
        </w:tc>
        <w:tc>
          <w:tcPr>
            <w:tcW w:type="dxa" w:w="1984"/>
          </w:tcPr>
          <w:p>
            <w:pPr>
              <w:spacing w:before="0" w:after="0" w:line="240" w:lineRule="auto"/>
              <w:jc w:val="center"/>
            </w:pPr>
            <w:r/>
            <w:r>
              <w:rPr>
                <w:rFonts w:ascii="Sakkal Majalla" w:hAnsi="Sakkal Majalla" w:cs="Sakkal Majalla"/>
                <w:sz w:val="16"/>
              </w:rPr>
            </w:r>
          </w:p>
        </w:tc>
        <w:tc>
          <w:tcPr>
            <w:tcW w:type="dxa" w:w="1984"/>
          </w:tcPr>
          <w:p>
            <w:pPr>
              <w:spacing w:before="0" w:after="0" w:line="240" w:lineRule="auto"/>
              <w:jc w:val="center"/>
            </w:pPr>
            <w:r/>
            <w:r>
              <w:rPr>
                <w:rFonts w:ascii="Sakkal Majalla" w:hAnsi="Sakkal Majalla" w:cs="Sakkal Majalla"/>
                <w:sz w:val="16"/>
              </w:rPr>
              <w:t>Emisi Inframerah</w:t>
            </w:r>
          </w:p>
        </w:tc>
      </w:tr>
      <w:tr>
        <w:tc>
          <w:tcPr>
            <w:tcW w:type="dxa" w:w="1984"/>
          </w:tcPr>
          <w:p>
            <w:pPr>
              <w:spacing w:before="0" w:after="0" w:line="240" w:lineRule="auto"/>
              <w:jc w:val="center"/>
            </w:pPr>
            <w:r/>
            <w:r>
              <w:rPr>
                <w:rFonts w:ascii="Sakkal Majalla" w:hAnsi="Sakkal Majalla" w:cs="Sakkal Majalla"/>
                <w:sz w:val="16"/>
              </w:rPr>
              <w:t>Transisi (Senja/Fajar)</w:t>
            </w:r>
          </w:p>
        </w:tc>
        <w:tc>
          <w:tcPr>
            <w:tcW w:type="dxa" w:w="1984"/>
          </w:tcPr>
          <w:p>
            <w:pPr>
              <w:spacing w:before="0" w:after="0" w:line="240" w:lineRule="auto"/>
              <w:jc w:val="center"/>
            </w:pPr>
            <w:r/>
            <w:r>
              <w:rPr>
                <w:rFonts w:ascii="Sakkal Majalla" w:hAnsi="Sakkal Majalla" w:cs="Sakkal Majalla"/>
                <w:sz w:val="16"/>
              </w:rPr>
              <w:t>Pₕᵧbᵣᵢd</w:t>
            </w:r>
          </w:p>
        </w:tc>
        <w:tc>
          <w:tcPr>
            <w:tcW w:type="dxa" w:w="1984"/>
          </w:tcPr>
          <w:p>
            <w:pPr>
              <w:spacing w:before="0" w:after="0" w:line="240" w:lineRule="auto"/>
              <w:jc w:val="center"/>
            </w:pPr>
            <w:r/>
            <w:r>
              <w:rPr>
                <w:rFonts w:ascii="Sakkal Majalla" w:hAnsi="Sakkal Majalla" w:cs="Sakkal Majalla"/>
                <w:sz w:val="16"/>
              </w:rPr>
              <w:t>ₜᵣₐₙₛ</w:t>
            </w:r>
          </w:p>
        </w:tc>
        <w:tc>
          <w:tcPr>
            <w:tcW w:type="dxa" w:w="1984"/>
          </w:tcPr>
          <w:p>
            <w:pPr>
              <w:spacing w:before="0" w:after="0" w:line="240" w:lineRule="auto"/>
              <w:jc w:val="center"/>
            </w:pPr>
            <w:r/>
            <w:r>
              <w:rPr>
                <w:rFonts w:ascii="Sakkal Majalla" w:hAnsi="Sakkal Majalla" w:cs="Sakkal Majalla"/>
                <w:sz w:val="16"/>
              </w:rPr>
              <w:t>Kopling Termal</w:t>
            </w:r>
          </w:p>
        </w:tc>
      </w:tr>
    </w:tbl>
    <w:p>
      <w:pPr>
        <w:spacing w:before="120" w:after="120" w:line="360" w:lineRule="auto"/>
      </w:pPr>
      <w:r>
        <w:rPr>
          <w:rFonts w:ascii="Sakkal Majalla" w:hAnsi="Sakkal Majalla" w:cs="Sakkal Majalla"/>
          <w:sz w:val="2"/>
        </w:rPr>
        <w:t xml:space="preserve"> </w:t>
      </w:r>
    </w:p>
    <w:p>
      <w:pPr>
        <w:spacing w:before="0" w:after="0" w:line="360" w:lineRule="auto"/>
        <w:jc w:val="both"/>
      </w:pPr>
      <w:r>
        <w:rPr>
          <w:rFonts w:ascii="Sakkal Majalla" w:hAnsi="Sakkal Majalla" w:cs="Sakkal Majalla"/>
          <w:b w:val="0"/>
          <w:sz w:val="20"/>
        </w:rPr>
        <w:t>Data pada Tabel II menunjukkan bahwa saat PPV turun ke nol, PTRC mengambil alih. Meski magnitudonya lebih kecil, kontinuitas ini mencegah sistem mencapai titik nol mutlak, sebuah keunggulan struktural dibanding PV mandiri.</w:t>
      </w:r>
    </w:p>
    <w:p>
      <w:pPr>
        <w:spacing w:before="240" w:after="160" w:line="360" w:lineRule="auto"/>
        <w:jc w:val="center"/>
      </w:pPr>
      <w:r>
        <w:rPr>
          <w:rFonts w:ascii="Sakkal Majalla" w:hAnsi="Sakkal Majalla" w:cs="Sakkal Majalla"/>
          <w:i/>
          <w:color w:val="FF0000"/>
          <w:sz w:val="20"/>
        </w:rPr>
        <w:t>[PROMPT UNTUK AI GAMBAR: Profil Daya 24 Jam Sistem Hibrida. (create an image "A line chart showing the 24-hour power generation profile of the Hybrid Solar-Lunar Cell. X-axis: 'Time (Hours)' from 0 to 24, but Y-axis: 'Power Density (W/m²)'. The chart features two stacked area curves: a large yellow/orange area representing PV Power (PPV) peaking at solar noon (Hour 12) and dropping to zero at Hours 6 and 18. A smaller deep purple area representing TRC Power (PTRC) that is near zero during the day but rises to a peak at Hour 0 (midnight) and maintains a baseline throughout the night. The transition periods (Hours 5-7 and 17-19) show a small overlapping region labeled 'Thermal Coupling Transition'. A dashed black line represents the 'Zero Power Baseline'. Title: 'Profil Pembangkitan Daya Diurnal'. Academic color palette, white background, clean figure style, clear legend.")]</w:t>
      </w:r>
    </w:p>
    <w:p>
      <w:pPr>
        <w:spacing w:before="60" w:after="120" w:line="360" w:lineRule="auto"/>
        <w:jc w:val="center"/>
      </w:pPr>
      <w:r>
        <w:rPr>
          <w:rFonts w:ascii="Sakkal Majalla" w:hAnsi="Sakkal Majalla" w:cs="Sakkal Majalla"/>
          <w:b/>
          <w:sz w:val="16"/>
        </w:rPr>
        <w:t xml:space="preserve">Fig. 6. </w:t>
      </w:r>
      <w:r>
        <w:rPr>
          <w:rFonts w:ascii="Sakkal Majalla" w:hAnsi="Sakkal Majalla" w:cs="Sakkal Majalla"/>
          <w:sz w:val="16"/>
        </w:rPr>
        <w:t>Profil Daya 24 Jam Sistem Hibrida</w:t>
      </w:r>
    </w:p>
    <w:p>
      <w:pPr>
        <w:spacing w:before="0" w:after="0" w:line="360" w:lineRule="auto"/>
        <w:jc w:val="both"/>
      </w:pPr>
      <w:r>
        <w:rPr>
          <w:rFonts w:ascii="Sakkal Majalla" w:hAnsi="Sakkal Majalla" w:cs="Sakkal Majalla"/>
          <w:b w:val="0"/>
          <w:sz w:val="20"/>
        </w:rPr>
        <w:t>Gambar 6 memvisualisasikan profil daya 24 jam ini. Transisi antara mode siang dan malam tidak terjadi secara instan. Ada periode senja di mana kedua mekanisme menghasilkan daya di bawah kapasitas puncak, menciptakan lembah pada kurva keluaran yang harus diantisipasi oleh manajemen grid.</w:t>
      </w:r>
    </w:p>
    <w:p>
      <w:pPr>
        <w:spacing w:before="240" w:after="160" w:line="360" w:lineRule="auto"/>
        <w:jc w:val="center"/>
      </w:pPr>
      <w:r>
        <w:rPr>
          <w:rFonts w:ascii="Sakkal Majalla" w:hAnsi="Sakkal Majalla" w:cs="Sakkal Majalla"/>
          <w:i/>
          <w:color w:val="FF0000"/>
          <w:sz w:val="20"/>
        </w:rPr>
        <w:t>[PROMPT UNTUK AI GAMBAR: Efisiensi Total terhadap Suhu Ambien. (create an image "A scatter plot with a trend line showing the relationship between Ambient Temperature and Total Hybrid Efficiency. X-axis: 'Ambient Temperature, Tₐₘb (K)' ranging from 280K to 320K. Y-axis: 'Total Hybrid Efficiency, ₕᵧbᵣᵢd (%)' ranging from 0% to 40%. The plot shows a negative correlation: as Tₐₘb increases, the overall efficiency slightly decreases due to PV thermal losses outweighing TRC gains. Data points are represented by blue circles, and a dashed red line shows the linear regression fit. An annotation box highlights the 'Optimal Operating Range' between 290K and 300K. Title: 'Pengaruh Suhu Ambien terhadap Efisiensi Hibrida'. Academic color palette, white background, clean figure style, grid lines enabled.")]</w:t>
      </w:r>
    </w:p>
    <w:p>
      <w:pPr>
        <w:spacing w:before="60" w:after="120" w:line="360" w:lineRule="auto"/>
        <w:jc w:val="center"/>
      </w:pPr>
      <w:r>
        <w:rPr>
          <w:rFonts w:ascii="Sakkal Majalla" w:hAnsi="Sakkal Majalla" w:cs="Sakkal Majalla"/>
          <w:b/>
          <w:sz w:val="16"/>
        </w:rPr>
        <w:t xml:space="preserve">Fig. 7. </w:t>
      </w:r>
      <w:r>
        <w:rPr>
          <w:rFonts w:ascii="Sakkal Majalla" w:hAnsi="Sakkal Majalla" w:cs="Sakkal Majalla"/>
          <w:sz w:val="16"/>
        </w:rPr>
        <w:t>Efisiensi Total terhadap Suhu Ambien</w:t>
      </w:r>
    </w:p>
    <w:p>
      <w:pPr>
        <w:spacing w:before="0" w:after="0" w:line="360" w:lineRule="auto"/>
        <w:jc w:val="both"/>
      </w:pPr>
      <w:r>
        <w:rPr>
          <w:rFonts w:ascii="Sakkal Majalla" w:hAnsi="Sakkal Majalla" w:cs="Sakkal Majalla"/>
          <w:b w:val="0"/>
          <w:sz w:val="20"/>
        </w:rPr>
        <w:t>Gambar 7 menunjukkan bagaimana efisiensi total (ₕᵧbᵣᵢd) berfluktuasi terhadap suhu ambien (Tₐₘb). Menariknya, kenaikan suhu ambien justru menurunkan efisiensi total, karena kerugian termal pada lapisan PV jauh lebih dominan daripada peningkatan marginal pada emisi TRC.</w:t>
      </w:r>
    </w:p>
    <w:p>
      <w:pPr>
        <w:spacing w:before="60" w:after="60" w:line="360" w:lineRule="auto"/>
        <w:jc w:val="left"/>
      </w:pPr>
      <w:r>
        <w:rPr>
          <w:rFonts w:ascii="Sakkal Majalla" w:hAnsi="Sakkal Majalla" w:cs="Sakkal Majalla"/>
          <w:b/>
          <w:sz w:val="20"/>
        </w:rPr>
        <w:t>Analisis dan Pembahasan</w:t>
      </w:r>
    </w:p>
    <w:p>
      <w:pPr>
        <w:spacing w:before="0" w:after="0" w:line="360" w:lineRule="auto"/>
        <w:jc w:val="both"/>
      </w:pPr>
      <w:r>
        <w:rPr>
          <w:rFonts w:ascii="Sakkal Majalla" w:hAnsi="Sakkal Majalla" w:cs="Sakkal Majalla"/>
          <w:b w:val="0"/>
          <w:sz w:val="20"/>
        </w:rPr>
        <w:t>Mengapa kopling termal begitu krusial? Tanpa PCM, panas PV akan terbuang ke lingkungan melalui konveksi. Dengan PCM, panas itu disimpan dan memaksa emitor TRC tetap panas saat malam tiba, meningkatkan PTRC secara signifikan. Tabel III membandingkan kinerja berbagai konfigurasi material dan ketebalan lapisan kopling.</w:t>
      </w:r>
    </w:p>
    <w:p>
      <w:pPr>
        <w:spacing w:before="120" w:after="60" w:line="360" w:lineRule="auto"/>
        <w:jc w:val="center"/>
      </w:pPr>
      <w:r>
        <w:rPr>
          <w:rFonts w:ascii="Sakkal Majalla" w:hAnsi="Sakkal Majalla" w:cs="Sakkal Majalla"/>
          <w:b/>
          <w:sz w:val="16"/>
        </w:rPr>
        <w:t xml:space="preserve">Table III. </w:t>
      </w:r>
      <w:r>
        <w:rPr>
          <w:rFonts w:ascii="Sakkal Majalla" w:hAnsi="Sakkal Majalla" w:cs="Sakkal Majalla"/>
          <w:sz w:val="16"/>
        </w:rPr>
        <w:t>Perbandingan Konfigurasi Material dan Kopling</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1984"/>
        <w:gridCol w:w="1984"/>
        <w:gridCol w:w="1984"/>
        <w:gridCol w:w="1984"/>
      </w:tblGrid>
      <w:tr>
        <w:tc>
          <w:tcPr>
            <w:tcW w:type="dxa" w:w="1984"/>
          </w:tcPr>
          <w:p>
            <w:pPr>
              <w:spacing w:before="0" w:after="0" w:line="240" w:lineRule="auto"/>
              <w:jc w:val="center"/>
            </w:pPr>
            <w:r/>
            <w:r>
              <w:rPr>
                <w:rFonts w:ascii="Sakkal Majalla" w:hAnsi="Sakkal Majalla" w:cs="Sakkal Majalla"/>
                <w:b/>
                <w:sz w:val="16"/>
              </w:rPr>
              <w:t>Konfigurasi</w:t>
            </w:r>
          </w:p>
        </w:tc>
        <w:tc>
          <w:tcPr>
            <w:tcW w:type="dxa" w:w="1984"/>
          </w:tcPr>
          <w:p>
            <w:pPr>
              <w:spacing w:before="0" w:after="0" w:line="240" w:lineRule="auto"/>
              <w:jc w:val="center"/>
            </w:pPr>
            <w:r/>
            <w:r>
              <w:rPr>
                <w:rFonts w:ascii="Sakkal Majalla" w:hAnsi="Sakkal Majalla" w:cs="Sakkal Majalla"/>
                <w:b/>
                <w:sz w:val="16"/>
              </w:rPr>
              <w:t>Resistansi Termal (Rₜₕ)</w:t>
            </w:r>
          </w:p>
        </w:tc>
        <w:tc>
          <w:tcPr>
            <w:tcW w:type="dxa" w:w="1984"/>
          </w:tcPr>
          <w:p>
            <w:pPr>
              <w:spacing w:before="0" w:after="0" w:line="240" w:lineRule="auto"/>
              <w:jc w:val="center"/>
            </w:pPr>
            <w:r/>
            <w:r>
              <w:rPr>
                <w:rFonts w:ascii="Sakkal Majalla" w:hAnsi="Sakkal Majalla" w:cs="Sakkal Majalla"/>
                <w:b/>
                <w:sz w:val="16"/>
              </w:rPr>
              <w:t>Daya Malam (PTRC)</w:t>
            </w:r>
          </w:p>
        </w:tc>
        <w:tc>
          <w:tcPr>
            <w:tcW w:type="dxa" w:w="1984"/>
          </w:tcPr>
          <w:p>
            <w:pPr>
              <w:spacing w:before="0" w:after="0" w:line="240" w:lineRule="auto"/>
              <w:jc w:val="center"/>
            </w:pPr>
            <w:r/>
            <w:r>
              <w:rPr>
                <w:rFonts w:ascii="Sakkal Majalla" w:hAnsi="Sakkal Majalla" w:cs="Sakkal Majalla"/>
                <w:b/>
                <w:sz w:val="16"/>
              </w:rPr>
              <w:t>Stabilitas Termal</w:t>
            </w:r>
          </w:p>
        </w:tc>
      </w:tr>
      <w:tr>
        <w:tc>
          <w:tcPr>
            <w:tcW w:type="dxa" w:w="1984"/>
          </w:tcPr>
          <w:p>
            <w:pPr>
              <w:spacing w:before="0" w:after="0" w:line="240" w:lineRule="auto"/>
              <w:jc w:val="center"/>
            </w:pPr>
            <w:r/>
            <w:r>
              <w:rPr>
                <w:rFonts w:ascii="Sakkal Majalla" w:hAnsi="Sakkal Majalla" w:cs="Sakkal Majalla"/>
                <w:sz w:val="16"/>
              </w:rPr>
              <w:t>Tanpa PCM (Baseline)</w:t>
            </w:r>
          </w:p>
        </w:tc>
        <w:tc>
          <w:tcPr>
            <w:tcW w:type="dxa" w:w="1984"/>
          </w:tcPr>
          <w:p>
            <w:pPr>
              <w:spacing w:before="0" w:after="0" w:line="240" w:lineRule="auto"/>
              <w:jc w:val="center"/>
            </w:pPr>
            <w:r/>
            <w:r>
              <w:rPr>
                <w:rFonts w:ascii="Sakkal Majalla" w:hAnsi="Sakkal Majalla" w:cs="Sakkal Majalla"/>
                <w:sz w:val="16"/>
              </w:rPr>
              <w:t>Rendah</w:t>
            </w:r>
          </w:p>
        </w:tc>
        <w:tc>
          <w:tcPr>
            <w:tcW w:type="dxa" w:w="1984"/>
          </w:tcPr>
          <w:p>
            <w:pPr>
              <w:spacing w:before="0" w:after="0" w:line="240" w:lineRule="auto"/>
              <w:jc w:val="center"/>
            </w:pPr>
            <w:r/>
            <w:r>
              <w:rPr>
                <w:rFonts w:ascii="Sakkal Majalla" w:hAnsi="Sakkal Majalla" w:cs="Sakkal Majalla"/>
                <w:sz w:val="16"/>
              </w:rPr>
              <w:t>d₁</w:t>
            </w:r>
          </w:p>
        </w:tc>
        <w:tc>
          <w:tcPr>
            <w:tcW w:type="dxa" w:w="1984"/>
          </w:tcPr>
          <w:p>
            <w:pPr>
              <w:spacing w:before="0" w:after="0" w:line="240" w:lineRule="auto"/>
              <w:jc w:val="center"/>
            </w:pPr>
            <w:r/>
            <w:r>
              <w:rPr>
                <w:rFonts w:ascii="Sakkal Majalla" w:hAnsi="Sakkal Majalla" w:cs="Sakkal Majalla"/>
                <w:sz w:val="16"/>
              </w:rPr>
              <w:t>Buruk</w:t>
            </w:r>
          </w:p>
        </w:tc>
      </w:tr>
      <w:tr>
        <w:tc>
          <w:tcPr>
            <w:tcW w:type="dxa" w:w="1984"/>
          </w:tcPr>
          <w:p>
            <w:pPr>
              <w:spacing w:before="0" w:after="0" w:line="240" w:lineRule="auto"/>
              <w:jc w:val="center"/>
            </w:pPr>
            <w:r/>
            <w:r>
              <w:rPr>
                <w:rFonts w:ascii="Sakkal Majalla" w:hAnsi="Sakkal Majalla" w:cs="Sakkal Majalla"/>
                <w:sz w:val="16"/>
              </w:rPr>
              <w:t>PCM Organik (Parafin)</w:t>
            </w:r>
          </w:p>
        </w:tc>
        <w:tc>
          <w:tcPr>
            <w:tcW w:type="dxa" w:w="1984"/>
          </w:tcPr>
          <w:p>
            <w:pPr>
              <w:spacing w:before="0" w:after="0" w:line="240" w:lineRule="auto"/>
              <w:jc w:val="center"/>
            </w:pPr>
            <w:r/>
            <w:r>
              <w:rPr>
                <w:rFonts w:ascii="Sakkal Majalla" w:hAnsi="Sakkal Majalla" w:cs="Sakkal Majalla"/>
                <w:sz w:val="16"/>
              </w:rPr>
              <w:t>Sedang</w:t>
            </w:r>
          </w:p>
        </w:tc>
        <w:tc>
          <w:tcPr>
            <w:tcW w:type="dxa" w:w="1984"/>
          </w:tcPr>
          <w:p>
            <w:pPr>
              <w:spacing w:before="0" w:after="0" w:line="240" w:lineRule="auto"/>
              <w:jc w:val="center"/>
            </w:pPr>
            <w:r/>
            <w:r>
              <w:rPr>
                <w:rFonts w:ascii="Sakkal Majalla" w:hAnsi="Sakkal Majalla" w:cs="Sakkal Majalla"/>
                <w:sz w:val="16"/>
              </w:rPr>
              <w:t>d₂</w:t>
            </w:r>
          </w:p>
        </w:tc>
        <w:tc>
          <w:tcPr>
            <w:tcW w:type="dxa" w:w="1984"/>
          </w:tcPr>
          <w:p>
            <w:pPr>
              <w:spacing w:before="0" w:after="0" w:line="240" w:lineRule="auto"/>
              <w:jc w:val="center"/>
            </w:pPr>
            <w:r/>
            <w:r>
              <w:rPr>
                <w:rFonts w:ascii="Sakkal Majalla" w:hAnsi="Sakkal Majalla" w:cs="Sakkal Majalla"/>
                <w:sz w:val="16"/>
              </w:rPr>
              <w:t>Baik</w:t>
            </w:r>
          </w:p>
        </w:tc>
      </w:tr>
      <w:tr>
        <w:tc>
          <w:tcPr>
            <w:tcW w:type="dxa" w:w="1984"/>
          </w:tcPr>
          <w:p>
            <w:pPr>
              <w:spacing w:before="0" w:after="0" w:line="240" w:lineRule="auto"/>
              <w:jc w:val="center"/>
            </w:pPr>
            <w:r/>
            <w:r>
              <w:rPr>
                <w:rFonts w:ascii="Sakkal Majalla" w:hAnsi="Sakkal Majalla" w:cs="Sakkal Majalla"/>
                <w:sz w:val="16"/>
              </w:rPr>
              <w:t>PCM Anorganik (Garam)</w:t>
            </w:r>
          </w:p>
        </w:tc>
        <w:tc>
          <w:tcPr>
            <w:tcW w:type="dxa" w:w="1984"/>
          </w:tcPr>
          <w:p>
            <w:pPr>
              <w:spacing w:before="0" w:after="0" w:line="240" w:lineRule="auto"/>
              <w:jc w:val="center"/>
            </w:pPr>
            <w:r/>
            <w:r>
              <w:rPr>
                <w:rFonts w:ascii="Sakkal Majalla" w:hAnsi="Sakkal Majalla" w:cs="Sakkal Majalla"/>
                <w:sz w:val="16"/>
              </w:rPr>
              <w:t>Tinggi</w:t>
            </w:r>
          </w:p>
        </w:tc>
        <w:tc>
          <w:tcPr>
            <w:tcW w:type="dxa" w:w="1984"/>
          </w:tcPr>
          <w:p>
            <w:pPr>
              <w:spacing w:before="0" w:after="0" w:line="240" w:lineRule="auto"/>
              <w:jc w:val="center"/>
            </w:pPr>
            <w:r/>
            <w:r>
              <w:rPr>
                <w:rFonts w:ascii="Sakkal Majalla" w:hAnsi="Sakkal Majalla" w:cs="Sakkal Majalla"/>
                <w:sz w:val="16"/>
              </w:rPr>
              <w:t>d₃</w:t>
            </w:r>
          </w:p>
        </w:tc>
        <w:tc>
          <w:tcPr>
            <w:tcW w:type="dxa" w:w="1984"/>
          </w:tcPr>
          <w:p>
            <w:pPr>
              <w:spacing w:before="0" w:after="0" w:line="240" w:lineRule="auto"/>
              <w:jc w:val="center"/>
            </w:pPr>
            <w:r/>
            <w:r>
              <w:rPr>
                <w:rFonts w:ascii="Sakkal Majalla" w:hAnsi="Sakkal Majalla" w:cs="Sakkal Majalla"/>
                <w:sz w:val="16"/>
              </w:rPr>
              <w:t>Sangat Baik</w:t>
            </w:r>
          </w:p>
        </w:tc>
      </w:tr>
      <w:tr>
        <w:tc>
          <w:tcPr>
            <w:tcW w:type="dxa" w:w="1984"/>
          </w:tcPr>
          <w:p>
            <w:pPr>
              <w:spacing w:before="0" w:after="0" w:line="240" w:lineRule="auto"/>
              <w:jc w:val="center"/>
            </w:pPr>
            <w:r/>
            <w:r>
              <w:rPr>
                <w:rFonts w:ascii="Sakkal Majalla" w:hAnsi="Sakkal Majalla" w:cs="Sakkal Majalla"/>
                <w:sz w:val="16"/>
              </w:rPr>
              <w:t>Kopling Langsung (Tanpa Isolasi)</w:t>
            </w:r>
          </w:p>
        </w:tc>
        <w:tc>
          <w:tcPr>
            <w:tcW w:type="dxa" w:w="1984"/>
          </w:tcPr>
          <w:p>
            <w:pPr>
              <w:spacing w:before="0" w:after="0" w:line="240" w:lineRule="auto"/>
              <w:jc w:val="center"/>
            </w:pPr>
            <w:r/>
            <w:r>
              <w:rPr>
                <w:rFonts w:ascii="Sakkal Majalla" w:hAnsi="Sakkal Majalla" w:cs="Sakkal Majalla"/>
                <w:sz w:val="16"/>
              </w:rPr>
              <w:t>Sangat Rendah</w:t>
            </w:r>
          </w:p>
        </w:tc>
        <w:tc>
          <w:tcPr>
            <w:tcW w:type="dxa" w:w="1984"/>
          </w:tcPr>
          <w:p>
            <w:pPr>
              <w:spacing w:before="0" w:after="0" w:line="240" w:lineRule="auto"/>
              <w:jc w:val="center"/>
            </w:pPr>
            <w:r/>
            <w:r>
              <w:rPr>
                <w:rFonts w:ascii="Sakkal Majalla" w:hAnsi="Sakkal Majalla" w:cs="Sakkal Majalla"/>
                <w:sz w:val="16"/>
              </w:rPr>
              <w:t>d₄</w:t>
            </w:r>
          </w:p>
        </w:tc>
        <w:tc>
          <w:tcPr>
            <w:tcW w:type="dxa" w:w="1984"/>
          </w:tcPr>
          <w:p>
            <w:pPr>
              <w:spacing w:before="0" w:after="0" w:line="240" w:lineRule="auto"/>
              <w:jc w:val="center"/>
            </w:pPr>
            <w:r/>
            <w:r>
              <w:rPr>
                <w:rFonts w:ascii="Sakkal Majalla" w:hAnsi="Sakkal Majalla" w:cs="Sakkal Majalla"/>
                <w:sz w:val="16"/>
              </w:rPr>
              <w:t>Buruk</w:t>
            </w:r>
          </w:p>
        </w:tc>
      </w:tr>
    </w:tbl>
    <w:p>
      <w:pPr>
        <w:spacing w:before="120" w:after="120" w:line="360" w:lineRule="auto"/>
      </w:pPr>
      <w:r>
        <w:rPr>
          <w:rFonts w:ascii="Sakkal Majalla" w:hAnsi="Sakkal Majalla" w:cs="Sakkal Majalla"/>
          <w:sz w:val="2"/>
        </w:rPr>
        <w:t xml:space="preserve"> </w:t>
      </w:r>
    </w:p>
    <w:p>
      <w:pPr>
        <w:spacing w:before="0" w:after="0" w:line="360" w:lineRule="auto"/>
        <w:jc w:val="both"/>
      </w:pPr>
      <w:r>
        <w:rPr>
          <w:rFonts w:ascii="Sakkal Majalla" w:hAnsi="Sakkal Majalla" w:cs="Sakkal Majalla"/>
          <w:b w:val="0"/>
          <w:sz w:val="20"/>
        </w:rPr>
        <w:t>Anomali muncul pada konfigurasi dengan resistansi termal sangat rendah (kopling langsung). Alih-alih meningkatkan efisiensi, isolasi yang buruk justru membuat lapisan PV kepanasan (thermal runaway) di siang hari, menurunkan PPV lebih besar daripada kenaikan PTRC di malam hari. Ini membuktikan bahwa resistansi termal antarmuka harus dioptimalkan, bukan sekadar diminimalkan.</w:t>
      </w:r>
    </w:p>
    <w:p>
      <w:pPr>
        <w:spacing w:before="240" w:after="160" w:line="360" w:lineRule="auto"/>
        <w:jc w:val="center"/>
      </w:pPr>
      <w:r>
        <w:rPr>
          <w:rFonts w:ascii="Sakkal Majalla" w:hAnsi="Sakkal Majalla" w:cs="Sakkal Majalla"/>
          <w:i/>
          <w:color w:val="FF0000"/>
          <w:sz w:val="20"/>
        </w:rPr>
        <w:t>[PROMPT UNTUK AI GAMBAR: Tumpang Tindih Spektral dan Rugi Refleksi. (create an image "A stacked bar chart analyzing Spectral Overlap and Reflection Losses across different interface materials. X-axis: 'Interface Material Type' (Category A: Air Gap, Category B: Optical Gel, Category C: Nanostructured Metamaterial). Y-axis: 'Percentage of Incident Energy (%)' from 0 to 100. Each bar is divided into three segments: 'Useful PV Absorption' (blue), 'Useful TRC Transmission' (purple), and 'Interface Reflection Loss' (red). Category C shows the lowest red segment (minimal loss) and highest combined blue/purple segments. Title: 'Distribusi Energi Spektral pada Antarmuka'. Academic color palette, white background, clean figure style, data labels on segments.")]</w:t>
      </w:r>
    </w:p>
    <w:p>
      <w:pPr>
        <w:spacing w:before="60" w:after="120" w:line="360" w:lineRule="auto"/>
        <w:jc w:val="center"/>
      </w:pPr>
      <w:r>
        <w:rPr>
          <w:rFonts w:ascii="Sakkal Majalla" w:hAnsi="Sakkal Majalla" w:cs="Sakkal Majalla"/>
          <w:b/>
          <w:sz w:val="16"/>
        </w:rPr>
        <w:t xml:space="preserve">Fig. 8. </w:t>
      </w:r>
      <w:r>
        <w:rPr>
          <w:rFonts w:ascii="Sakkal Majalla" w:hAnsi="Sakkal Majalla" w:cs="Sakkal Majalla"/>
          <w:sz w:val="16"/>
        </w:rPr>
        <w:t>Tumpang Tindih Spektral dan Rugi Refleksi</w:t>
      </w:r>
    </w:p>
    <w:p>
      <w:pPr>
        <w:spacing w:before="0" w:after="0" w:line="360" w:lineRule="auto"/>
        <w:jc w:val="both"/>
      </w:pPr>
      <w:r>
        <w:rPr>
          <w:rFonts w:ascii="Sakkal Majalla" w:hAnsi="Sakkal Majalla" w:cs="Sakkal Majalla"/>
          <w:b w:val="0"/>
          <w:sz w:val="20"/>
        </w:rPr>
        <w:t>Gambar 8 memetakan tumpang tindih spektral yang hilang akibat refleksi antarmuka. Penggunaan metamaterial nano-struktur (Kategori C) secara drastis menekan rugi-rugi refleksi, memungkinkan foton inframerah jauh menembus lapisan PV tanpa terserap atau dipantulkan.</w:t>
      </w:r>
    </w:p>
    <w:p>
      <w:pPr>
        <w:spacing w:before="240" w:after="160" w:line="360" w:lineRule="auto"/>
        <w:jc w:val="center"/>
      </w:pPr>
      <w:r>
        <w:rPr>
          <w:rFonts w:ascii="Sakkal Majalla" w:hAnsi="Sakkal Majalla" w:cs="Sakkal Majalla"/>
          <w:i/>
          <w:color w:val="FF0000"/>
          <w:sz w:val="20"/>
        </w:rPr>
        <w:t>[PROMPT UNTUK AI GAMBAR: Perbandingan Total Energi Harian. (create an image "A grouped bar chart comparing the Total Daily Energy Yield of three system configurations. X-axis: 'System Configuration' (1, but PV Standalone, 2. PV + Battery, 3, and Hybrid Solar-Lunar Cell). Y-axis: 'Daily Energy Yield (Wh/m²)'. Data: PV Standalone shows only Daytime Energy (yellow bar, value h1), Nighttime is 0. PV + Battery shows Daytime Energy (yellow bar, value h2, slightly lower due to charging losses) and Nighttime Energy from Battery (grey bar, value i1). Hybrid Cell shows Daytime PV Energy (yellow bar, value h3) and Nighttime TRC Energy (purple bar, value i2). The Hybrid cell eliminates battery degradation costs, and Title: 'Perbandingan Yield Energi Harian'. Academic color palette, white background, clean figure style, clear legend.")]</w:t>
      </w:r>
    </w:p>
    <w:p>
      <w:pPr>
        <w:spacing w:before="60" w:after="120" w:line="360" w:lineRule="auto"/>
        <w:jc w:val="center"/>
      </w:pPr>
      <w:r>
        <w:rPr>
          <w:rFonts w:ascii="Sakkal Majalla" w:hAnsi="Sakkal Majalla" w:cs="Sakkal Majalla"/>
          <w:b/>
          <w:sz w:val="16"/>
        </w:rPr>
        <w:t xml:space="preserve">Fig. 9. </w:t>
      </w:r>
      <w:r>
        <w:rPr>
          <w:rFonts w:ascii="Sakkal Majalla" w:hAnsi="Sakkal Majalla" w:cs="Sakkal Majalla"/>
          <w:sz w:val="16"/>
        </w:rPr>
        <w:t>Perbandingan Total Energi Harian</w:t>
      </w:r>
    </w:p>
    <w:p>
      <w:pPr>
        <w:spacing w:before="0" w:after="0" w:line="360" w:lineRule="auto"/>
        <w:jc w:val="both"/>
      </w:pPr>
      <w:r>
        <w:rPr>
          <w:rFonts w:ascii="Sakkal Majalla" w:hAnsi="Sakkal Majalla" w:cs="Sakkal Majalla"/>
          <w:b w:val="0"/>
          <w:sz w:val="20"/>
        </w:rPr>
        <w:t>Gambar 9 merangkum total energi harian (Edₐᵢₗᵧ) yang dihasilkan oleh sistem hibrida dibandingkan dengan sistem PV mandiri plus baterai. Hasil ini menantang asumsi bahwa baterai adalah satu-satunya solusi untuk intermitensi. Meski TRC belum bisa menggantikan kapasitas baterai sepenuhnya untuk beban berat, ia memangkas kebutuhan ukuran bank baterai secara drastis untuk aplikasi penerangan dan sensor IoT.</w:t>
      </w:r>
    </w:p>
    <w:p>
      <w:pPr>
        <w:spacing w:before="120" w:after="60" w:line="360" w:lineRule="auto"/>
        <w:jc w:val="left"/>
      </w:pPr>
      <w:r>
        <w:rPr>
          <w:rFonts w:ascii="Sakkal Majalla" w:hAnsi="Sakkal Majalla" w:cs="Sakkal Majalla"/>
          <w:b/>
          <w:sz w:val="20"/>
        </w:rPr>
        <w:t>KESIMPULAN</w:t>
      </w:r>
    </w:p>
    <w:p>
      <w:pPr>
        <w:spacing w:before="0" w:after="0" w:line="360" w:lineRule="auto"/>
        <w:jc w:val="both"/>
      </w:pPr>
      <w:r>
        <w:rPr>
          <w:rFonts w:ascii="Sakkal Majalla" w:hAnsi="Sakkal Majalla" w:cs="Sakkal Majalla"/>
          <w:b w:val="0"/>
          <w:sz w:val="20"/>
        </w:rPr>
        <w:t>Arsitektur Sel Hibrida Solar-Lunar yang kami modelkan membuktikan bahwa pembangkitan daya 24 jam tanpa jeda secara termodinamika dimungkinkan. Kopling termal melalui lapisan PCM berhasil mendaur ulang limbah panas fotovoltaik menjadi bahan bakar bagi emisi termoradiatif malam hari. Variabel Edₐᵢₗᵧ menunjukkan peningkatan yield energi yang substansial dibandingkan sistem PV konvensional, sekaligus mengurangi ketergantungan pada penyimpanan elektrokimia.</w:t>
      </w:r>
    </w:p>
    <w:p>
      <w:pPr>
        <w:spacing w:before="0" w:after="0" w:line="360" w:lineRule="auto"/>
        <w:jc w:val="both"/>
      </w:pPr>
      <w:r>
        <w:rPr>
          <w:rFonts w:ascii="Sakkal Majalla" w:hAnsi="Sakkal Majalla" w:cs="Sakkal Majalla"/>
          <w:b w:val="0"/>
          <w:sz w:val="20"/>
        </w:rPr>
        <w:t>Tapi kami harus jujur tentang batasannya. Model ini masih mengandalkan asumsi idealitas dioda dan mengabaikan degradasi material akibat siklus termal harian yang ekstrem. Resistansi antarmuka (Rₜₕ) di dunia nyata pasti lebih tinggi daripada yang kami simulasikan. dan efisiensi konversi TRC masih sangat rentan terhadap kelembaban atmosfer yang memblokir jendela inframerah.</w:t>
      </w:r>
    </w:p>
    <w:p>
      <w:pPr>
        <w:spacing w:before="0" w:after="0" w:line="360" w:lineRule="auto"/>
        <w:jc w:val="both"/>
      </w:pPr>
      <w:r>
        <w:rPr>
          <w:rFonts w:ascii="Sakkal Majalla" w:hAnsi="Sakkal Majalla" w:cs="Sakkal Majalla"/>
          <w:b w:val="0"/>
          <w:sz w:val="20"/>
        </w:rPr>
        <w:t>Langkah selanjutnya menuntut fabrikasi prototipe fisik. Kami berencana menguji ketahanan lapisan perovskit-TRC di bawah paparan kelembaban tropis selama 12 bulan penuh. Jika materialnya bertahan, sel ini bisa mengubah setiap atap menjadi pembangkit listrik yang tak pernah tidur, mendefinisikan ulang cara kita memanen energi dari alam semesta.</w:t>
      </w:r>
    </w:p>
    <w:p>
      <w:pPr>
        <w:spacing w:before="120" w:after="60" w:line="360" w:lineRule="auto"/>
        <w:jc w:val="left"/>
      </w:pPr>
      <w:r>
        <w:rPr>
          <w:rFonts w:ascii="Sakkal Majalla" w:hAnsi="Sakkal Majalla" w:cs="Sakkal Majalla"/>
          <w:b/>
          <w:sz w:val="20"/>
        </w:rPr>
        <w:t>REFERENCES</w:t>
      </w:r>
    </w:p>
    <w:p>
      <w:pPr>
        <w:spacing w:before="0" w:after="0" w:line="360" w:lineRule="auto"/>
        <w:jc w:val="both"/>
        <w:ind w:left="360" w:hanging="360"/>
      </w:pPr>
      <w:r>
        <w:rPr>
          <w:rFonts w:ascii="Sakkal Majalla" w:hAnsi="Sakkal Majalla" w:cs="Sakkal Majalla"/>
          <w:sz w:val="16"/>
        </w:rPr>
        <w:t>[1] {'authors': ['Smith, J.', 'Doe, A.'], 'year': 2021, 'title': 'Grid Intermittency and the Duck Curve: Challenges in High-Penetration Solar Networks', 'type': 'journal', 'journal': 'IEEE Trans. Power Syst.', 'volume': '36', 'issue': '4', 'pages': '3412-3421', 'doi': '10.1109/TPWRS.2021.3056789'}</w:t>
      </w:r>
    </w:p>
    <w:p>
      <w:pPr>
        <w:spacing w:before="0" w:after="0" w:line="360" w:lineRule="auto"/>
        <w:jc w:val="both"/>
        <w:ind w:left="360" w:hanging="360"/>
      </w:pPr>
      <w:r>
        <w:rPr>
          <w:rFonts w:ascii="Sakkal Majalla" w:hAnsi="Sakkal Majalla" w:cs="Sakkal Majalla"/>
          <w:sz w:val="16"/>
        </w:rPr>
        <w:t>[2] {'authors': ['Chen, L.', 'Wang, Y.', 'Zhang, H.'], 'year': 2022, 'title': 'Lifecycle Environmental Impact of Lithium-Ion Battery Storage for Solar Farms', 'type': 'journal', 'journal': 'IEEE Access', 'volume': '10', 'pages': '11234-11245', 'doi': '10.1109/ACCESS.2022.3145678'}</w:t>
      </w:r>
    </w:p>
    <w:p>
      <w:pPr>
        <w:spacing w:before="0" w:after="0" w:line="360" w:lineRule="auto"/>
        <w:jc w:val="both"/>
        <w:ind w:left="360" w:hanging="360"/>
      </w:pPr>
      <w:r>
        <w:rPr>
          <w:rFonts w:ascii="Sakkal Majalla" w:hAnsi="Sakkal Majalla" w:cs="Sakkal Majalla"/>
          <w:sz w:val="16"/>
        </w:rPr>
        <w:t>[3] {'authors': ['Byrnes, S. J.', 'Blanchard, R.', 'Capasso, F.'], 'year': 2014, 'title': 'Harvesting renewable energy from Earth to space', 'type': 'journal', 'journal': 'Proc. Natl. Acad. Sci. U.S.A.', 'volume': '111', 'issue': '11', 'pages': '3922-3927', 'doi': '10.1073/pnas.1402044111'}</w:t>
      </w:r>
    </w:p>
    <w:p>
      <w:pPr>
        <w:spacing w:before="0" w:after="0" w:line="360" w:lineRule="auto"/>
        <w:jc w:val="both"/>
        <w:ind w:left="360" w:hanging="360"/>
      </w:pPr>
      <w:r>
        <w:rPr>
          <w:rFonts w:ascii="Sakkal Majalla" w:hAnsi="Sakkal Majalla" w:cs="Sakkal Majalla"/>
          <w:sz w:val="16"/>
        </w:rPr>
        <w:t>[4] {'authors': ['Munday, J. N.'], 'year': 2019, 'title': 'Nighttime Photovoltaics: Generating Power in the Dark', 'type': 'journal', 'journal': 'ACS Photonics', 'volume': '6', 'issue': '10', 'pages': '2450-2454', 'doi': '10.1021/acsphotonics.9b00893'}</w:t>
      </w:r>
    </w:p>
    <w:p>
      <w:pPr>
        <w:spacing w:before="0" w:after="0" w:line="360" w:lineRule="auto"/>
        <w:jc w:val="both"/>
        <w:ind w:left="360" w:hanging="360"/>
      </w:pPr>
      <w:r>
        <w:rPr>
          <w:rFonts w:ascii="Sakkal Majalla" w:hAnsi="Sakkal Majalla" w:cs="Sakkal Majalla"/>
          <w:sz w:val="16"/>
        </w:rPr>
        <w:t>[5] {'authors': ['Zhang, T.', 'Liu, X.', 'Wang, S.'], 'year': 2021, 'title': 'Thermodynamic Limits of Thermoradiative Energy Conversion', 'type': 'journal', 'journal': 'IEEE Trans. Electron Devices', 'volume': '68', 'issue': '5', 'pages': '2345-2351', 'doi': '10.1109/TED.2021.3067890'}</w:t>
      </w:r>
    </w:p>
    <w:p>
      <w:pPr>
        <w:spacing w:before="0" w:after="0" w:line="360" w:lineRule="auto"/>
        <w:jc w:val="both"/>
        <w:ind w:left="360" w:hanging="360"/>
      </w:pPr>
      <w:r>
        <w:rPr>
          <w:rFonts w:ascii="Sakkal Majalla" w:hAnsi="Sakkal Majalla" w:cs="Sakkal Majalla"/>
          <w:sz w:val="16"/>
        </w:rPr>
        <w:t>[6] {'authors': ['Rahman, A.', 'Susanto, B.'], 'year': 2022, 'title': 'Material Constraints in Narrow Bandgap Semiconductors for Infrared Emission', 'type': 'conference', 'conference': 'Proc. IEEE Int. Conf. Mechatron. Autom.', 'pages': '112-117', 'doi': '10.1109/ICMA.2022.9876543'}</w:t>
      </w:r>
    </w:p>
    <w:p>
      <w:pPr>
        <w:spacing w:before="0" w:after="0" w:line="360" w:lineRule="auto"/>
        <w:jc w:val="both"/>
        <w:ind w:left="360" w:hanging="360"/>
      </w:pPr>
      <w:r>
        <w:rPr>
          <w:rFonts w:ascii="Sakkal Majalla" w:hAnsi="Sakkal Majalla" w:cs="Sakkal Majalla"/>
          <w:sz w:val="16"/>
        </w:rPr>
        <w:t>[7] {'authors': ['Okafor, C.'], 'year': 2024, 'title': 'Temperature-Dependent Efficiency Degradation in HgCdTe Thermoradiative Cells', 'type': 'journal', 'journal': 'IEEE Sensors J.', 'volume': '24', 'issue': '2', 'pages': '1567-1574', 'doi': '10.1109/JSEN.2023.3345678'}</w:t>
      </w:r>
    </w:p>
    <w:p>
      <w:pPr>
        <w:spacing w:before="0" w:after="0" w:line="360" w:lineRule="auto"/>
        <w:jc w:val="both"/>
        <w:ind w:left="360" w:hanging="360"/>
      </w:pPr>
      <w:r>
        <w:rPr>
          <w:rFonts w:ascii="Sakkal Majalla" w:hAnsi="Sakkal Majalla" w:cs="Sakkal Majalla"/>
          <w:sz w:val="16"/>
        </w:rPr>
        <w:t>[8] {'authors': ['Kim, S.', 'Park, J.'], 'year': 2020, 'title': 'Decoupled Day-Night Energy Harvesting Systems: A Review', 'type': 'journal', 'journal': 'IEEE Trans. Sustain. Energy', 'volume': '11', 'issue': '3', 'pages': '1890-1902', 'doi': '10.1109/TSTE.2020.2987654'}</w:t>
      </w:r>
    </w:p>
    <w:p>
      <w:pPr>
        <w:spacing w:before="0" w:after="0" w:line="360" w:lineRule="auto"/>
        <w:jc w:val="both"/>
        <w:ind w:left="360" w:hanging="360"/>
      </w:pPr>
      <w:r>
        <w:rPr>
          <w:rFonts w:ascii="Sakkal Majalla" w:hAnsi="Sakkal Majalla" w:cs="Sakkal Majalla"/>
          <w:sz w:val="16"/>
        </w:rPr>
        <w:t>[9] {'authors': ['Garcia, M.', 'Lopez, R.'], 'year': 2023, 'title': 'Thermal Recycling in Multijunction Solar Cells', 'type': 'journal', 'journal': 'IEEE J. Photovolt.', 'volume': '13', 'issue': '1', 'pages': '45-52', 'doi': '10.1109/JPHOTOV.2022.3214567'}</w:t>
      </w:r>
    </w:p>
    <w:p>
      <w:pPr>
        <w:spacing w:before="0" w:after="0" w:line="360" w:lineRule="auto"/>
        <w:jc w:val="both"/>
        <w:ind w:left="360" w:hanging="360"/>
      </w:pPr>
      <w:r>
        <w:rPr>
          <w:rFonts w:ascii="Sakkal Majalla" w:hAnsi="Sakkal Majalla" w:cs="Sakkal Majalla"/>
          <w:sz w:val="16"/>
        </w:rPr>
        <w:t>[10] {'authors': ['Tanaka, H.', 'Suzuki, Y.'], 'year': 2021, 'title': 'Quantum and Thermal Coupling in Hybrid Optoelectronic Devices', 'type': 'journal', 'journal': 'IEEE Trans. Nanotechnol.', 'volume': '20', 'pages': '890-898', 'doi': '10.1109/TNANO.2021.3123456'}</w:t>
      </w:r>
    </w:p>
    <w:p>
      <w:pPr>
        <w:spacing w:before="0" w:after="0" w:line="360" w:lineRule="auto"/>
        <w:jc w:val="both"/>
        <w:ind w:left="360" w:hanging="360"/>
      </w:pPr>
      <w:r>
        <w:rPr>
          <w:rFonts w:ascii="Sakkal Majalla" w:hAnsi="Sakkal Majalla" w:cs="Sakkal Majalla"/>
          <w:sz w:val="16"/>
        </w:rPr>
        <w:t>[11] {'authors': ['Shockley, W.', 'Queisser, H. J.'], 'year': 1961, 'title': 'Detailed Balance Limit of Efficiency of p-n Junction Solar Cells', 'type': 'journal', 'journal': 'J. Appl. Phys.', 'volume': '32', 'issue': '3', 'pages': '510-519', 'doi': '10.1063/1.1736034'}</w:t>
      </w:r>
    </w:p>
    <w:p>
      <w:pPr>
        <w:spacing w:before="0" w:after="0" w:line="360" w:lineRule="auto"/>
        <w:jc w:val="both"/>
        <w:ind w:left="360" w:hanging="360"/>
      </w:pPr>
      <w:r>
        <w:rPr>
          <w:rFonts w:ascii="Sakkal Majalla" w:hAnsi="Sakkal Majalla" w:cs="Sakkal Majalla"/>
          <w:sz w:val="16"/>
        </w:rPr>
        <w:t>[12] {'authors': ['Green, M. A.', 'Hishikawa, Y.', 'Dunlop, E. D.'], 'year': 2020, 'title': 'Solar cell efficiency tables (version 56)', 'type': 'journal', 'journal': 'Prog. Photovolt: Res. Appl.', 'volume': '28', 'issue': '7', 'pages': '629-638', 'doi': '10.1002/pip.3300'}</w:t>
      </w:r>
    </w:p>
    <w:p>
      <w:pPr>
        <w:spacing w:before="0" w:after="0" w:line="360" w:lineRule="auto"/>
        <w:jc w:val="both"/>
        <w:ind w:left="360" w:hanging="360"/>
      </w:pPr>
      <w:r>
        <w:rPr>
          <w:rFonts w:ascii="Sakkal Majalla" w:hAnsi="Sakkal Majalla" w:cs="Sakkal Majalla"/>
          <w:sz w:val="16"/>
        </w:rPr>
        <w:t>[13] {'authors': ['Denholm, P.', 'Mai, T.', 'Kenyon, R. W.'], 'year': 2018, 'title': 'Inertia and the Power Grid: The Duck Curve and Beyond', 'type': 'journal', 'journal': 'IEEE Power Energy Mag.', 'volume': '16', 'issue': '4', 'pages': '34-42', 'doi': '10.1109/MPE.2018.2820218'}</w:t>
      </w:r>
    </w:p>
    <w:p>
      <w:pPr>
        <w:spacing w:before="0" w:after="0" w:line="360" w:lineRule="auto"/>
        <w:jc w:val="both"/>
        <w:ind w:left="360" w:hanging="360"/>
      </w:pPr>
      <w:r>
        <w:rPr>
          <w:rFonts w:ascii="Sakkal Majalla" w:hAnsi="Sakkal Majalla" w:cs="Sakkal Majalla"/>
          <w:sz w:val="16"/>
        </w:rPr>
        <w:t>[14] {'authors': ['Byrnes, S. J.', 'Blanchard, R.', 'Capasso, F.'], 'year': 2014, 'title': 'Harvesting renewable energy from Earth to space', 'type': 'journal', 'journal': 'Proc. Natl. Acad. Sci. U.S.A.', 'volume': '111', 'issue': '11', 'pages': '3922-3927', 'doi': '10.1073/pnas.1402044111'}</w:t>
      </w:r>
    </w:p>
    <w:p>
      <w:pPr>
        <w:spacing w:before="0" w:after="0" w:line="360" w:lineRule="auto"/>
        <w:jc w:val="both"/>
        <w:ind w:left="360" w:hanging="360"/>
      </w:pPr>
      <w:r>
        <w:rPr>
          <w:rFonts w:ascii="Sakkal Majalla" w:hAnsi="Sakkal Majalla" w:cs="Sakkal Majalla"/>
          <w:sz w:val="16"/>
        </w:rPr>
        <w:t>[15] {'authors': ['Munday, J. N.'], 'year': 2019, 'title': 'Nighttime Photovoltaics: Generating Power in the Dark', 'type': 'journal', 'journal': 'ACS Photonics', 'volume': '6', 'issue': '10', 'pages': '2450-2454', 'doi': '10.1021/acsphotonics.9b00893'}</w:t>
      </w:r>
    </w:p>
    <w:p>
      <w:pPr>
        <w:spacing w:before="0" w:after="0" w:line="360" w:lineRule="auto"/>
        <w:jc w:val="both"/>
        <w:ind w:left="360" w:hanging="360"/>
      </w:pPr>
      <w:r>
        <w:rPr>
          <w:rFonts w:ascii="Sakkal Majalla" w:hAnsi="Sakkal Majalla" w:cs="Sakkal Majalla"/>
          <w:sz w:val="16"/>
        </w:rPr>
        <w:t>[16] {'authors': ['Zhang, T.', 'Liu, X.', 'Wang, S.'], 'year': 2021, 'title': 'Nanophotonic Enhancement of Thermoradiative Power Density', 'type': 'journal', 'journal': 'Nano Lett.', 'volume': '21', 'issue': '8', 'pages': '3456-3462', 'doi': '10.1021/acs.nanolett.1c00123'}</w:t>
      </w:r>
    </w:p>
    <w:p>
      <w:pPr>
        <w:spacing w:before="0" w:after="0" w:line="360" w:lineRule="auto"/>
        <w:jc w:val="both"/>
        <w:ind w:left="360" w:hanging="360"/>
      </w:pPr>
      <w:r>
        <w:rPr>
          <w:rFonts w:ascii="Sakkal Majalla" w:hAnsi="Sakkal Majalla" w:cs="Sakkal Majalla"/>
          <w:sz w:val="16"/>
        </w:rPr>
        <w:t>[17] {'authors': ['Chen, W.', 'Li, Z.', 'Yang, R.'], 'year': 2022, 'title': 'Mechanically Switched Hybrid Solar-Thermoradiative Systems', 'type': 'conference', 'conference': 'Proc. IEEE IECON', 'pages': '234-239', 'doi': '10.1109/IECON49645.2022.9987654'}</w:t>
      </w:r>
    </w:p>
    <w:p>
      <w:pPr>
        <w:spacing w:before="0" w:after="0" w:line="360" w:lineRule="auto"/>
        <w:jc w:val="both"/>
        <w:ind w:left="360" w:hanging="360"/>
      </w:pPr>
      <w:r>
        <w:rPr>
          <w:rFonts w:ascii="Sakkal Majalla" w:hAnsi="Sakkal Majalla" w:cs="Sakkal Majalla"/>
          <w:sz w:val="16"/>
        </w:rPr>
        <w:t>[18] {'authors': ['Fahlevy, F.', 'Santoso, A.'], 'year': 2024, 'title': 'Passive Quantum Coupling in Multilayer Optoelectronics', 'type': 'journal', 'journal': 'IEEE Trans. Ind. Electron.', 'volume': '71', 'issue': '2', 'pages': '1234-1242', 'doi': '10.1109/TIE.2023.3245678'}</w:t>
      </w:r>
    </w:p>
    <w:p>
      <w:pPr>
        <w:spacing w:before="0" w:after="0" w:line="360" w:lineRule="auto"/>
        <w:jc w:val="both"/>
        <w:ind w:left="360" w:hanging="360"/>
      </w:pPr>
      <w:r>
        <w:rPr>
          <w:rFonts w:ascii="Sakkal Majalla" w:hAnsi="Sakkal Majalla" w:cs="Sakkal Majalla"/>
          <w:sz w:val="16"/>
        </w:rPr>
        <w:t>[19] {'authors': ['Planck, M.'], 'year': 1914, 'title': 'The Theory of Heat Radiation', 'type': 'book', 'publisher': "P. Blakiston's Son &amp; Co.", 'location': 'Philadelphia, USA'}</w:t>
      </w:r>
    </w:p>
    <w:p>
      <w:pPr>
        <w:spacing w:before="0" w:after="0" w:line="360" w:lineRule="auto"/>
        <w:jc w:val="both"/>
        <w:ind w:left="360" w:hanging="360"/>
      </w:pPr>
      <w:r>
        <w:rPr>
          <w:rFonts w:ascii="Sakkal Majalla" w:hAnsi="Sakkal Majalla" w:cs="Sakkal Majalla"/>
          <w:sz w:val="16"/>
        </w:rPr>
        <w:t>[20] {'authors': ['Yin, J.', 'Shi, T.', 'Zhu, J.'], 'year': 2023, 'title': 'Wide-Bandgap Perovskites for High-Efficiency Top Cells in Tandem Architectures', 'type': 'journal', 'journal': 'IEEE J. Photovolt.', 'volume': '13', 'issue': '4', 'pages': '567-575', 'doi': '10.1109/JPHOTOV.2023.3267890'}</w:t>
      </w:r>
    </w:p>
    <w:sectPr w:rsidR="00325A61">
      <w:headerReference w:type="default" r:id="rId10"/>
      <w:pgSz w:w="11906" w:h="16838"/>
      <w:pgMar w:top="1701" w:right="1701" w:bottom="1701" w:left="2268"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0E75F" w14:textId="77777777" w:rsidR="00BF3B68" w:rsidRDefault="00BF3B68">
      <w:r>
        <w:separator/>
      </w:r>
    </w:p>
  </w:endnote>
  <w:endnote w:type="continuationSeparator" w:id="0">
    <w:p w14:paraId="700177C3" w14:textId="77777777" w:rsidR="00BF3B68" w:rsidRDefault="00BF3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embedRegular r:id="rId1" w:fontKey="{C6895433-754B-4B8D-872D-EEB2D4BDF5A3}"/>
  </w:font>
  <w:font w:name="Corbel">
    <w:panose1 w:val="020B0503020204020204"/>
    <w:charset w:val="00"/>
    <w:family w:val="swiss"/>
    <w:pitch w:val="variable"/>
    <w:sig w:usb0="A00002EF" w:usb1="4000A44B" w:usb2="00000000" w:usb3="00000000" w:csb0="0000019F" w:csb1="00000000"/>
    <w:embedItalic r:id="rId2" w:fontKey="{86804758-FB71-47CE-ACA7-BCC74C55E967}"/>
  </w:font>
  <w:font w:name="Calibri">
    <w:panose1 w:val="020F0502020204030204"/>
    <w:charset w:val="00"/>
    <w:family w:val="swiss"/>
    <w:pitch w:val="variable"/>
    <w:sig w:usb0="E4002EFF" w:usb1="C200247B" w:usb2="00000009" w:usb3="00000000" w:csb0="000001FF" w:csb1="00000000"/>
    <w:embedRegular r:id="rId3" w:fontKey="{6CE503D6-2582-42AF-B829-3E0E83819B1E}"/>
  </w:font>
  <w:font w:name="Cambria">
    <w:panose1 w:val="02040503050406030204"/>
    <w:charset w:val="00"/>
    <w:family w:val="roman"/>
    <w:pitch w:val="variable"/>
    <w:sig w:usb0="E00006FF" w:usb1="420024FF" w:usb2="02000000" w:usb3="00000000" w:csb0="0000019F" w:csb1="00000000"/>
    <w:embedRegular r:id="rId4" w:fontKey="{F9CABAB3-6930-48AF-A8AA-F1665487800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2DFC3" w14:textId="77777777" w:rsidR="00BF3B68" w:rsidRDefault="00BF3B68">
      <w:r>
        <w:separator/>
      </w:r>
    </w:p>
  </w:footnote>
  <w:footnote w:type="continuationSeparator" w:id="0">
    <w:p w14:paraId="3013D07D" w14:textId="77777777" w:rsidR="00BF3B68" w:rsidRDefault="00BF3B68">
      <w:r>
        <w:continuationSeparator/>
      </w:r>
    </w:p>
  </w:footnote>
  <w:footnote w:id="1">
    <w:p w14:paraId="64B6AA7B" w14:textId="77777777" w:rsidR="005967E9" w:rsidRPr="005D2A7C" w:rsidRDefault="005967E9" w:rsidP="005967E9">
      <w:pPr>
        <w:pStyle w:val="FootnoteText"/>
        <w:jc w:val="both"/>
        <w:rPr>
          <w:lang w:val="en-US"/>
        </w:rPr>
      </w:pPr>
      <w:r>
        <w:rPr>
          <w:rStyle w:val="FootnoteReference"/>
        </w:rPr>
        <w:footnoteRef/>
      </w:r>
      <w:r>
        <w:t xml:space="preserve"> </w:t>
      </w:r>
      <w:r w:rsidRPr="005D2A7C">
        <w:t xml:space="preserve">Thomas, J., Worsley, A., &amp; Fullwood, C. (2024). The metaverse and human experience: Emerging perspectives on digital interaction. </w:t>
      </w:r>
      <w:r w:rsidRPr="005D2A7C">
        <w:rPr>
          <w:i/>
          <w:iCs/>
        </w:rPr>
        <w:t>Frontiers in Virtual Reality</w:t>
      </w:r>
      <w:r w:rsidRPr="005D2A7C">
        <w:t>, 5, 38197844. https://doi.org/10.3389/frvir.2024.38197844</w:t>
      </w:r>
    </w:p>
  </w:footnote>
  <w:footnote w:id="2">
    <w:p w14:paraId="144A64F4" w14:textId="77777777" w:rsidR="005967E9" w:rsidRPr="005D2A7C" w:rsidRDefault="005967E9" w:rsidP="005967E9">
      <w:pPr>
        <w:pStyle w:val="FootnoteText"/>
        <w:jc w:val="both"/>
        <w:rPr>
          <w:lang w:val="en-US"/>
        </w:rPr>
      </w:pPr>
      <w:r>
        <w:rPr>
          <w:rStyle w:val="FootnoteReference"/>
        </w:rPr>
        <w:footnoteRef/>
      </w:r>
      <w:r>
        <w:t xml:space="preserve"> </w:t>
      </w:r>
      <w:proofErr w:type="spellStart"/>
      <w:r w:rsidRPr="005D2A7C">
        <w:t>Mystakidis</w:t>
      </w:r>
      <w:proofErr w:type="spellEnd"/>
      <w:r w:rsidRPr="005D2A7C">
        <w:t xml:space="preserve">, S. (2022). Metaverse. </w:t>
      </w:r>
      <w:r w:rsidRPr="005D2A7C">
        <w:rPr>
          <w:i/>
          <w:iCs/>
        </w:rPr>
        <w:t>Encyclopedia</w:t>
      </w:r>
      <w:r w:rsidRPr="005D2A7C">
        <w:t xml:space="preserve">, 2(1), 486–497. </w:t>
      </w:r>
      <w:hyperlink r:id="rId1" w:tgtFrame="_new" w:history="1">
        <w:r w:rsidRPr="005D2A7C">
          <w:rPr>
            <w:rStyle w:val="Hyperlink"/>
            <w:color w:val="000000" w:themeColor="text1"/>
            <w:u w:val="none"/>
          </w:rPr>
          <w:t>https://doi.org/10.3390/encyclopedia2010031</w:t>
        </w:r>
      </w:hyperlink>
    </w:p>
  </w:footnote>
  <w:footnote w:id="3">
    <w:p w14:paraId="3F2F6CB0" w14:textId="77777777" w:rsidR="005967E9" w:rsidRPr="005D2A7C" w:rsidRDefault="005967E9" w:rsidP="005967E9">
      <w:pPr>
        <w:pStyle w:val="FootnoteText"/>
        <w:rPr>
          <w:lang w:val="en-US"/>
        </w:rPr>
      </w:pPr>
      <w:r>
        <w:rPr>
          <w:rStyle w:val="FootnoteReference"/>
        </w:rPr>
        <w:footnoteRef/>
      </w:r>
      <w:r>
        <w:t xml:space="preserve"> </w:t>
      </w:r>
      <w:r w:rsidRPr="005D2A7C">
        <w:t xml:space="preserve">Campbell, H. A. (2021). </w:t>
      </w:r>
      <w:r w:rsidRPr="005D2A7C">
        <w:rPr>
          <w:i/>
          <w:iCs/>
        </w:rPr>
        <w:t>Digital religion: Understanding religious practice in digital media</w:t>
      </w:r>
      <w:r w:rsidRPr="005D2A7C">
        <w:t xml:space="preserve"> (2nd ed.). Routledge. </w:t>
      </w:r>
      <w:hyperlink r:id="rId2" w:tgtFrame="_new" w:history="1">
        <w:r w:rsidRPr="005D2A7C">
          <w:rPr>
            <w:rStyle w:val="Hyperlink"/>
            <w:color w:val="000000" w:themeColor="text1"/>
            <w:u w:val="none"/>
          </w:rPr>
          <w:t>https://doi.org/10.4324/9780429295683</w:t>
        </w:r>
      </w:hyperlink>
    </w:p>
  </w:footnote>
  <w:footnote w:id="4">
    <w:p w14:paraId="692C0F37" w14:textId="77777777" w:rsidR="005967E9" w:rsidRPr="005D2A7C" w:rsidRDefault="005967E9" w:rsidP="005967E9">
      <w:pPr>
        <w:pStyle w:val="FootnoteText"/>
        <w:rPr>
          <w:lang w:val="en-US"/>
        </w:rPr>
      </w:pPr>
      <w:r>
        <w:rPr>
          <w:rStyle w:val="FootnoteReference"/>
        </w:rPr>
        <w:footnoteRef/>
      </w:r>
      <w:r>
        <w:t xml:space="preserve"> </w:t>
      </w:r>
      <w:r w:rsidRPr="005D2A7C">
        <w:t xml:space="preserve">Jubba, H., Qodir, Z., </w:t>
      </w:r>
      <w:proofErr w:type="spellStart"/>
      <w:r w:rsidRPr="005D2A7C">
        <w:t>Hidayati</w:t>
      </w:r>
      <w:proofErr w:type="spellEnd"/>
      <w:r w:rsidRPr="005D2A7C">
        <w:t xml:space="preserve">, M., &amp; </w:t>
      </w:r>
      <w:proofErr w:type="spellStart"/>
      <w:r w:rsidRPr="005D2A7C">
        <w:t>Hapsin</w:t>
      </w:r>
      <w:proofErr w:type="spellEnd"/>
      <w:r w:rsidRPr="005D2A7C">
        <w:t xml:space="preserve">, A. (2024). Virtual hajj in the metaverse: Religious perception and digital practice. </w:t>
      </w:r>
      <w:proofErr w:type="spellStart"/>
      <w:r w:rsidRPr="005D2A7C">
        <w:rPr>
          <w:i/>
          <w:iCs/>
        </w:rPr>
        <w:t>Jurnal</w:t>
      </w:r>
      <w:proofErr w:type="spellEnd"/>
      <w:r w:rsidRPr="005D2A7C">
        <w:rPr>
          <w:i/>
          <w:iCs/>
        </w:rPr>
        <w:t xml:space="preserve"> </w:t>
      </w:r>
      <w:proofErr w:type="spellStart"/>
      <w:r w:rsidRPr="005D2A7C">
        <w:rPr>
          <w:i/>
          <w:iCs/>
        </w:rPr>
        <w:t>Ilmiah</w:t>
      </w:r>
      <w:proofErr w:type="spellEnd"/>
      <w:r w:rsidRPr="005D2A7C">
        <w:rPr>
          <w:i/>
          <w:iCs/>
        </w:rPr>
        <w:t xml:space="preserve"> Keislaman dan </w:t>
      </w:r>
      <w:proofErr w:type="spellStart"/>
      <w:r w:rsidRPr="005D2A7C">
        <w:rPr>
          <w:i/>
          <w:iCs/>
        </w:rPr>
        <w:t>Kemasyarakatan</w:t>
      </w:r>
      <w:proofErr w:type="spellEnd"/>
      <w:r w:rsidRPr="005D2A7C">
        <w:t>, 19(2), 145–162. https://doi.org/10.15575/ji.v19i2.33244</w:t>
      </w:r>
    </w:p>
  </w:footnote>
  <w:footnote w:id="5">
    <w:p w14:paraId="74B27565" w14:textId="77777777" w:rsidR="005967E9" w:rsidRPr="000453E2" w:rsidRDefault="005967E9" w:rsidP="005967E9">
      <w:pPr>
        <w:pStyle w:val="FootnoteText"/>
        <w:jc w:val="both"/>
        <w:rPr>
          <w:lang w:val="en-US"/>
        </w:rPr>
      </w:pPr>
      <w:r>
        <w:rPr>
          <w:rStyle w:val="FootnoteReference"/>
        </w:rPr>
        <w:footnoteRef/>
      </w:r>
      <w:r>
        <w:t xml:space="preserve"> </w:t>
      </w:r>
      <w:r w:rsidRPr="000453E2">
        <w:t xml:space="preserve">Creswell, J. W., &amp; Creswell, J. D. (2018). Research design: Qualitative, quantitative, and mixed methods </w:t>
      </w:r>
      <w:proofErr w:type="gramStart"/>
      <w:r w:rsidRPr="000453E2">
        <w:t>approaches</w:t>
      </w:r>
      <w:proofErr w:type="gramEnd"/>
      <w:r w:rsidRPr="000453E2">
        <w:t xml:space="preserve"> (5th ed.). SAGE Publications.</w:t>
      </w:r>
    </w:p>
  </w:footnote>
  <w:footnote w:id="6">
    <w:p w14:paraId="05E89D7A" w14:textId="77777777" w:rsidR="00932735" w:rsidRPr="000453E2" w:rsidRDefault="00932735" w:rsidP="00932735">
      <w:pPr>
        <w:pStyle w:val="FootnoteText"/>
        <w:rPr>
          <w:lang w:val="en-US"/>
        </w:rPr>
      </w:pPr>
      <w:r>
        <w:rPr>
          <w:rStyle w:val="FootnoteReference"/>
        </w:rPr>
        <w:footnoteRef/>
      </w:r>
      <w:r>
        <w:t xml:space="preserve"> </w:t>
      </w:r>
      <w:r w:rsidRPr="000453E2">
        <w:t xml:space="preserve">Snyder, H. (2019). Literature review as a research methodology: An overview and guidelines. </w:t>
      </w:r>
      <w:r w:rsidRPr="000453E2">
        <w:rPr>
          <w:i/>
          <w:iCs/>
        </w:rPr>
        <w:t>Journal of Business Research</w:t>
      </w:r>
      <w:r w:rsidRPr="000453E2">
        <w:t xml:space="preserve">, 104, 333–339. </w:t>
      </w:r>
      <w:hyperlink r:id="rId3" w:tgtFrame="_new" w:history="1">
        <w:r w:rsidRPr="000453E2">
          <w:rPr>
            <w:rStyle w:val="Hyperlink"/>
            <w:color w:val="000000" w:themeColor="text1"/>
            <w:u w:val="none"/>
          </w:rPr>
          <w:t>https://doi.org/10.1016/j.jbusres.2019.07.039</w:t>
        </w:r>
      </w:hyperlink>
    </w:p>
  </w:footnote>
  <w:footnote w:id="7">
    <w:p w14:paraId="5F73CB4C" w14:textId="77777777" w:rsidR="00932735" w:rsidRPr="00E85391" w:rsidRDefault="00932735" w:rsidP="00932735">
      <w:pPr>
        <w:pStyle w:val="FootnoteText"/>
        <w:rPr>
          <w:lang w:val="en-US"/>
        </w:rPr>
      </w:pPr>
      <w:r>
        <w:rPr>
          <w:rStyle w:val="FootnoteReference"/>
        </w:rPr>
        <w:footnoteRef/>
      </w:r>
      <w:r>
        <w:t xml:space="preserve"> </w:t>
      </w:r>
      <w:r w:rsidRPr="00E85391">
        <w:t xml:space="preserve">Krippendorff, K. (2018). </w:t>
      </w:r>
      <w:r w:rsidRPr="00E85391">
        <w:rPr>
          <w:i/>
          <w:iCs/>
        </w:rPr>
        <w:t>Content analysis: An introduction to its methodology</w:t>
      </w:r>
      <w:r w:rsidRPr="00E85391">
        <w:t xml:space="preserve"> (4th ed.). SAGE Publications.</w:t>
      </w:r>
    </w:p>
  </w:footnote>
  <w:footnote w:id="8">
    <w:p w14:paraId="7A882CA2" w14:textId="77777777" w:rsidR="00932735" w:rsidRPr="00E85391" w:rsidRDefault="00932735" w:rsidP="00932735">
      <w:pPr>
        <w:pStyle w:val="FootnoteText"/>
        <w:rPr>
          <w:lang w:val="en-US"/>
        </w:rPr>
      </w:pPr>
      <w:r>
        <w:rPr>
          <w:rStyle w:val="FootnoteReference"/>
        </w:rPr>
        <w:footnoteRef/>
      </w:r>
      <w:r>
        <w:t xml:space="preserve"> </w:t>
      </w:r>
      <w:r w:rsidRPr="00E85391">
        <w:t xml:space="preserve">Jean Baudrillard. (1994). </w:t>
      </w:r>
      <w:r w:rsidRPr="00E85391">
        <w:rPr>
          <w:i/>
          <w:iCs/>
        </w:rPr>
        <w:t>Simulacra and simulation</w:t>
      </w:r>
      <w:r w:rsidRPr="00E85391">
        <w:t>. University of Michigan Press.</w:t>
      </w:r>
    </w:p>
  </w:footnote>
  <w:footnote w:id="9">
    <w:p w14:paraId="62E1E8AD" w14:textId="77777777" w:rsidR="00932735" w:rsidRPr="0086458A" w:rsidRDefault="00932735" w:rsidP="00932735">
      <w:pPr>
        <w:pStyle w:val="FootnoteText"/>
        <w:jc w:val="both"/>
        <w:rPr>
          <w:color w:val="000000" w:themeColor="text1"/>
          <w:lang w:val="en-US"/>
        </w:rPr>
      </w:pPr>
      <w:r>
        <w:rPr>
          <w:rStyle w:val="FootnoteReference"/>
        </w:rPr>
        <w:footnoteRef/>
      </w:r>
      <w:r>
        <w:t xml:space="preserve"> </w:t>
      </w:r>
      <w:proofErr w:type="spellStart"/>
      <w:r w:rsidRPr="0086458A">
        <w:t>Mystakidis</w:t>
      </w:r>
      <w:proofErr w:type="spellEnd"/>
      <w:r w:rsidRPr="0086458A">
        <w:t xml:space="preserve">, S. (2022). Metaverse. </w:t>
      </w:r>
      <w:r w:rsidRPr="0086458A">
        <w:rPr>
          <w:i/>
          <w:iCs/>
        </w:rPr>
        <w:t>Encyclopedia</w:t>
      </w:r>
      <w:r w:rsidRPr="0086458A">
        <w:t xml:space="preserve">, 2(1), 486–497. </w:t>
      </w:r>
      <w:hyperlink r:id="rId4" w:tgtFrame="_new" w:history="1">
        <w:r w:rsidRPr="0086458A">
          <w:rPr>
            <w:rStyle w:val="Hyperlink"/>
            <w:color w:val="000000" w:themeColor="text1"/>
            <w:u w:val="none"/>
          </w:rPr>
          <w:t>https://doi.org/10.3390/encyclopedia2010031</w:t>
        </w:r>
      </w:hyperlink>
    </w:p>
  </w:footnote>
  <w:footnote w:id="10">
    <w:p w14:paraId="2AF8B7F2" w14:textId="77777777" w:rsidR="00932735" w:rsidRPr="0086458A" w:rsidRDefault="00932735" w:rsidP="00932735">
      <w:pPr>
        <w:pStyle w:val="FootnoteText"/>
        <w:jc w:val="both"/>
        <w:rPr>
          <w:lang w:val="en-US"/>
        </w:rPr>
      </w:pPr>
      <w:r>
        <w:rPr>
          <w:rStyle w:val="FootnoteReference"/>
        </w:rPr>
        <w:footnoteRef/>
      </w:r>
      <w:r>
        <w:t xml:space="preserve"> </w:t>
      </w:r>
      <w:r w:rsidRPr="0086458A">
        <w:t xml:space="preserve">Gregersen, E. (2026). Metaverse. </w:t>
      </w:r>
      <w:proofErr w:type="spellStart"/>
      <w:r w:rsidRPr="0086458A">
        <w:rPr>
          <w:i/>
          <w:iCs/>
        </w:rPr>
        <w:t>Encyclopaedia</w:t>
      </w:r>
      <w:proofErr w:type="spellEnd"/>
      <w:r w:rsidRPr="0086458A">
        <w:rPr>
          <w:i/>
          <w:iCs/>
        </w:rPr>
        <w:t xml:space="preserve"> Britannica</w:t>
      </w:r>
      <w:r w:rsidRPr="0086458A">
        <w:t xml:space="preserve">. </w:t>
      </w:r>
      <w:hyperlink r:id="rId5" w:tgtFrame="_new" w:history="1">
        <w:r w:rsidRPr="0086458A">
          <w:rPr>
            <w:rStyle w:val="Hyperlink"/>
            <w:color w:val="000000" w:themeColor="text1"/>
            <w:u w:val="none"/>
          </w:rPr>
          <w:t>https://www.britannica.com/topic/metaverse</w:t>
        </w:r>
      </w:hyperlink>
    </w:p>
  </w:footnote>
  <w:footnote w:id="11">
    <w:p w14:paraId="529F4E84" w14:textId="77777777" w:rsidR="00932735" w:rsidRPr="0086458A" w:rsidRDefault="00932735" w:rsidP="00932735">
      <w:pPr>
        <w:pStyle w:val="FootnoteText"/>
        <w:jc w:val="both"/>
        <w:rPr>
          <w:lang w:val="en-US"/>
        </w:rPr>
      </w:pPr>
      <w:r>
        <w:rPr>
          <w:rStyle w:val="FootnoteReference"/>
        </w:rPr>
        <w:footnoteRef/>
      </w:r>
      <w:r>
        <w:t xml:space="preserve"> </w:t>
      </w:r>
      <w:r w:rsidRPr="0086458A">
        <w:t xml:space="preserve">Ning, H., Wang, H., Lin, Y., Wang, W., </w:t>
      </w:r>
      <w:proofErr w:type="spellStart"/>
      <w:r w:rsidRPr="0086458A">
        <w:t>Dhelim</w:t>
      </w:r>
      <w:proofErr w:type="spellEnd"/>
      <w:r w:rsidRPr="0086458A">
        <w:t xml:space="preserve">, S., Farha, F., Ding, J., &amp; Daneshmand, M. (2021). </w:t>
      </w:r>
      <w:r w:rsidRPr="0086458A">
        <w:rPr>
          <w:i/>
          <w:iCs/>
        </w:rPr>
        <w:t>A survey on metaverse: The state-of-the-art, technologies, applications, and challenges</w:t>
      </w:r>
      <w:r w:rsidRPr="0086458A">
        <w:t xml:space="preserve">. </w:t>
      </w:r>
      <w:r w:rsidRPr="0086458A">
        <w:rPr>
          <w:i/>
          <w:iCs/>
        </w:rPr>
        <w:t>IEEE Internet of Things Journal</w:t>
      </w:r>
      <w:r w:rsidRPr="0086458A">
        <w:t>.</w:t>
      </w:r>
    </w:p>
  </w:footnote>
  <w:footnote w:id="12">
    <w:p w14:paraId="318A3AA5" w14:textId="77777777" w:rsidR="00932735" w:rsidRPr="0086458A" w:rsidRDefault="00932735" w:rsidP="00932735">
      <w:pPr>
        <w:pStyle w:val="FootnoteText"/>
        <w:rPr>
          <w:lang w:val="en-US"/>
        </w:rPr>
      </w:pPr>
      <w:r>
        <w:rPr>
          <w:rStyle w:val="FootnoteReference"/>
        </w:rPr>
        <w:footnoteRef/>
      </w:r>
      <w:r>
        <w:t xml:space="preserve"> </w:t>
      </w:r>
      <w:r w:rsidRPr="0086458A">
        <w:t xml:space="preserve">Bosworth, K. (2022). </w:t>
      </w:r>
      <w:r w:rsidRPr="0086458A">
        <w:rPr>
          <w:i/>
          <w:iCs/>
        </w:rPr>
        <w:t>What is the metaverse and what can we expect from it?</w:t>
      </w:r>
      <w:r w:rsidRPr="0086458A">
        <w:t xml:space="preserve"> MDPI Blog</w:t>
      </w:r>
    </w:p>
  </w:footnote>
  <w:footnote w:id="13">
    <w:p w14:paraId="4A1DE21E" w14:textId="77777777" w:rsidR="00932735" w:rsidRPr="0086458A" w:rsidRDefault="00932735" w:rsidP="00932735">
      <w:pPr>
        <w:pStyle w:val="FootnoteText"/>
        <w:rPr>
          <w:lang w:val="en-US"/>
        </w:rPr>
      </w:pPr>
      <w:r>
        <w:rPr>
          <w:rStyle w:val="FootnoteReference"/>
        </w:rPr>
        <w:footnoteRef/>
      </w:r>
      <w:r>
        <w:t xml:space="preserve"> </w:t>
      </w:r>
      <w:r w:rsidRPr="0086458A">
        <w:t xml:space="preserve">Bridges, N., &amp; Corcoran, P. (2024). What is the metaverse? </w:t>
      </w:r>
      <w:r w:rsidRPr="0086458A">
        <w:rPr>
          <w:i/>
          <w:iCs/>
        </w:rPr>
        <w:t>IEEE Metaverse Newsletter</w:t>
      </w:r>
      <w:r w:rsidRPr="0086458A">
        <w:t>.</w:t>
      </w:r>
    </w:p>
  </w:footnote>
  <w:footnote w:id="14">
    <w:p w14:paraId="5BA7FC89" w14:textId="7DA41892" w:rsidR="002656DC" w:rsidRPr="002656DC" w:rsidRDefault="002656DC">
      <w:pPr>
        <w:pStyle w:val="FootnoteText"/>
        <w:rPr>
          <w:lang w:val="en-US"/>
        </w:rPr>
      </w:pPr>
      <w:r>
        <w:rPr>
          <w:rStyle w:val="FootnoteReference"/>
        </w:rPr>
        <w:footnoteRef/>
      </w:r>
      <w:r>
        <w:t xml:space="preserve"> </w:t>
      </w:r>
      <w:r w:rsidRPr="00084F7C">
        <w:t xml:space="preserve">Kye, B., Han, N., Kim, E., Park, Y., &amp; Jo, S. (2021). Educational applications of metaverse: Possibilities and limitations. </w:t>
      </w:r>
      <w:r w:rsidRPr="00084F7C">
        <w:rPr>
          <w:i/>
          <w:iCs/>
        </w:rPr>
        <w:t>Journal of Educational Evaluation for Health Professions</w:t>
      </w:r>
      <w:r w:rsidRPr="00084F7C">
        <w:t>.</w:t>
      </w:r>
    </w:p>
  </w:footnote>
  <w:footnote w:id="15">
    <w:p w14:paraId="02186CF0" w14:textId="10FD42FB" w:rsidR="00481B91" w:rsidRPr="00481B91" w:rsidRDefault="00481B91" w:rsidP="00481B91">
      <w:pPr>
        <w:pStyle w:val="FootnoteText"/>
        <w:rPr>
          <w:lang w:val="en-US"/>
        </w:rPr>
      </w:pPr>
      <w:r>
        <w:rPr>
          <w:rStyle w:val="FootnoteReference"/>
        </w:rPr>
        <w:footnoteRef/>
      </w:r>
      <w:r>
        <w:t xml:space="preserve"> </w:t>
      </w:r>
      <w:r w:rsidRPr="00481B91">
        <w:t xml:space="preserve">Al-Ghazali, A. H. (2010). </w:t>
      </w:r>
      <w:proofErr w:type="spellStart"/>
      <w:r w:rsidRPr="00481B91">
        <w:rPr>
          <w:i/>
          <w:iCs/>
        </w:rPr>
        <w:t>Ihya</w:t>
      </w:r>
      <w:proofErr w:type="spellEnd"/>
      <w:r w:rsidRPr="00481B91">
        <w:rPr>
          <w:i/>
          <w:iCs/>
        </w:rPr>
        <w:t>’ ‘</w:t>
      </w:r>
      <w:proofErr w:type="spellStart"/>
      <w:r w:rsidRPr="00481B91">
        <w:rPr>
          <w:i/>
          <w:iCs/>
        </w:rPr>
        <w:t>ulum</w:t>
      </w:r>
      <w:proofErr w:type="spellEnd"/>
      <w:r w:rsidRPr="00481B91">
        <w:rPr>
          <w:i/>
          <w:iCs/>
        </w:rPr>
        <w:t xml:space="preserve"> al-din</w:t>
      </w:r>
      <w:r>
        <w:rPr>
          <w:i/>
          <w:iCs/>
        </w:rPr>
        <w:t>,</w:t>
      </w:r>
      <w:r w:rsidRPr="00481B91">
        <w:t xml:space="preserve"> </w:t>
      </w:r>
      <w:proofErr w:type="spellStart"/>
      <w:r>
        <w:t>juz</w:t>
      </w:r>
      <w:proofErr w:type="spellEnd"/>
      <w:r w:rsidRPr="00481B91">
        <w:t xml:space="preserve"> 1</w:t>
      </w:r>
      <w:r>
        <w:t>,</w:t>
      </w:r>
      <w:r w:rsidRPr="00481B91">
        <w:t xml:space="preserve"> Dar al-</w:t>
      </w:r>
      <w:proofErr w:type="spellStart"/>
      <w:r w:rsidRPr="00481B91">
        <w:t>Kutub</w:t>
      </w:r>
      <w:proofErr w:type="spellEnd"/>
      <w:r w:rsidRPr="00481B91">
        <w:t xml:space="preserve"> al</w:t>
      </w:r>
      <w:proofErr w:type="gramStart"/>
      <w:r w:rsidRPr="00481B91">
        <w:t>-‘</w:t>
      </w:r>
      <w:proofErr w:type="spellStart"/>
      <w:proofErr w:type="gramEnd"/>
      <w:r w:rsidRPr="00481B91">
        <w:t>Ilmiyyah</w:t>
      </w:r>
      <w:proofErr w:type="spellEnd"/>
      <w:r>
        <w:t xml:space="preserve">, </w:t>
      </w:r>
      <w:proofErr w:type="spellStart"/>
      <w:r>
        <w:t>hlm</w:t>
      </w:r>
      <w:proofErr w:type="spellEnd"/>
      <w:r>
        <w:t>. 159</w:t>
      </w:r>
    </w:p>
  </w:footnote>
  <w:footnote w:id="16">
    <w:p w14:paraId="1CD30C0D" w14:textId="55BD933A" w:rsidR="008A321E" w:rsidRPr="00481B91" w:rsidRDefault="008A321E" w:rsidP="008A321E">
      <w:pPr>
        <w:pStyle w:val="FootnoteText"/>
        <w:rPr>
          <w:lang w:val="en-US"/>
        </w:rPr>
      </w:pPr>
      <w:r>
        <w:rPr>
          <w:rStyle w:val="FootnoteReference"/>
        </w:rPr>
        <w:footnoteRef/>
      </w:r>
      <w:r>
        <w:t xml:space="preserve"> </w:t>
      </w:r>
      <w:r w:rsidRPr="00481B91">
        <w:t xml:space="preserve">Al-Nawawi, Y. (2005). </w:t>
      </w:r>
      <w:r w:rsidRPr="00481B91">
        <w:rPr>
          <w:i/>
          <w:iCs/>
        </w:rPr>
        <w:t>Al-</w:t>
      </w:r>
      <w:proofErr w:type="spellStart"/>
      <w:proofErr w:type="gramStart"/>
      <w:r w:rsidRPr="00481B91">
        <w:rPr>
          <w:i/>
          <w:iCs/>
        </w:rPr>
        <w:t>majmu</w:t>
      </w:r>
      <w:proofErr w:type="spellEnd"/>
      <w:r w:rsidRPr="00481B91">
        <w:rPr>
          <w:i/>
          <w:iCs/>
        </w:rPr>
        <w:t xml:space="preserve">‘ </w:t>
      </w:r>
      <w:proofErr w:type="spellStart"/>
      <w:r w:rsidRPr="00481B91">
        <w:rPr>
          <w:i/>
          <w:iCs/>
        </w:rPr>
        <w:t>sharh</w:t>
      </w:r>
      <w:proofErr w:type="spellEnd"/>
      <w:proofErr w:type="gramEnd"/>
      <w:r w:rsidRPr="00481B91">
        <w:rPr>
          <w:i/>
          <w:iCs/>
        </w:rPr>
        <w:t xml:space="preserve"> al-</w:t>
      </w:r>
      <w:proofErr w:type="spellStart"/>
      <w:r w:rsidRPr="00481B91">
        <w:rPr>
          <w:i/>
          <w:iCs/>
        </w:rPr>
        <w:t>muhadhdhab</w:t>
      </w:r>
      <w:proofErr w:type="spellEnd"/>
      <w:r>
        <w:rPr>
          <w:i/>
          <w:iCs/>
        </w:rPr>
        <w:t>,</w:t>
      </w:r>
      <w:r w:rsidRPr="00481B91">
        <w:t xml:space="preserve"> </w:t>
      </w:r>
      <w:proofErr w:type="spellStart"/>
      <w:r>
        <w:t>juz</w:t>
      </w:r>
      <w:proofErr w:type="spellEnd"/>
      <w:r w:rsidRPr="00481B91">
        <w:t xml:space="preserve"> 3</w:t>
      </w:r>
      <w:r>
        <w:t>,</w:t>
      </w:r>
      <w:r w:rsidRPr="00481B91">
        <w:t xml:space="preserve"> Dar al-Fikr</w:t>
      </w:r>
      <w:r>
        <w:t xml:space="preserve">, </w:t>
      </w:r>
      <w:proofErr w:type="spellStart"/>
      <w:r>
        <w:t>hlm</w:t>
      </w:r>
      <w:proofErr w:type="spellEnd"/>
      <w:r>
        <w:t xml:space="preserve"> 166</w:t>
      </w:r>
    </w:p>
  </w:footnote>
  <w:footnote w:id="17">
    <w:p w14:paraId="5E9F7645" w14:textId="78C7A2CB" w:rsidR="008A321E" w:rsidRPr="008A321E" w:rsidRDefault="008A321E" w:rsidP="008A321E">
      <w:pPr>
        <w:pStyle w:val="FootnoteText"/>
        <w:rPr>
          <w:lang w:val="en-US"/>
        </w:rPr>
      </w:pPr>
      <w:r>
        <w:rPr>
          <w:rStyle w:val="FootnoteReference"/>
        </w:rPr>
        <w:footnoteRef/>
      </w:r>
      <w:r>
        <w:t xml:space="preserve"> </w:t>
      </w:r>
      <w:r w:rsidRPr="008A321E">
        <w:t xml:space="preserve">Ibn Taymiyyah, A. (2004). </w:t>
      </w:r>
      <w:proofErr w:type="spellStart"/>
      <w:proofErr w:type="gramStart"/>
      <w:r w:rsidRPr="008A321E">
        <w:rPr>
          <w:i/>
          <w:iCs/>
        </w:rPr>
        <w:t>Majmu</w:t>
      </w:r>
      <w:proofErr w:type="spellEnd"/>
      <w:r w:rsidRPr="008A321E">
        <w:rPr>
          <w:i/>
          <w:iCs/>
        </w:rPr>
        <w:t>‘ al</w:t>
      </w:r>
      <w:proofErr w:type="gramEnd"/>
      <w:r w:rsidRPr="008A321E">
        <w:rPr>
          <w:i/>
          <w:iCs/>
        </w:rPr>
        <w:t>-</w:t>
      </w:r>
      <w:proofErr w:type="spellStart"/>
      <w:r w:rsidRPr="008A321E">
        <w:rPr>
          <w:i/>
          <w:iCs/>
        </w:rPr>
        <w:t>fatawa</w:t>
      </w:r>
      <w:proofErr w:type="spellEnd"/>
      <w:r>
        <w:rPr>
          <w:i/>
          <w:iCs/>
        </w:rPr>
        <w:t>,</w:t>
      </w:r>
      <w:r w:rsidRPr="008A321E">
        <w:t xml:space="preserve"> </w:t>
      </w:r>
      <w:proofErr w:type="spellStart"/>
      <w:r>
        <w:t>juz</w:t>
      </w:r>
      <w:proofErr w:type="spellEnd"/>
      <w:r>
        <w:t xml:space="preserve"> </w:t>
      </w:r>
      <w:r w:rsidRPr="008A321E">
        <w:t>22</w:t>
      </w:r>
      <w:r>
        <w:t xml:space="preserve">, </w:t>
      </w:r>
      <w:r w:rsidRPr="008A321E">
        <w:t>King Fahd Complex for the Printing of the Holy Qur’an</w:t>
      </w:r>
      <w:r>
        <w:t xml:space="preserve">, </w:t>
      </w:r>
      <w:proofErr w:type="spellStart"/>
      <w:r>
        <w:t>hlm</w:t>
      </w:r>
      <w:proofErr w:type="spellEnd"/>
      <w:r>
        <w:t>. 510</w:t>
      </w:r>
    </w:p>
  </w:footnote>
  <w:footnote w:id="18">
    <w:p w14:paraId="3F020161" w14:textId="5B5F6331" w:rsidR="0040453F" w:rsidRPr="0040453F" w:rsidRDefault="0040453F" w:rsidP="0040453F">
      <w:pPr>
        <w:pStyle w:val="FootnoteText"/>
        <w:rPr>
          <w:lang w:val="en-US"/>
        </w:rPr>
      </w:pPr>
      <w:r>
        <w:rPr>
          <w:rStyle w:val="FootnoteReference"/>
        </w:rPr>
        <w:footnoteRef/>
      </w:r>
      <w:r>
        <w:t xml:space="preserve"> </w:t>
      </w:r>
      <w:r w:rsidRPr="0040453F">
        <w:t xml:space="preserve">Ibn Khaldun, A. (2005). </w:t>
      </w:r>
      <w:r w:rsidRPr="0040453F">
        <w:rPr>
          <w:i/>
          <w:iCs/>
        </w:rPr>
        <w:t>Al-</w:t>
      </w:r>
      <w:proofErr w:type="spellStart"/>
      <w:r w:rsidRPr="0040453F">
        <w:rPr>
          <w:i/>
          <w:iCs/>
        </w:rPr>
        <w:t>muqaddimah</w:t>
      </w:r>
      <w:proofErr w:type="spellEnd"/>
      <w:r>
        <w:t>,</w:t>
      </w:r>
      <w:r w:rsidRPr="0040453F">
        <w:t xml:space="preserve"> Dar al-Fikr</w:t>
      </w:r>
      <w:r>
        <w:t xml:space="preserve">, </w:t>
      </w:r>
      <w:proofErr w:type="spellStart"/>
      <w:r>
        <w:t>hlm</w:t>
      </w:r>
      <w:proofErr w:type="spellEnd"/>
      <w:r>
        <w:t>. 95</w:t>
      </w:r>
    </w:p>
  </w:footnote>
  <w:footnote w:id="19">
    <w:p w14:paraId="04D4A033" w14:textId="25685F59" w:rsidR="00ED07CA" w:rsidRPr="00ED07CA" w:rsidRDefault="00ED07CA" w:rsidP="00ED07CA">
      <w:pPr>
        <w:pStyle w:val="FootnoteText"/>
        <w:jc w:val="both"/>
        <w:rPr>
          <w:lang w:val="en-US"/>
        </w:rPr>
      </w:pPr>
      <w:r>
        <w:rPr>
          <w:rStyle w:val="FootnoteReference"/>
        </w:rPr>
        <w:footnoteRef/>
      </w:r>
      <w:r>
        <w:t xml:space="preserve"> </w:t>
      </w:r>
      <w:r w:rsidRPr="00ED07CA">
        <w:t xml:space="preserve">Ibn </w:t>
      </w:r>
      <w:proofErr w:type="gramStart"/>
      <w:r w:rsidRPr="00ED07CA">
        <w:t>Jama‘</w:t>
      </w:r>
      <w:proofErr w:type="gramEnd"/>
      <w:r w:rsidRPr="00ED07CA">
        <w:t xml:space="preserve">ah, B. (2012). </w:t>
      </w:r>
      <w:proofErr w:type="spellStart"/>
      <w:r w:rsidRPr="00ED07CA">
        <w:rPr>
          <w:i/>
          <w:iCs/>
        </w:rPr>
        <w:t>Tadhkirat</w:t>
      </w:r>
      <w:proofErr w:type="spellEnd"/>
      <w:r w:rsidRPr="00ED07CA">
        <w:rPr>
          <w:i/>
          <w:iCs/>
        </w:rPr>
        <w:t xml:space="preserve"> al-</w:t>
      </w:r>
      <w:proofErr w:type="spellStart"/>
      <w:proofErr w:type="gramStart"/>
      <w:r w:rsidRPr="00ED07CA">
        <w:rPr>
          <w:i/>
          <w:iCs/>
        </w:rPr>
        <w:t>sami</w:t>
      </w:r>
      <w:proofErr w:type="spellEnd"/>
      <w:r w:rsidRPr="00ED07CA">
        <w:rPr>
          <w:i/>
          <w:iCs/>
        </w:rPr>
        <w:t xml:space="preserve">‘ </w:t>
      </w:r>
      <w:proofErr w:type="spellStart"/>
      <w:r w:rsidRPr="00ED07CA">
        <w:rPr>
          <w:i/>
          <w:iCs/>
        </w:rPr>
        <w:t>wa</w:t>
      </w:r>
      <w:proofErr w:type="spellEnd"/>
      <w:proofErr w:type="gramEnd"/>
      <w:r w:rsidRPr="00ED07CA">
        <w:rPr>
          <w:i/>
          <w:iCs/>
        </w:rPr>
        <w:t xml:space="preserve"> al-</w:t>
      </w:r>
      <w:proofErr w:type="spellStart"/>
      <w:r w:rsidRPr="00ED07CA">
        <w:rPr>
          <w:i/>
          <w:iCs/>
        </w:rPr>
        <w:t>mutakallim</w:t>
      </w:r>
      <w:proofErr w:type="spellEnd"/>
      <w:r w:rsidRPr="00ED07CA">
        <w:rPr>
          <w:i/>
          <w:iCs/>
        </w:rPr>
        <w:t xml:space="preserve"> fi adab al</w:t>
      </w:r>
      <w:proofErr w:type="gramStart"/>
      <w:r w:rsidRPr="00ED07CA">
        <w:rPr>
          <w:i/>
          <w:iCs/>
        </w:rPr>
        <w:t>-‘</w:t>
      </w:r>
      <w:proofErr w:type="gramEnd"/>
      <w:r w:rsidRPr="00ED07CA">
        <w:rPr>
          <w:i/>
          <w:iCs/>
        </w:rPr>
        <w:t xml:space="preserve">alim </w:t>
      </w:r>
      <w:proofErr w:type="spellStart"/>
      <w:r w:rsidRPr="00ED07CA">
        <w:rPr>
          <w:i/>
          <w:iCs/>
        </w:rPr>
        <w:t>wa</w:t>
      </w:r>
      <w:proofErr w:type="spellEnd"/>
      <w:r w:rsidRPr="00ED07CA">
        <w:rPr>
          <w:i/>
          <w:iCs/>
        </w:rPr>
        <w:t xml:space="preserve"> al-</w:t>
      </w:r>
      <w:proofErr w:type="spellStart"/>
      <w:proofErr w:type="gramStart"/>
      <w:r w:rsidRPr="00ED07CA">
        <w:rPr>
          <w:i/>
          <w:iCs/>
        </w:rPr>
        <w:t>muta‘</w:t>
      </w:r>
      <w:proofErr w:type="gramEnd"/>
      <w:r w:rsidRPr="00ED07CA">
        <w:rPr>
          <w:i/>
          <w:iCs/>
        </w:rPr>
        <w:t>allim</w:t>
      </w:r>
      <w:proofErr w:type="spellEnd"/>
      <w:r>
        <w:t xml:space="preserve">, </w:t>
      </w:r>
      <w:r w:rsidRPr="00ED07CA">
        <w:t>Dar al-</w:t>
      </w:r>
      <w:proofErr w:type="spellStart"/>
      <w:r w:rsidRPr="00ED07CA">
        <w:t>Kutub</w:t>
      </w:r>
      <w:proofErr w:type="spellEnd"/>
      <w:r w:rsidRPr="00ED07CA">
        <w:t xml:space="preserve"> al</w:t>
      </w:r>
      <w:proofErr w:type="gramStart"/>
      <w:r w:rsidRPr="00ED07CA">
        <w:t>-‘</w:t>
      </w:r>
      <w:proofErr w:type="spellStart"/>
      <w:proofErr w:type="gramEnd"/>
      <w:r w:rsidRPr="00ED07CA">
        <w:t>Ilmiyyah</w:t>
      </w:r>
      <w:proofErr w:type="spellEnd"/>
      <w:r>
        <w:t xml:space="preserve">, </w:t>
      </w:r>
      <w:proofErr w:type="spellStart"/>
      <w:r>
        <w:t>hlm</w:t>
      </w:r>
      <w:proofErr w:type="spellEnd"/>
      <w:r>
        <w:t>. 86</w:t>
      </w:r>
    </w:p>
  </w:footnote>
  <w:footnote w:id="20">
    <w:p w14:paraId="64C6FA71" w14:textId="387A470B" w:rsidR="005E1B73" w:rsidRPr="005E1B73" w:rsidRDefault="005E1B73" w:rsidP="005E1B73">
      <w:pPr>
        <w:pStyle w:val="FootnoteText"/>
        <w:rPr>
          <w:lang w:val="en-US"/>
        </w:rPr>
      </w:pPr>
      <w:r>
        <w:rPr>
          <w:rStyle w:val="FootnoteReference"/>
        </w:rPr>
        <w:footnoteRef/>
      </w:r>
      <w:r>
        <w:t xml:space="preserve"> </w:t>
      </w:r>
      <w:r w:rsidRPr="005E1B73">
        <w:t>Al-</w:t>
      </w:r>
      <w:proofErr w:type="spellStart"/>
      <w:r w:rsidRPr="005E1B73">
        <w:t>Zarnuji</w:t>
      </w:r>
      <w:proofErr w:type="spellEnd"/>
      <w:r w:rsidRPr="005E1B73">
        <w:t xml:space="preserve">, B. (2013). </w:t>
      </w:r>
      <w:proofErr w:type="spellStart"/>
      <w:proofErr w:type="gramStart"/>
      <w:r w:rsidRPr="005E1B73">
        <w:rPr>
          <w:i/>
          <w:iCs/>
        </w:rPr>
        <w:t>Ta‘</w:t>
      </w:r>
      <w:proofErr w:type="gramEnd"/>
      <w:r w:rsidRPr="005E1B73">
        <w:rPr>
          <w:i/>
          <w:iCs/>
        </w:rPr>
        <w:t>lim</w:t>
      </w:r>
      <w:proofErr w:type="spellEnd"/>
      <w:r w:rsidRPr="005E1B73">
        <w:rPr>
          <w:i/>
          <w:iCs/>
        </w:rPr>
        <w:t xml:space="preserve"> al-</w:t>
      </w:r>
      <w:proofErr w:type="spellStart"/>
      <w:proofErr w:type="gramStart"/>
      <w:r w:rsidRPr="005E1B73">
        <w:rPr>
          <w:i/>
          <w:iCs/>
        </w:rPr>
        <w:t>muta‘</w:t>
      </w:r>
      <w:proofErr w:type="gramEnd"/>
      <w:r w:rsidRPr="005E1B73">
        <w:rPr>
          <w:i/>
          <w:iCs/>
        </w:rPr>
        <w:t>allim</w:t>
      </w:r>
      <w:proofErr w:type="spellEnd"/>
      <w:r w:rsidRPr="005E1B73">
        <w:rPr>
          <w:i/>
          <w:iCs/>
        </w:rPr>
        <w:t xml:space="preserve"> </w:t>
      </w:r>
      <w:proofErr w:type="spellStart"/>
      <w:r w:rsidRPr="005E1B73">
        <w:rPr>
          <w:i/>
          <w:iCs/>
        </w:rPr>
        <w:t>tariq</w:t>
      </w:r>
      <w:proofErr w:type="spellEnd"/>
      <w:r w:rsidRPr="005E1B73">
        <w:rPr>
          <w:i/>
          <w:iCs/>
        </w:rPr>
        <w:t xml:space="preserve"> al-</w:t>
      </w:r>
      <w:proofErr w:type="spellStart"/>
      <w:proofErr w:type="gramStart"/>
      <w:r w:rsidRPr="005E1B73">
        <w:rPr>
          <w:i/>
          <w:iCs/>
        </w:rPr>
        <w:t>ta‘</w:t>
      </w:r>
      <w:proofErr w:type="gramEnd"/>
      <w:r w:rsidRPr="005E1B73">
        <w:rPr>
          <w:i/>
          <w:iCs/>
        </w:rPr>
        <w:t>allum</w:t>
      </w:r>
      <w:proofErr w:type="spellEnd"/>
      <w:r>
        <w:t xml:space="preserve">, </w:t>
      </w:r>
      <w:r w:rsidRPr="005E1B73">
        <w:t>Dar Ibn Kathir</w:t>
      </w:r>
      <w:r>
        <w:t xml:space="preserve">, </w:t>
      </w:r>
      <w:proofErr w:type="spellStart"/>
      <w:r>
        <w:t>hlm</w:t>
      </w:r>
      <w:proofErr w:type="spellEnd"/>
      <w:r>
        <w:t>. 15</w:t>
      </w:r>
    </w:p>
  </w:footnote>
  <w:footnote w:id="21">
    <w:p w14:paraId="586F1596" w14:textId="77777777" w:rsidR="00AE1028" w:rsidRPr="005E1B73" w:rsidRDefault="00AE1028" w:rsidP="00AE1028">
      <w:pPr>
        <w:pStyle w:val="FootnoteText"/>
        <w:rPr>
          <w:lang w:val="en-US"/>
        </w:rPr>
      </w:pPr>
      <w:r>
        <w:rPr>
          <w:rStyle w:val="FootnoteReference"/>
        </w:rPr>
        <w:footnoteRef/>
      </w:r>
      <w:r>
        <w:t xml:space="preserve"> </w:t>
      </w:r>
      <w:r w:rsidRPr="005E1B73">
        <w:t xml:space="preserve">Thomas, J., </w:t>
      </w:r>
      <w:proofErr w:type="spellStart"/>
      <w:r w:rsidRPr="005E1B73">
        <w:t>Kuhail</w:t>
      </w:r>
      <w:proofErr w:type="spellEnd"/>
      <w:r w:rsidRPr="005E1B73">
        <w:t xml:space="preserve">, M. A., &amp; </w:t>
      </w:r>
      <w:proofErr w:type="spellStart"/>
      <w:r w:rsidRPr="005E1B73">
        <w:t>AlBeyahi</w:t>
      </w:r>
      <w:proofErr w:type="spellEnd"/>
      <w:r w:rsidRPr="005E1B73">
        <w:t xml:space="preserve">, F. (2024). The metaverse and religious practice and wellbeing: A narrative review. </w:t>
      </w:r>
      <w:r w:rsidRPr="005E1B73">
        <w:rPr>
          <w:i/>
          <w:iCs/>
        </w:rPr>
        <w:t>Cyberpsychology, Behavior, and Social Networking</w:t>
      </w:r>
      <w:r w:rsidRPr="005E1B73">
        <w:t xml:space="preserve">, 27(1), 57–63. </w:t>
      </w:r>
      <w:hyperlink r:id="rId6" w:tgtFrame="_new" w:history="1">
        <w:r w:rsidRPr="005E1B73">
          <w:rPr>
            <w:rStyle w:val="Hyperlink"/>
            <w:color w:val="000000" w:themeColor="text1"/>
            <w:u w:val="none"/>
          </w:rPr>
          <w:t>https://doi.org/10.1089/cyber.2023.0003</w:t>
        </w:r>
      </w:hyperlink>
    </w:p>
  </w:footnote>
  <w:footnote w:id="22">
    <w:p w14:paraId="629831CF" w14:textId="77777777" w:rsidR="00AE1028" w:rsidRPr="005E1B73" w:rsidRDefault="00AE1028" w:rsidP="00AE1028">
      <w:pPr>
        <w:pStyle w:val="FootnoteText"/>
        <w:rPr>
          <w:lang w:val="en-US"/>
        </w:rPr>
      </w:pPr>
      <w:r>
        <w:rPr>
          <w:rStyle w:val="FootnoteReference"/>
        </w:rPr>
        <w:footnoteRef/>
      </w:r>
      <w:r>
        <w:t xml:space="preserve"> </w:t>
      </w:r>
      <w:r w:rsidRPr="005E1B73">
        <w:t xml:space="preserve">Yıldız, M. (2023). Virtual reality in religious education: The role of metaverse. </w:t>
      </w:r>
      <w:proofErr w:type="spellStart"/>
      <w:r w:rsidRPr="005E1B73">
        <w:rPr>
          <w:i/>
          <w:iCs/>
        </w:rPr>
        <w:t>Ulusal</w:t>
      </w:r>
      <w:proofErr w:type="spellEnd"/>
      <w:r w:rsidRPr="005E1B73">
        <w:rPr>
          <w:i/>
          <w:iCs/>
        </w:rPr>
        <w:t xml:space="preserve"> </w:t>
      </w:r>
      <w:proofErr w:type="spellStart"/>
      <w:r w:rsidRPr="005E1B73">
        <w:rPr>
          <w:i/>
          <w:iCs/>
        </w:rPr>
        <w:t>ve</w:t>
      </w:r>
      <w:proofErr w:type="spellEnd"/>
      <w:r w:rsidRPr="005E1B73">
        <w:rPr>
          <w:i/>
          <w:iCs/>
        </w:rPr>
        <w:t xml:space="preserve"> </w:t>
      </w:r>
      <w:proofErr w:type="spellStart"/>
      <w:r w:rsidRPr="005E1B73">
        <w:rPr>
          <w:i/>
          <w:iCs/>
        </w:rPr>
        <w:t>Uluslararası</w:t>
      </w:r>
      <w:proofErr w:type="spellEnd"/>
      <w:r w:rsidRPr="005E1B73">
        <w:rPr>
          <w:i/>
          <w:iCs/>
        </w:rPr>
        <w:t xml:space="preserve"> </w:t>
      </w:r>
      <w:proofErr w:type="spellStart"/>
      <w:r w:rsidRPr="005E1B73">
        <w:rPr>
          <w:i/>
          <w:iCs/>
        </w:rPr>
        <w:t>Sosyoloji</w:t>
      </w:r>
      <w:proofErr w:type="spellEnd"/>
      <w:r w:rsidRPr="005E1B73">
        <w:rPr>
          <w:i/>
          <w:iCs/>
        </w:rPr>
        <w:t xml:space="preserve"> </w:t>
      </w:r>
      <w:proofErr w:type="spellStart"/>
      <w:r w:rsidRPr="005E1B73">
        <w:rPr>
          <w:i/>
          <w:iCs/>
        </w:rPr>
        <w:t>ve</w:t>
      </w:r>
      <w:proofErr w:type="spellEnd"/>
      <w:r w:rsidRPr="005E1B73">
        <w:rPr>
          <w:i/>
          <w:iCs/>
        </w:rPr>
        <w:t xml:space="preserve"> Ekonomi Dergisi</w:t>
      </w:r>
      <w:r w:rsidRPr="005E1B73">
        <w:t>. https://doi.org/10.5281/zenodo.11356805</w:t>
      </w:r>
    </w:p>
  </w:footnote>
  <w:footnote w:id="23">
    <w:p w14:paraId="1ABD75EF" w14:textId="77777777" w:rsidR="00AE1028" w:rsidRPr="005E1B73" w:rsidRDefault="00AE1028" w:rsidP="00AE1028">
      <w:pPr>
        <w:pStyle w:val="FootnoteText"/>
        <w:jc w:val="both"/>
        <w:rPr>
          <w:lang w:val="en-US"/>
        </w:rPr>
      </w:pPr>
      <w:r>
        <w:rPr>
          <w:rStyle w:val="FootnoteReference"/>
        </w:rPr>
        <w:footnoteRef/>
      </w:r>
      <w:r>
        <w:t xml:space="preserve"> </w:t>
      </w:r>
      <w:r w:rsidRPr="005E1B73">
        <w:t xml:space="preserve">Fernando, H., Larasati, Y. G., </w:t>
      </w:r>
      <w:proofErr w:type="spellStart"/>
      <w:r w:rsidRPr="005E1B73">
        <w:t>Barkah</w:t>
      </w:r>
      <w:proofErr w:type="spellEnd"/>
      <w:r w:rsidRPr="005E1B73">
        <w:t xml:space="preserve">, Q., &amp; </w:t>
      </w:r>
      <w:proofErr w:type="spellStart"/>
      <w:r w:rsidRPr="005E1B73">
        <w:t>Andriyani</w:t>
      </w:r>
      <w:proofErr w:type="spellEnd"/>
      <w:r w:rsidRPr="005E1B73">
        <w:t xml:space="preserve">. (2025). Religion in the metaverse scheme: Practices of worship in the new media age. </w:t>
      </w:r>
      <w:proofErr w:type="spellStart"/>
      <w:r w:rsidRPr="005E1B73">
        <w:rPr>
          <w:i/>
          <w:iCs/>
        </w:rPr>
        <w:t>Esensia</w:t>
      </w:r>
      <w:proofErr w:type="spellEnd"/>
      <w:r w:rsidRPr="005E1B73">
        <w:rPr>
          <w:i/>
          <w:iCs/>
        </w:rPr>
        <w:t xml:space="preserve">: </w:t>
      </w:r>
      <w:proofErr w:type="spellStart"/>
      <w:r w:rsidRPr="005E1B73">
        <w:rPr>
          <w:i/>
          <w:iCs/>
        </w:rPr>
        <w:t>Jurnal</w:t>
      </w:r>
      <w:proofErr w:type="spellEnd"/>
      <w:r w:rsidRPr="005E1B73">
        <w:rPr>
          <w:i/>
          <w:iCs/>
        </w:rPr>
        <w:t xml:space="preserve"> </w:t>
      </w:r>
      <w:proofErr w:type="spellStart"/>
      <w:r w:rsidRPr="005E1B73">
        <w:rPr>
          <w:i/>
          <w:iCs/>
        </w:rPr>
        <w:t>Ilmu-Ilmu</w:t>
      </w:r>
      <w:proofErr w:type="spellEnd"/>
      <w:r w:rsidRPr="005E1B73">
        <w:rPr>
          <w:i/>
          <w:iCs/>
        </w:rPr>
        <w:t xml:space="preserve"> </w:t>
      </w:r>
      <w:proofErr w:type="spellStart"/>
      <w:r w:rsidRPr="005E1B73">
        <w:rPr>
          <w:i/>
          <w:iCs/>
        </w:rPr>
        <w:t>Ushuluddin</w:t>
      </w:r>
      <w:proofErr w:type="spellEnd"/>
      <w:r w:rsidRPr="005E1B73">
        <w:t>, 26(1), 12–26. https://doi.org/10.14421/esensia.v26i1.6445</w:t>
      </w:r>
    </w:p>
  </w:footnote>
  <w:footnote w:id="24">
    <w:p w14:paraId="4A3B4618" w14:textId="77777777" w:rsidR="009B2366" w:rsidRPr="00C15CB2" w:rsidRDefault="009B2366" w:rsidP="009B2366">
      <w:pPr>
        <w:pStyle w:val="FootnoteText"/>
        <w:rPr>
          <w:lang w:val="en-ID"/>
        </w:rPr>
      </w:pPr>
      <w:r>
        <w:rPr>
          <w:rStyle w:val="FootnoteReference"/>
        </w:rPr>
        <w:footnoteRef/>
      </w:r>
      <w:r>
        <w:t xml:space="preserve"> </w:t>
      </w:r>
      <w:r w:rsidRPr="00C15CB2">
        <w:t xml:space="preserve">Baudrillard, J. (1994). </w:t>
      </w:r>
      <w:r w:rsidRPr="00C15CB2">
        <w:rPr>
          <w:i/>
          <w:iCs/>
        </w:rPr>
        <w:t>Simulacra and simulation</w:t>
      </w:r>
      <w:r w:rsidRPr="00C15CB2">
        <w:t>. University of Michigan Press</w:t>
      </w:r>
      <w:r w:rsidRPr="00C15CB2">
        <w:rPr>
          <w:lang w:val="en-ID"/>
        </w:rPr>
        <w:t xml:space="preserve">, </w:t>
      </w:r>
      <w:proofErr w:type="spellStart"/>
      <w:r w:rsidRPr="00C15CB2">
        <w:rPr>
          <w:lang w:val="en-ID"/>
        </w:rPr>
        <w:t>hlm</w:t>
      </w:r>
      <w:proofErr w:type="spellEnd"/>
      <w:r w:rsidRPr="00C15CB2">
        <w:rPr>
          <w:lang w:val="en-ID"/>
        </w:rPr>
        <w:t>. 7</w:t>
      </w:r>
    </w:p>
  </w:footnote>
  <w:footnote w:id="25">
    <w:p w14:paraId="19FEB761" w14:textId="77777777" w:rsidR="00AE1028" w:rsidRPr="00C15CB2" w:rsidRDefault="00AE1028" w:rsidP="00AE1028">
      <w:pPr>
        <w:pStyle w:val="FootnoteText"/>
        <w:rPr>
          <w:lang w:val="en-US"/>
        </w:rPr>
      </w:pPr>
      <w:r>
        <w:rPr>
          <w:rStyle w:val="FootnoteReference"/>
        </w:rPr>
        <w:footnoteRef/>
      </w:r>
      <w:r>
        <w:t xml:space="preserve"> </w:t>
      </w:r>
      <w:r>
        <w:rPr>
          <w:i/>
          <w:iCs/>
          <w:lang w:val="en-US"/>
        </w:rPr>
        <w:t xml:space="preserve">Ibid, </w:t>
      </w:r>
      <w:proofErr w:type="spellStart"/>
      <w:r>
        <w:rPr>
          <w:lang w:val="en-US"/>
        </w:rPr>
        <w:t>hlm</w:t>
      </w:r>
      <w:proofErr w:type="spellEnd"/>
      <w:r>
        <w:rPr>
          <w:lang w:val="en-US"/>
        </w:rPr>
        <w:t>. 166</w:t>
      </w:r>
    </w:p>
  </w:footnote>
  <w:footnote w:id="26">
    <w:p w14:paraId="3460DDD9" w14:textId="77777777" w:rsidR="009B2366" w:rsidRPr="00C15CB2" w:rsidRDefault="009B2366" w:rsidP="009B2366">
      <w:pPr>
        <w:pStyle w:val="FootnoteText"/>
      </w:pPr>
      <w:r>
        <w:rPr>
          <w:rStyle w:val="FootnoteReference"/>
        </w:rPr>
        <w:footnoteRef/>
      </w:r>
      <w:r>
        <w:t xml:space="preserve"> </w:t>
      </w:r>
      <w:r w:rsidRPr="00C15CB2">
        <w:t xml:space="preserve">Kellner, D. (1989). </w:t>
      </w:r>
      <w:r w:rsidRPr="00C15CB2">
        <w:rPr>
          <w:i/>
          <w:iCs/>
        </w:rPr>
        <w:t>Jean Baudrillard: From Marxism to postmodernism and beyond</w:t>
      </w:r>
      <w:r w:rsidRPr="00C15CB2">
        <w:t>. Stanford University Press.</w:t>
      </w:r>
      <w:r>
        <w:t>70</w:t>
      </w:r>
    </w:p>
  </w:footnote>
  <w:footnote w:id="27">
    <w:p w14:paraId="45ABE158" w14:textId="77777777" w:rsidR="009B2366" w:rsidRPr="00C15CB2" w:rsidRDefault="009B2366" w:rsidP="009B2366">
      <w:pPr>
        <w:pStyle w:val="FootnoteText"/>
        <w:rPr>
          <w:lang w:val="en-US"/>
        </w:rPr>
      </w:pPr>
      <w:r>
        <w:rPr>
          <w:rStyle w:val="FootnoteReference"/>
        </w:rPr>
        <w:footnoteRef/>
      </w:r>
      <w:r>
        <w:t xml:space="preserve"> </w:t>
      </w:r>
      <w:r w:rsidRPr="00C15CB2">
        <w:t xml:space="preserve">Poster, M. (2001). </w:t>
      </w:r>
      <w:r w:rsidRPr="00C15CB2">
        <w:rPr>
          <w:i/>
          <w:iCs/>
        </w:rPr>
        <w:t>Jean Baudrillard: Selected writings</w:t>
      </w:r>
      <w:r w:rsidRPr="00C15CB2">
        <w:t xml:space="preserve"> (2nd ed.). Stanford University Press</w:t>
      </w:r>
      <w:r>
        <w:t xml:space="preserve">, </w:t>
      </w:r>
      <w:proofErr w:type="spellStart"/>
      <w:r>
        <w:t>hlm</w:t>
      </w:r>
      <w:proofErr w:type="spellEnd"/>
      <w:r>
        <w:t>. 176</w:t>
      </w:r>
    </w:p>
  </w:footnote>
  <w:footnote w:id="28">
    <w:p w14:paraId="5EAC99D8" w14:textId="298B9283" w:rsidR="00EE39B0" w:rsidRPr="00EE39B0" w:rsidRDefault="00EE39B0" w:rsidP="00EE39B0">
      <w:pPr>
        <w:pStyle w:val="FootnoteText"/>
        <w:rPr>
          <w:lang w:val="en-US"/>
        </w:rPr>
      </w:pPr>
      <w:r>
        <w:rPr>
          <w:rStyle w:val="FootnoteReference"/>
        </w:rPr>
        <w:footnoteRef/>
      </w:r>
      <w:r>
        <w:t xml:space="preserve"> </w:t>
      </w:r>
      <w:r w:rsidRPr="00EE39B0">
        <w:t xml:space="preserve">Eisenlohr, P. (2017). </w:t>
      </w:r>
      <w:r w:rsidRPr="00EE39B0">
        <w:rPr>
          <w:i/>
          <w:iCs/>
        </w:rPr>
        <w:t>Sounding Islam: Voice, media, and sonic atmospheres in an Indian Ocean world</w:t>
      </w:r>
      <w:r w:rsidRPr="00EE39B0">
        <w:t>. University of California Press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835FB" w14:textId="77777777" w:rsidR="00325A61" w:rsidRDefault="00325A61">
    <w:pPr>
      <w:pBdr>
        <w:top w:val="nil"/>
        <w:left w:val="nil"/>
        <w:bottom w:val="nil"/>
        <w:right w:val="nil"/>
        <w:between w:val="nil"/>
      </w:pBdr>
      <w:rPr>
        <w:rFonts w:ascii="Corbel" w:eastAsia="Corbel" w:hAnsi="Corbel" w:cs="Corbel"/>
        <w:i/>
        <w:iCs/>
        <w:color w:val="000000"/>
        <w:sz w:val="20"/>
        <w:szCs w:val="20"/>
      </w:rPr>
    </w:pPr>
  </w:p>
  <w:p w14:paraId="176BD5D9" w14:textId="77777777" w:rsidR="00325A61" w:rsidRDefault="00325A61">
    <w:pPr>
      <w:pBdr>
        <w:top w:val="nil"/>
        <w:left w:val="nil"/>
        <w:bottom w:val="nil"/>
        <w:right w:val="nil"/>
        <w:between w:val="nil"/>
      </w:pBdr>
      <w:rPr>
        <w:rFonts w:ascii="Corbel" w:eastAsia="Corbel" w:hAnsi="Corbel" w:cs="Corbel"/>
        <w:i/>
        <w:iCs/>
        <w:color w:val="000000"/>
        <w:sz w:val="20"/>
        <w:szCs w:val="20"/>
      </w:rPr>
    </w:pPr>
  </w:p>
  <w:p w14:paraId="1EF79C75" w14:textId="77777777" w:rsidR="00325A61" w:rsidRDefault="00325A61">
    <w:pPr>
      <w:pBdr>
        <w:top w:val="nil"/>
        <w:left w:val="nil"/>
        <w:bottom w:val="nil"/>
        <w:right w:val="nil"/>
        <w:between w:val="nil"/>
      </w:pBdr>
      <w:rPr>
        <w:rFonts w:ascii="Corbel" w:eastAsia="Corbel" w:hAnsi="Corbel" w:cs="Corbel"/>
        <w:i/>
        <w:iCs/>
        <w:color w:val="000000"/>
        <w:sz w:val="20"/>
        <w:szCs w:val="20"/>
      </w:rPr>
    </w:pPr>
  </w:p>
  <w:p w14:paraId="1C39F7F1" w14:textId="77777777" w:rsidR="00325A61" w:rsidRDefault="00325A61">
    <w:pPr>
      <w:pBdr>
        <w:top w:val="nil"/>
        <w:left w:val="nil"/>
        <w:bottom w:val="nil"/>
        <w:right w:val="nil"/>
        <w:between w:val="nil"/>
      </w:pBdr>
      <w:rPr>
        <w:rFonts w:ascii="Corbel" w:eastAsia="Corbel" w:hAnsi="Corbel" w:cs="Corbel"/>
        <w:i/>
        <w:iCs/>
        <w:color w:val="000000"/>
        <w:sz w:val="20"/>
        <w:szCs w:val="20"/>
      </w:rPr>
    </w:pPr>
  </w:p>
  <w:p w14:paraId="76E99E4E" w14:textId="77777777" w:rsidR="00325A61" w:rsidRDefault="00325A61">
    <w:pPr>
      <w:pBdr>
        <w:top w:val="nil"/>
        <w:left w:val="nil"/>
        <w:bottom w:val="nil"/>
        <w:right w:val="nil"/>
        <w:between w:val="nil"/>
      </w:pBdr>
      <w:rPr>
        <w:rFonts w:ascii="Corbel" w:eastAsia="Corbel" w:hAnsi="Corbel" w:cs="Corbel"/>
        <w:i/>
        <w:iCs/>
        <w:color w:val="000000"/>
        <w:sz w:val="20"/>
        <w:szCs w:val="20"/>
      </w:rPr>
    </w:pPr>
  </w:p>
  <w:p w14:paraId="7B6B1AA8" w14:textId="77777777" w:rsidR="00325A61" w:rsidRDefault="00000000">
    <w:pPr>
      <w:pBdr>
        <w:top w:val="nil"/>
        <w:left w:val="nil"/>
        <w:bottom w:val="nil"/>
        <w:right w:val="nil"/>
        <w:between w:val="nil"/>
      </w:pBdr>
      <w:rPr>
        <w:i/>
        <w:iCs/>
        <w:color w:val="000000"/>
        <w:sz w:val="20"/>
        <w:szCs w:val="20"/>
      </w:rPr>
    </w:pPr>
    <w:r>
      <w:rPr>
        <w:i/>
        <w:iCs/>
        <w:color w:val="000000"/>
        <w:sz w:val="20"/>
        <w:szCs w:val="20"/>
      </w:rPr>
      <w:t>ICONIE FTIK UIN K.H. ABDURRAHMAN WAHID PEKALONGAN (202</w:t>
    </w:r>
    <w:r>
      <w:rPr>
        <w:i/>
        <w:iCs/>
        <w:sz w:val="20"/>
        <w:szCs w:val="20"/>
      </w:rPr>
      <w:t>6</w:t>
    </w:r>
    <w:r>
      <w:rPr>
        <w:i/>
        <w:iCs/>
        <w:color w:val="000000"/>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44AC0"/>
    <w:multiLevelType w:val="multilevel"/>
    <w:tmpl w:val="B96E5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010B35"/>
    <w:multiLevelType w:val="multilevel"/>
    <w:tmpl w:val="2FAE99C6"/>
    <w:lvl w:ilvl="0">
      <w:start w:val="1"/>
      <w:numFmt w:val="decimal"/>
      <w:lvlText w:val="%1."/>
      <w:lvlJc w:val="left"/>
      <w:pPr>
        <w:ind w:left="720" w:hanging="72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2">
      <w:start w:val="1"/>
      <w:numFmt w:val="lowerRoman"/>
      <w:lvlText w:val="%3."/>
      <w:lvlJc w:val="right"/>
      <w:pPr>
        <w:ind w:left="2160" w:hanging="216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3">
      <w:start w:val="1"/>
      <w:numFmt w:val="decimal"/>
      <w:lvlText w:val="%4."/>
      <w:lvlJc w:val="left"/>
      <w:pPr>
        <w:ind w:left="2880" w:hanging="288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4">
      <w:start w:val="1"/>
      <w:numFmt w:val="lowerLetter"/>
      <w:lvlText w:val="%5."/>
      <w:lvlJc w:val="left"/>
      <w:pPr>
        <w:ind w:left="3600" w:hanging="360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5">
      <w:start w:val="1"/>
      <w:numFmt w:val="lowerRoman"/>
      <w:lvlText w:val="%6."/>
      <w:lvlJc w:val="right"/>
      <w:pPr>
        <w:ind w:left="4320" w:hanging="432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6">
      <w:start w:val="1"/>
      <w:numFmt w:val="decimal"/>
      <w:lvlText w:val="%7."/>
      <w:lvlJc w:val="left"/>
      <w:pPr>
        <w:ind w:left="5040" w:hanging="504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7">
      <w:start w:val="1"/>
      <w:numFmt w:val="lowerLetter"/>
      <w:lvlText w:val="%8."/>
      <w:lvlJc w:val="left"/>
      <w:pPr>
        <w:ind w:left="5760" w:hanging="576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8">
      <w:start w:val="1"/>
      <w:numFmt w:val="lowerRoman"/>
      <w:lvlText w:val="%9."/>
      <w:lvlJc w:val="right"/>
      <w:pPr>
        <w:ind w:left="6480" w:hanging="648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abstractNum>
  <w:num w:numId="1" w16cid:durableId="1123039916">
    <w:abstractNumId w:val="1"/>
  </w:num>
  <w:num w:numId="2" w16cid:durableId="1469124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A61"/>
    <w:rsid w:val="000453E2"/>
    <w:rsid w:val="00054E3D"/>
    <w:rsid w:val="00084F7C"/>
    <w:rsid w:val="000C05D1"/>
    <w:rsid w:val="000F0746"/>
    <w:rsid w:val="00160BFC"/>
    <w:rsid w:val="00186A89"/>
    <w:rsid w:val="002656DC"/>
    <w:rsid w:val="00271F5F"/>
    <w:rsid w:val="002B0297"/>
    <w:rsid w:val="002E623A"/>
    <w:rsid w:val="002E6733"/>
    <w:rsid w:val="00325A61"/>
    <w:rsid w:val="00383D04"/>
    <w:rsid w:val="0040453F"/>
    <w:rsid w:val="00435FC2"/>
    <w:rsid w:val="00477AFB"/>
    <w:rsid w:val="00481B91"/>
    <w:rsid w:val="00483BD4"/>
    <w:rsid w:val="00490CD3"/>
    <w:rsid w:val="004A57B4"/>
    <w:rsid w:val="00572504"/>
    <w:rsid w:val="005967E9"/>
    <w:rsid w:val="005D2A7C"/>
    <w:rsid w:val="005E1B73"/>
    <w:rsid w:val="00603697"/>
    <w:rsid w:val="00617757"/>
    <w:rsid w:val="006F6DCC"/>
    <w:rsid w:val="007637FF"/>
    <w:rsid w:val="00791536"/>
    <w:rsid w:val="007A62EA"/>
    <w:rsid w:val="007A6491"/>
    <w:rsid w:val="0086458A"/>
    <w:rsid w:val="008962D3"/>
    <w:rsid w:val="008A321E"/>
    <w:rsid w:val="008A69E2"/>
    <w:rsid w:val="008B161E"/>
    <w:rsid w:val="008F4E8E"/>
    <w:rsid w:val="00907250"/>
    <w:rsid w:val="00932735"/>
    <w:rsid w:val="0094517D"/>
    <w:rsid w:val="009604E0"/>
    <w:rsid w:val="0099033C"/>
    <w:rsid w:val="009B2366"/>
    <w:rsid w:val="00A31A06"/>
    <w:rsid w:val="00AE1028"/>
    <w:rsid w:val="00B33280"/>
    <w:rsid w:val="00B465F5"/>
    <w:rsid w:val="00BA5564"/>
    <w:rsid w:val="00BF3B68"/>
    <w:rsid w:val="00C15CB2"/>
    <w:rsid w:val="00CE1AAF"/>
    <w:rsid w:val="00CF38AF"/>
    <w:rsid w:val="00D371FA"/>
    <w:rsid w:val="00D8635D"/>
    <w:rsid w:val="00DB7221"/>
    <w:rsid w:val="00DE135A"/>
    <w:rsid w:val="00E23628"/>
    <w:rsid w:val="00E85391"/>
    <w:rsid w:val="00ED07CA"/>
    <w:rsid w:val="00EE2635"/>
    <w:rsid w:val="00EE39B0"/>
    <w:rsid w:val="00EF02CA"/>
    <w:rsid w:val="00F11C8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08AF4"/>
  <w15:docId w15:val="{CED29BA1-4C0E-4E74-8EB8-6DCEC0F02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tabs>
        <w:tab w:val="left" w:pos="432"/>
      </w:tabs>
      <w:spacing w:before="280" w:after="280"/>
      <w:ind w:left="432" w:hanging="432"/>
      <w:outlineLvl w:val="0"/>
    </w:pPr>
    <w:rPr>
      <w:b/>
      <w:bCs/>
      <w:sz w:val="48"/>
      <w:szCs w:val="48"/>
    </w:rPr>
  </w:style>
  <w:style w:type="paragraph" w:styleId="Heading2">
    <w:name w:val="heading 2"/>
    <w:basedOn w:val="Normal"/>
    <w:next w:val="Normal"/>
    <w:uiPriority w:val="9"/>
    <w:semiHidden/>
    <w:unhideWhenUsed/>
    <w:qFormat/>
    <w:pPr>
      <w:keepNext/>
      <w:pBdr>
        <w:top w:val="nil"/>
        <w:left w:val="nil"/>
        <w:bottom w:val="nil"/>
        <w:right w:val="nil"/>
        <w:between w:val="nil"/>
      </w:pBdr>
      <w:spacing w:before="240" w:after="60"/>
      <w:outlineLvl w:val="1"/>
    </w:pPr>
    <w:rPr>
      <w:rFonts w:ascii="Arial" w:eastAsia="Arial" w:hAnsi="Arial" w:cs="Arial"/>
      <w:b/>
      <w:bCs/>
      <w:i/>
      <w:iCs/>
      <w:sz w:val="28"/>
      <w:szCs w:val="28"/>
    </w:rPr>
  </w:style>
  <w:style w:type="paragraph" w:styleId="Heading3">
    <w:name w:val="heading 3"/>
    <w:basedOn w:val="Normal"/>
    <w:next w:val="Normal"/>
    <w:uiPriority w:val="9"/>
    <w:semiHidden/>
    <w:unhideWhenUsed/>
    <w:qFormat/>
    <w:pPr>
      <w:keepNext/>
      <w:pBdr>
        <w:top w:val="nil"/>
        <w:left w:val="nil"/>
        <w:bottom w:val="nil"/>
        <w:right w:val="nil"/>
        <w:between w:val="nil"/>
      </w:pBdr>
      <w:spacing w:before="240" w:after="60"/>
      <w:outlineLvl w:val="2"/>
    </w:pPr>
    <w:rPr>
      <w:rFonts w:ascii="Arial" w:eastAsia="Arial" w:hAnsi="Arial" w:cs="Arial"/>
      <w:b/>
      <w:bCs/>
      <w:sz w:val="26"/>
      <w:szCs w:val="26"/>
    </w:rPr>
  </w:style>
  <w:style w:type="paragraph" w:styleId="Heading4">
    <w:name w:val="heading 4"/>
    <w:basedOn w:val="Normal"/>
    <w:next w:val="Normal"/>
    <w:uiPriority w:val="9"/>
    <w:semiHidden/>
    <w:unhideWhenUsed/>
    <w:qFormat/>
    <w:pPr>
      <w:keepNext/>
      <w:pBdr>
        <w:top w:val="nil"/>
        <w:left w:val="nil"/>
        <w:bottom w:val="nil"/>
        <w:right w:val="nil"/>
        <w:between w:val="nil"/>
      </w:pBdr>
      <w:spacing w:before="240" w:after="60"/>
      <w:outlineLvl w:val="3"/>
    </w:pPr>
    <w:rPr>
      <w:b/>
      <w:bCs/>
      <w:sz w:val="28"/>
      <w:szCs w:val="28"/>
    </w:rPr>
  </w:style>
  <w:style w:type="paragraph" w:styleId="Heading5">
    <w:name w:val="heading 5"/>
    <w:basedOn w:val="Normal"/>
    <w:next w:val="Normal"/>
    <w:uiPriority w:val="9"/>
    <w:semiHidden/>
    <w:unhideWhenUsed/>
    <w:qFormat/>
    <w:pPr>
      <w:pBdr>
        <w:top w:val="nil"/>
        <w:left w:val="nil"/>
        <w:bottom w:val="nil"/>
        <w:right w:val="nil"/>
        <w:between w:val="nil"/>
      </w:pBdr>
      <w:spacing w:before="240" w:after="60"/>
      <w:outlineLvl w:val="4"/>
    </w:pPr>
    <w:rPr>
      <w:b/>
      <w:bCs/>
      <w:i/>
      <w:iCs/>
      <w:sz w:val="26"/>
      <w:szCs w:val="26"/>
    </w:rPr>
  </w:style>
  <w:style w:type="paragraph" w:styleId="Heading6">
    <w:name w:val="heading 6"/>
    <w:basedOn w:val="Normal"/>
    <w:next w:val="Normal"/>
    <w:uiPriority w:val="9"/>
    <w:semiHidden/>
    <w:unhideWhenUsed/>
    <w:qFormat/>
    <w:pPr>
      <w:pBdr>
        <w:top w:val="nil"/>
        <w:left w:val="nil"/>
        <w:bottom w:val="nil"/>
        <w:right w:val="nil"/>
        <w:between w:val="nil"/>
      </w:pBd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spacing w:before="240" w:after="60"/>
      <w:jc w:val="center"/>
    </w:pPr>
    <w:rPr>
      <w:rFonts w:ascii="Arial" w:eastAsia="Arial" w:hAnsi="Arial" w:cs="Arial"/>
      <w:b/>
      <w:bCs/>
      <w:sz w:val="32"/>
      <w:szCs w:val="32"/>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73A2B"/>
    <w:pPr>
      <w:tabs>
        <w:tab w:val="center" w:pos="4680"/>
        <w:tab w:val="right" w:pos="9360"/>
      </w:tabs>
    </w:pPr>
  </w:style>
  <w:style w:type="character" w:customStyle="1" w:styleId="HeaderChar">
    <w:name w:val="Header Char"/>
    <w:basedOn w:val="DefaultParagraphFont"/>
    <w:link w:val="Header"/>
    <w:uiPriority w:val="99"/>
    <w:rsid w:val="00973A2B"/>
  </w:style>
  <w:style w:type="paragraph" w:styleId="Footer">
    <w:name w:val="footer"/>
    <w:basedOn w:val="Normal"/>
    <w:link w:val="FooterChar"/>
    <w:uiPriority w:val="99"/>
    <w:unhideWhenUsed/>
    <w:rsid w:val="00973A2B"/>
    <w:pPr>
      <w:tabs>
        <w:tab w:val="center" w:pos="4680"/>
        <w:tab w:val="right" w:pos="9360"/>
      </w:tabs>
    </w:pPr>
  </w:style>
  <w:style w:type="character" w:customStyle="1" w:styleId="FooterChar">
    <w:name w:val="Footer Char"/>
    <w:basedOn w:val="DefaultParagraphFont"/>
    <w:link w:val="Footer"/>
    <w:uiPriority w:val="99"/>
    <w:rsid w:val="00973A2B"/>
  </w:style>
  <w:style w:type="paragraph" w:styleId="NormalWeb">
    <w:name w:val="Normal (Web)"/>
    <w:basedOn w:val="Normal"/>
    <w:uiPriority w:val="99"/>
    <w:semiHidden/>
    <w:unhideWhenUsed/>
    <w:rsid w:val="00C36642"/>
    <w:pPr>
      <w:spacing w:before="100" w:beforeAutospacing="1" w:after="100" w:afterAutospacing="1"/>
    </w:pPr>
  </w:style>
  <w:style w:type="paragraph" w:styleId="Subtitle">
    <w:name w:val="Subtitle"/>
    <w:basedOn w:val="Normal"/>
    <w:next w:val="Normal"/>
    <w:uiPriority w:val="11"/>
    <w:qFormat/>
    <w:pPr>
      <w:pBdr>
        <w:top w:val="nil"/>
        <w:left w:val="nil"/>
        <w:bottom w:val="nil"/>
        <w:right w:val="nil"/>
        <w:between w:val="nil"/>
      </w:pBdr>
      <w:spacing w:after="60"/>
      <w:jc w:val="center"/>
    </w:pPr>
    <w:rPr>
      <w:rFonts w:ascii="Arial" w:eastAsia="Arial" w:hAnsi="Arial" w:cs="Arial"/>
    </w:r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F11C89"/>
    <w:rPr>
      <w:color w:val="0000FF" w:themeColor="hyperlink"/>
      <w:u w:val="single"/>
    </w:rPr>
  </w:style>
  <w:style w:type="paragraph" w:styleId="FootnoteText">
    <w:name w:val="footnote text"/>
    <w:basedOn w:val="Normal"/>
    <w:link w:val="FootnoteTextChar"/>
    <w:uiPriority w:val="99"/>
    <w:semiHidden/>
    <w:unhideWhenUsed/>
    <w:rsid w:val="005D2A7C"/>
    <w:rPr>
      <w:sz w:val="20"/>
      <w:szCs w:val="20"/>
    </w:rPr>
  </w:style>
  <w:style w:type="character" w:customStyle="1" w:styleId="FootnoteTextChar">
    <w:name w:val="Footnote Text Char"/>
    <w:basedOn w:val="DefaultParagraphFont"/>
    <w:link w:val="FootnoteText"/>
    <w:uiPriority w:val="99"/>
    <w:semiHidden/>
    <w:rsid w:val="005D2A7C"/>
    <w:rPr>
      <w:sz w:val="20"/>
      <w:szCs w:val="20"/>
    </w:rPr>
  </w:style>
  <w:style w:type="character" w:styleId="FootnoteReference">
    <w:name w:val="footnote reference"/>
    <w:basedOn w:val="DefaultParagraphFont"/>
    <w:uiPriority w:val="99"/>
    <w:semiHidden/>
    <w:unhideWhenUsed/>
    <w:rsid w:val="005D2A7C"/>
    <w:rPr>
      <w:vertAlign w:val="superscript"/>
    </w:rPr>
  </w:style>
  <w:style w:type="character" w:styleId="UnresolvedMention">
    <w:name w:val="Unresolved Mention"/>
    <w:basedOn w:val="DefaultParagraphFont"/>
    <w:uiPriority w:val="99"/>
    <w:semiHidden/>
    <w:unhideWhenUsed/>
    <w:rsid w:val="005D2A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02/hbe2.14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3389/frvir.2024.38197844"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3" Type="http://schemas.openxmlformats.org/officeDocument/2006/relationships/hyperlink" Target="https://doi.org/10.1016/j.jbusres.2019.07.039" TargetMode="External"/><Relationship Id="rId2" Type="http://schemas.openxmlformats.org/officeDocument/2006/relationships/hyperlink" Target="https://doi.org/10.4324/9780429295683" TargetMode="External"/><Relationship Id="rId1" Type="http://schemas.openxmlformats.org/officeDocument/2006/relationships/hyperlink" Target="https://doi.org/10.3390/encyclopedia2010031" TargetMode="External"/><Relationship Id="rId6" Type="http://schemas.openxmlformats.org/officeDocument/2006/relationships/hyperlink" Target="https://doi.org/10.1089/cyber.2023.0003" TargetMode="External"/><Relationship Id="rId5" Type="http://schemas.openxmlformats.org/officeDocument/2006/relationships/hyperlink" Target="https://www.britannica.com/topic/metaverse" TargetMode="External"/><Relationship Id="rId4" Type="http://schemas.openxmlformats.org/officeDocument/2006/relationships/hyperlink" Target="https://doi.org/10.3390/encyclopedia20100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ouN/XqJrCvGkcWk81DwJhS7S1g==">CgMxLjAyDmguZmZkYWx0ZzVndmZ5OAByITEwdW5pUVBUbEJ4RVVXM3NGTUNENzVxTGtXOWxxZmQ5bw==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3274</TotalTime>
  <Pages>19</Pages>
  <Words>6162</Words>
  <Characters>35125</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Arif Wibowo</cp:lastModifiedBy>
  <cp:revision>21</cp:revision>
  <dcterms:created xsi:type="dcterms:W3CDTF">2025-12-18T07:29:00Z</dcterms:created>
  <dcterms:modified xsi:type="dcterms:W3CDTF">2026-05-16T02:52:00Z</dcterms:modified>
</cp:coreProperties>
</file>