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SortsMillGoudy-italic.ttf" ContentType="application/x-font-ttf"/>
  <Override PartName="/word/fonts/SortsMillGoud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jc w:val="center"/>
      </w:pPr>
      <w:r>
        <w:rPr>
          <w:rFonts w:ascii="Cambria" w:hAnsi="Cambria" w:cs="Cambria"/>
          <w:b/>
          <w:sz w:val="28"/>
        </w:rPr>
        <w:t>Sel Hibrida Solar-Lunar: Integrasi Fotovoltaik dan Konverter Termoradiatif untuk Pembangkitan Daya Berkelanjutan</w:t>
      </w:r>
    </w:p>
    <w:p>
      <w:pPr>
        <w:spacing w:before="120" w:after="60" w:line="240" w:lineRule="auto"/>
        <w:jc w:val="center"/>
      </w:pPr>
      <w:r>
        <w:rPr>
          <w:rFonts w:ascii="Cambria" w:hAnsi="Cambria" w:cs="Cambria"/>
          <w:sz w:val="20"/>
        </w:rPr>
        <w:t>Fikri Fahlevy</w:t>
      </w:r>
    </w:p>
    <w:p>
      <w:pPr>
        <w:spacing w:before="0" w:after="60" w:line="240" w:lineRule="auto"/>
        <w:jc w:val="center"/>
      </w:pPr>
      <w:r>
        <w:rPr>
          <w:rFonts w:ascii="Cambria" w:hAnsi="Cambria" w:cs="Cambria"/>
          <w:i/>
          <w:sz w:val="18"/>
        </w:rPr>
        <w:t>Universitas Diponegoro</w:t>
      </w:r>
    </w:p>
    <w:p>
      <w:pPr>
        <w:spacing w:before="0" w:after="120" w:line="240" w:lineRule="auto"/>
        <w:jc w:val="center"/>
      </w:pPr>
      <w:r>
        <w:rPr>
          <w:rFonts w:ascii="Cambria" w:hAnsi="Cambria" w:cs="Cambria"/>
          <w:i/>
          <w:sz w:val="18"/>
        </w:rPr>
        <w:t>fikri.fahlevy@live.undip.ac.id</w:t>
      </w:r>
    </w:p>
    <w:p>
      <w:pPr>
        <w:spacing w:before="120" w:after="60" w:line="240" w:lineRule="auto"/>
        <w:jc w:val="center"/>
      </w:pPr>
      <w:r>
        <w:rPr>
          <w:rFonts w:ascii="Cambria" w:hAnsi="Cambria" w:cs="Cambria"/>
          <w:b/>
          <w:sz w:val="20"/>
        </w:rPr>
        <w:t>Abstract</w:t>
      </w:r>
    </w:p>
    <w:p>
      <w:pPr>
        <w:spacing w:before="0" w:after="120" w:line="240" w:lineRule="auto"/>
        <w:jc w:val="both"/>
      </w:pPr>
      <w:r>
        <w:rPr>
          <w:rFonts w:ascii="Cambria" w:hAnsi="Cambria" w:cs="Cambria"/>
          <w:sz w:val="20"/>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ₜₒₜₐₗ).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120" w:line="240" w:lineRule="auto"/>
        <w:jc w:val="both"/>
      </w:pPr>
      <w:r>
        <w:rPr>
          <w:rFonts w:ascii="Cambria" w:hAnsi="Cambria" w:cs="Cambria"/>
          <w:b/>
          <w:sz w:val="20"/>
        </w:rPr>
        <w:t xml:space="preserve">Keywords: </w:t>
      </w:r>
      <w:r>
        <w:rPr>
          <w:rFonts w:ascii="Cambria" w:hAnsi="Cambria" w:cs="Cambria"/>
          <w:i/>
          <w:sz w:val="20"/>
        </w:rPr>
        <w:t>Fotovoltaik, Termoradiatif, Sel Hibrida, Kopling Termal, Energi Berkelanjutan, Pembangkitan Diurnal</w:t>
      </w:r>
    </w:p>
    <w:p>
      <w:pPr>
        <w:spacing w:before="120" w:after="60" w:line="240" w:lineRule="auto"/>
        <w:jc w:val="left"/>
      </w:pPr>
      <w:r>
        <w:rPr>
          <w:rFonts w:ascii="Sorts Mill Goudy" w:hAnsi="Sorts Mill Goudy" w:cs="Sorts Mill Goudy"/>
          <w:b/>
          <w:sz w:val="20"/>
        </w:rPr>
        <w:t>PENDAHULUAN</w:t>
      </w:r>
    </w:p>
    <w:p>
      <w:pPr>
        <w:spacing w:before="0" w:after="0" w:line="240" w:lineRule="auto"/>
        <w:jc w:val="both"/>
      </w:pPr>
      <w:r>
        <w:rPr>
          <w:rFonts w:ascii="Cambria" w:hAnsi="Cambria" w:cs="Cambria"/>
          <w:sz w:val="20"/>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0" w:line="240" w:lineRule="auto"/>
        <w:jc w:val="both"/>
      </w:pPr>
      <w:r>
        <w:rPr>
          <w:rFonts w:ascii="Cambria" w:hAnsi="Cambria" w:cs="Cambria"/>
          <w:sz w:val="20"/>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0" w:line="240" w:lineRule="auto"/>
        <w:jc w:val="both"/>
      </w:pPr>
      <w:r>
        <w:rPr>
          <w:rFonts w:ascii="Cambria" w:hAnsi="Cambria" w:cs="Cambria"/>
          <w:sz w:val="20"/>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0" w:line="240" w:lineRule="auto"/>
        <w:jc w:val="both"/>
      </w:pPr>
      <w:r>
        <w:rPr>
          <w:rFonts w:ascii="Cambria" w:hAnsi="Cambria" w:cs="Cambria"/>
          <w:sz w:val="20"/>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(ₕᵧbᵣᵢd) di bawah variasi gradien suhu diurnal. • Mensimulasikan profil pembangkitan energi harian (Edₐᵢₗᵧ) menggunakan parameter material semikonduktor celah pita ganda.</w:t>
      </w:r>
    </w:p>
    <w:p>
      <w:pPr>
        <w:spacing w:before="0" w:after="0" w:line="240" w:lineRule="auto"/>
        <w:jc w:val="both"/>
      </w:pPr>
      <w:r>
        <w:rPr>
          <w:rFonts w:ascii="Cambria" w:hAnsi="Cambria" w:cs="Cambria"/>
          <w:sz w:val="20"/>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120" w:after="60" w:line="240" w:lineRule="auto"/>
        <w:jc w:val="left"/>
      </w:pPr>
      <w:r>
        <w:rPr>
          <w:rFonts w:ascii="Sorts Mill Goudy" w:hAnsi="Sorts Mill Goudy" w:cs="Sorts Mill Goudy"/>
          <w:b/>
          <w:sz w:val="20"/>
        </w:rPr>
        <w:t>TINJAUAN PUSTAKA</w:t>
      </w:r>
    </w:p>
    <w:p>
      <w:pPr>
        <w:spacing w:before="0" w:after="0" w:line="240" w:lineRule="auto"/>
        <w:jc w:val="both"/>
      </w:pPr>
      <w:r>
        <w:rPr>
          <w:rFonts w:ascii="Cambria" w:hAnsi="Cambria" w:cs="Cambria"/>
          <w:sz w:val="20"/>
        </w:rPr>
        <w:t>Bagian ini meninjau evolusi teknologi pembangkitan surya dan kemunculan konsep termoradiatif, mengidentifikasi di mana paradigma saat ini gagal menjembatani celah energi malam hari.</w:t>
      </w:r>
    </w:p>
    <w:p>
      <w:pPr>
        <w:spacing w:before="60" w:after="60" w:line="240" w:lineRule="auto"/>
        <w:jc w:val="left"/>
      </w:pPr>
      <w:r>
        <w:rPr>
          <w:rFonts w:ascii="Sorts Mill Goudy" w:hAnsi="Sorts Mill Goudy" w:cs="Sorts Mill Goudy"/>
          <w:b/>
          <w:sz w:val="20"/>
        </w:rPr>
        <w:t>Tinjauan Penelitian Terdahulu</w:t>
      </w:r>
    </w:p>
    <w:p>
      <w:pPr>
        <w:spacing w:before="0" w:after="0" w:line="240" w:lineRule="auto"/>
        <w:jc w:val="both"/>
      </w:pPr>
      <w:r>
        <w:rPr>
          <w:rFonts w:ascii="Cambria" w:hAnsi="Cambria" w:cs="Cambria"/>
          <w:sz w:val="20"/>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0" w:line="240" w:lineRule="auto"/>
        <w:jc w:val="both"/>
      </w:pPr>
      <w:r>
        <w:rPr>
          <w:rFonts w:ascii="Cambria" w:hAnsi="Cambria" w:cs="Cambria"/>
          <w:sz w:val="20"/>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0" w:line="240" w:lineRule="auto"/>
        <w:jc w:val="both"/>
      </w:pPr>
      <w:r>
        <w:rPr>
          <w:rFonts w:ascii="Cambria" w:hAnsi="Cambria" w:cs="Cambria"/>
          <w:sz w:val="20"/>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60" w:after="60" w:line="240" w:lineRule="auto"/>
        <w:jc w:val="left"/>
      </w:pPr>
      <w:r>
        <w:rPr>
          <w:rFonts w:ascii="Sorts Mill Goudy" w:hAnsi="Sorts Mill Goudy" w:cs="Sorts Mill Goudy"/>
          <w:b/>
          <w:sz w:val="20"/>
        </w:rPr>
        <w:t>Kerangka Teoritis</w:t>
      </w:r>
    </w:p>
    <w:p>
      <w:pPr>
        <w:spacing w:before="0" w:after="0" w:line="240" w:lineRule="auto"/>
        <w:jc w:val="both"/>
      </w:pPr>
      <w:r>
        <w:rPr>
          <w:rFonts w:ascii="Cambria" w:hAnsi="Cambria" w:cs="Cambria"/>
          <w:sz w:val="20"/>
        </w:rPr>
        <w:t>Termodinamika TRC berakar pada hukum Planck dan prinsip keseimbangan terperinci (detailed balance). Saat sel berada pada suhu Tcₑₗₗ dan menghadap ke langit pada Tₛₖᵧ,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240" w:after="160" w:line="240" w:lineRule="auto"/>
        <w:jc w:val="center"/>
      </w:pPr>
      <w:r>
        <w:rPr>
          <w:rFonts w:ascii="Cambria" w:hAnsi="Cambria" w:cs="Cambria"/>
          <w:i/>
          <w:color w:val="FF0000"/>
          <w:sz w:val="20"/>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spacing w:before="60" w:after="120" w:line="240" w:lineRule="auto"/>
        <w:jc w:val="center"/>
      </w:pPr>
      <w:r>
        <w:rPr>
          <w:rFonts w:ascii="Cambria" w:hAnsi="Cambria" w:cs="Cambria"/>
          <w:b/>
          <w:sz w:val="16"/>
        </w:rPr>
        <w:t xml:space="preserve">Fig. 1. </w:t>
      </w:r>
      <w:r>
        <w:rPr>
          <w:rFonts w:ascii="Cambria" w:hAnsi="Cambria" w:cs="Cambria"/>
          <w:sz w:val="16"/>
        </w:rPr>
        <w:t>Perbandingan Spektrum Operasi PV dan TRC</w:t>
      </w:r>
    </w:p>
    <w:p>
      <w:pPr>
        <w:spacing w:before="0" w:after="0" w:line="240" w:lineRule="auto"/>
        <w:jc w:val="both"/>
      </w:pPr>
      <w:r>
        <w:rPr>
          <w:rFonts w:ascii="Cambria" w:hAnsi="Cambria" w:cs="Cambria"/>
          <w:sz w:val="20"/>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240" w:after="160" w:line="240" w:lineRule="auto"/>
        <w:jc w:val="center"/>
      </w:pPr>
      <w:r>
        <w:rPr>
          <w:rFonts w:ascii="Cambria" w:hAnsi="Cambria" w:cs="Cambria"/>
          <w:i/>
          <w:color w:val="FF0000"/>
          <w:sz w:val="20"/>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spacing w:before="60" w:after="120" w:line="240" w:lineRule="auto"/>
        <w:jc w:val="center"/>
      </w:pPr>
      <w:r>
        <w:rPr>
          <w:rFonts w:ascii="Cambria" w:hAnsi="Cambria" w:cs="Cambria"/>
          <w:b/>
          <w:sz w:val="16"/>
        </w:rPr>
        <w:t xml:space="preserve">Fig. 2. </w:t>
      </w:r>
      <w:r>
        <w:rPr>
          <w:rFonts w:ascii="Cambria" w:hAnsi="Cambria" w:cs="Cambria"/>
          <w:sz w:val="16"/>
        </w:rPr>
        <w:t>Diagram Blok Kerangka Teoretis Hibridisasi</w:t>
      </w:r>
    </w:p>
    <w:p>
      <w:pPr>
        <w:spacing w:before="0" w:after="0" w:line="240" w:lineRule="auto"/>
        <w:jc w:val="both"/>
      </w:pPr>
      <w:r>
        <w:rPr>
          <w:rFonts w:ascii="Cambria" w:hAnsi="Cambria" w:cs="Cambria"/>
          <w:sz w:val="20"/>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120" w:after="60" w:line="240" w:lineRule="auto"/>
        <w:jc w:val="left"/>
      </w:pPr>
      <w:r>
        <w:rPr>
          <w:rFonts w:ascii="Sorts Mill Goudy" w:hAnsi="Sorts Mill Goudy" w:cs="Sorts Mill Goudy"/>
          <w:b/>
          <w:sz w:val="20"/>
        </w:rPr>
        <w:t>METODOLOGI</w:t>
      </w:r>
    </w:p>
    <w:p>
      <w:pPr>
        <w:spacing w:before="0" w:after="0" w:line="240" w:lineRule="auto"/>
        <w:jc w:val="both"/>
      </w:pPr>
      <w:r>
        <w:rPr>
          <w:rFonts w:ascii="Cambria" w:hAnsi="Cambria" w:cs="Cambria"/>
          <w:sz w:val="20"/>
        </w:rPr>
        <w:t>Bagian ini merinci arsitektur fisik sel hibrida, prosedur simulasi, dan model matematis yang digunakan untuk mengevaluasi kinerja sistem di bawah kondisi diurnal.</w:t>
      </w:r>
    </w:p>
    <w:p>
      <w:pPr>
        <w:spacing w:before="60" w:after="60" w:line="240" w:lineRule="auto"/>
        <w:jc w:val="left"/>
      </w:pPr>
      <w:r>
        <w:rPr>
          <w:rFonts w:ascii="Sorts Mill Goudy" w:hAnsi="Sorts Mill Goudy" w:cs="Sorts Mill Goudy"/>
          <w:b/>
          <w:sz w:val="20"/>
        </w:rPr>
        <w:t>Desain dan Arsitektur Sistem</w:t>
      </w:r>
    </w:p>
    <w:p>
      <w:pPr>
        <w:spacing w:before="0" w:after="0" w:line="240" w:lineRule="auto"/>
        <w:jc w:val="both"/>
      </w:pPr>
      <w:r>
        <w:rPr>
          <w:rFonts w:ascii="Cambria" w:hAnsi="Cambria" w:cs="Cambria"/>
          <w:sz w:val="20"/>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240" w:after="160" w:line="240" w:lineRule="auto"/>
        <w:jc w:val="center"/>
      </w:pPr>
      <w:r>
        <w:rPr>
          <w:rFonts w:ascii="Cambria" w:hAnsi="Cambria" w:cs="Cambria"/>
          <w:i/>
          <w:color w:val="FF0000"/>
          <w:sz w:val="20"/>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spacing w:before="60" w:after="120" w:line="240" w:lineRule="auto"/>
        <w:jc w:val="center"/>
      </w:pPr>
      <w:r>
        <w:rPr>
          <w:rFonts w:ascii="Cambria" w:hAnsi="Cambria" w:cs="Cambria"/>
          <w:b/>
          <w:sz w:val="16"/>
        </w:rPr>
        <w:t xml:space="preserve">Fig. 3. </w:t>
      </w:r>
      <w:r>
        <w:rPr>
          <w:rFonts w:ascii="Cambria" w:hAnsi="Cambria" w:cs="Cambria"/>
          <w:sz w:val="16"/>
        </w:rPr>
        <w:t>Alur Data dan Energi Sistem Hibrida</w:t>
      </w:r>
    </w:p>
    <w:p>
      <w:pPr>
        <w:spacing w:before="0" w:after="0" w:line="240" w:lineRule="auto"/>
        <w:jc w:val="both"/>
      </w:pPr>
      <w:r>
        <w:rPr>
          <w:rFonts w:ascii="Cambria" w:hAnsi="Cambria" w:cs="Cambria"/>
          <w:sz w:val="20"/>
        </w:rPr>
        <w:t>Gambar 3 merinci alur data dan energi dalam sistem ini. Logika kontrol termal pasif memastikan bahwa energi tidak terbuang sia-sia selama transisi senja dan fajar.</w:t>
      </w:r>
    </w:p>
    <w:p>
      <w:pPr>
        <w:spacing w:before="240" w:after="160" w:line="240" w:lineRule="auto"/>
        <w:jc w:val="center"/>
      </w:pPr>
      <w:r>
        <w:rPr>
          <w:rFonts w:ascii="Cambria" w:hAnsi="Cambria" w:cs="Cambria"/>
          <w:i/>
          <w:color w:val="FF0000"/>
          <w:sz w:val="20"/>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spacing w:before="60" w:after="120" w:line="240" w:lineRule="auto"/>
        <w:jc w:val="center"/>
      </w:pPr>
      <w:r>
        <w:rPr>
          <w:rFonts w:ascii="Cambria" w:hAnsi="Cambria" w:cs="Cambria"/>
          <w:b/>
          <w:sz w:val="16"/>
        </w:rPr>
        <w:t xml:space="preserve">Fig. 4. </w:t>
      </w:r>
      <w:r>
        <w:rPr>
          <w:rFonts w:ascii="Cambria" w:hAnsi="Cambria" w:cs="Cambria"/>
          <w:sz w:val="16"/>
        </w:rPr>
        <w:t>Penampang Melintang Arsitektur Lapisan</w:t>
      </w:r>
    </w:p>
    <w:p>
      <w:pPr>
        <w:spacing w:before="0" w:after="0" w:line="240" w:lineRule="auto"/>
        <w:jc w:val="both"/>
      </w:pPr>
      <w:r>
        <w:rPr>
          <w:rFonts w:ascii="Cambria" w:hAnsi="Cambria" w:cs="Cambria"/>
          <w:sz w:val="20"/>
        </w:rPr>
        <w:t>Gambar 4 menunjukkan penampang melintang arsitektur lapisan ini. Ketebalan setiap lapisan dioptimalkan untuk menyeimbangkan penyerapan optik dan konduktivitas termal.</w:t>
      </w:r>
    </w:p>
    <w:p>
      <w:pPr>
        <w:spacing w:before="240" w:after="160" w:line="240" w:lineRule="auto"/>
        <w:jc w:val="center"/>
      </w:pPr>
      <w:r>
        <w:rPr>
          <w:rFonts w:ascii="Cambria" w:hAnsi="Cambria" w:cs="Cambria"/>
          <w:i/>
          <w:color w:val="FF0000"/>
          <w:sz w:val="20"/>
        </w:rPr>
        <w:t>[PROMPT UNTUK AI GAMBAR: Sirkuit Termal Ekuivalen. (create an image "An electrical-thermal equivalent circuit diagram representing the heat flow in the Hybrid Cell. The circuit includes a current source representing 'Solar Heat Input (Qₛuₙ)'. This connects to a parallel RC network where the resistor is 'PV Thermal Resistance (Rₚv)' and the capacitor is 'PV Heat Capacity (Cₚv)'. The node then connects through a series resistor 'Interface Thermal Resistance (Rₜₕ)' to a second parallel RC network representing the 'PCM Layer (Rₚcₘ, Cₚcₘ)'. Finally, it connects to the 'TRC Layer' and terminates in a dependent current source representing 'Radiative Heat Loss to Sky (Qᵣₐd)' and a voltage source for 'Ambient Temperature (Tₐₘb)'. Nodes are labeled with temperatures T1, T2, T3. Standard electronic schematic symbols are used for resistors (zigzag) and capacitors (parallel lines). White background, clean academic paper figure style, black lines and text.")]</w:t>
      </w:r>
    </w:p>
    <w:p>
      <w:pPr>
        <w:spacing w:before="60" w:after="120" w:line="240" w:lineRule="auto"/>
        <w:jc w:val="center"/>
      </w:pPr>
      <w:r>
        <w:rPr>
          <w:rFonts w:ascii="Cambria" w:hAnsi="Cambria" w:cs="Cambria"/>
          <w:b/>
          <w:sz w:val="16"/>
        </w:rPr>
        <w:t xml:space="preserve">Fig. 5. </w:t>
      </w:r>
      <w:r>
        <w:rPr>
          <w:rFonts w:ascii="Cambria" w:hAnsi="Cambria" w:cs="Cambria"/>
          <w:sz w:val="16"/>
        </w:rPr>
        <w:t>Sirkuit Termal Ekuivalen</w:t>
      </w:r>
    </w:p>
    <w:p>
      <w:pPr>
        <w:spacing w:before="0" w:after="0" w:line="240" w:lineRule="auto"/>
        <w:jc w:val="both"/>
      </w:pPr>
      <w:r>
        <w:rPr>
          <w:rFonts w:ascii="Cambria" w:hAnsi="Cambria" w:cs="Cambria"/>
          <w:sz w:val="20"/>
        </w:rPr>
        <w:t>Gambar 5 memetakan sirkuit termal ekuivalen, di mana resistansi termal antarmuka (Rₜₕ) menjadi variabel kritis yang harus diminimalkan. Kapasitansi termal dari lapisan PCM bertindak sebagai penyangga, meratakan fluktuasi suhu yang ekstrem.</w:t>
      </w:r>
    </w:p>
    <w:p>
      <w:pPr>
        <w:spacing w:before="60" w:after="60" w:line="240" w:lineRule="auto"/>
        <w:jc w:val="left"/>
      </w:pPr>
      <w:r>
        <w:rPr>
          <w:rFonts w:ascii="Sorts Mill Goudy" w:hAnsi="Sorts Mill Goudy" w:cs="Sorts Mill Goudy"/>
          <w:b/>
          <w:sz w:val="20"/>
        </w:rPr>
        <w:t>Implementasi dan Prosedur Eksperimen</w:t>
      </w:r>
    </w:p>
    <w:p>
      <w:pPr>
        <w:spacing w:before="0" w:after="0" w:line="240" w:lineRule="auto"/>
        <w:jc w:val="both"/>
      </w:pPr>
      <w:r>
        <w:rPr>
          <w:rFonts w:ascii="Cambria" w:hAnsi="Cambria" w:cs="Cambria"/>
          <w:sz w:val="20"/>
        </w:rPr>
        <w:t>Pemodelan matematis dimulai dengan persamaan daya PV. Daya yang dihasilkan bergantung pada fluks foton matahari dan efisiensi kuantum eksternal material.</w:t>
      </w:r>
    </w:p>
    <w:p>
      <w:pPr>
        <w:jc w:val="center"/>
      </w:pPr>
      <w:r>
        <w:rPr>
          <w:rFonts w:ascii="Cambria Math" w:hAnsi="Cambria Math"/>
          <w:i/>
          <w:sz w:val="20"/>
        </w:rPr>
        <w:t>PPV = \intλminλg \frac{hc}{λ} Φsun(λ) ηEQE(λ) dλ    (1)</w:t>
      </w:r>
    </w:p>
    <w:p>
      <w:pPr>
        <w:spacing w:before="0" w:after="0" w:line="240" w:lineRule="auto"/>
        <w:jc w:val="both"/>
      </w:pPr>
      <w:r>
        <w:rPr>
          <w:rFonts w:ascii="Cambria" w:hAnsi="Cambria" w:cs="Cambria"/>
          <w:sz w:val="20"/>
        </w:rPr>
        <w:t>Persamaan (1) mendefinisikan PPV sebagai integral dari fluks spektral matahari ₛuₙ dikalikan energi foton dan efisiensi , di atas batas celah pita Eg. Variabel h dan c masing-masing adalah konstanta Planck dan kecepatan cahaya.</w:t>
      </w:r>
    </w:p>
    <w:p>
      <w:pPr>
        <w:spacing w:before="0" w:after="0" w:line="240" w:lineRule="auto"/>
        <w:jc w:val="both"/>
      </w:pPr>
      <w:r>
        <w:rPr>
          <w:rFonts w:ascii="Cambria" w:hAnsi="Cambria" w:cs="Cambria"/>
          <w:sz w:val="20"/>
        </w:rPr>
        <w:t>Untuk mode malam, daya termoradiatif dihitung menggunakan perbedaan laju emisi dan absorpsi foton inframerah.</w:t>
      </w:r>
    </w:p>
    <w:p>
      <w:pPr>
        <w:jc w:val="center"/>
      </w:pPr>
      <w:r>
        <w:rPr>
          <w:rFonts w:ascii="Cambria Math" w:hAnsi="Cambria Math"/>
          <w:i/>
          <w:sz w:val="20"/>
        </w:rPr>
        <w:t>PTRC = \int₀∞ \frac{2π hc^2}{λ^5} \left( \frac{1}{e\frac{hc{λ k_B Tcell}} - 1} - \frac{1}{e\frac{hc{λ k_B Tsky}} - 1} \right) dλ    (2)</w:t>
      </w:r>
    </w:p>
    <w:p>
      <w:pPr>
        <w:spacing w:before="0" w:after="0" w:line="240" w:lineRule="auto"/>
        <w:jc w:val="both"/>
      </w:pPr>
      <w:r>
        <w:rPr>
          <w:rFonts w:ascii="Cambria" w:hAnsi="Cambria" w:cs="Cambria"/>
          <w:sz w:val="20"/>
        </w:rPr>
        <w:t>Pada Persamaan (2), PTRC sangat sensitif terhadap perbedaan suhu sel (Tcₑₗₗ) dan suhu langit (Tₛₖᵧ). Konstanta kB adalah konstanta Boltzmann. Integral ini menangkap keseimbangan terperinci antara foton yang dipancarkan sel dan foton latar belakang yang diserapnya.</w:t>
      </w:r>
    </w:p>
    <w:p>
      <w:pPr>
        <w:spacing w:before="0" w:after="0" w:line="240" w:lineRule="auto"/>
        <w:jc w:val="both"/>
      </w:pPr>
      <w:r>
        <w:rPr>
          <w:rFonts w:ascii="Cambria" w:hAnsi="Cambria" w:cs="Cambria"/>
          <w:sz w:val="20"/>
        </w:rPr>
        <w:t>Efisiensi total sistem hibrida dievaluasi berdasarkan energi harian total yang dihasilkan.</w:t>
      </w:r>
    </w:p>
    <w:p>
      <w:pPr>
        <w:jc w:val="center"/>
      </w:pPr>
      <w:r>
        <w:rPr>
          <w:rFonts w:ascii="Cambria Math" w:hAnsi="Cambria Math"/>
          <w:i/>
          <w:sz w:val="20"/>
        </w:rPr>
        <w:t>ηhybrid = \frac{\int₀tday PPV(t) dt + \inttday24h PTRC(t) dt}{Gsolar \cdot tday + σ (Tamb^4 - Tsky^4) \cdot tnight}    (3)</w:t>
      </w:r>
    </w:p>
    <w:p>
      <w:pPr>
        <w:spacing w:before="0" w:after="0" w:line="240" w:lineRule="auto"/>
        <w:jc w:val="both"/>
      </w:pPr>
      <w:r>
        <w:rPr>
          <w:rFonts w:ascii="Cambria" w:hAnsi="Cambria" w:cs="Cambria"/>
          <w:sz w:val="20"/>
        </w:rPr>
        <w:t>Persamaan (3) menjumlahkan integral daya siang dan malam, dinormalisasi terhadap total input energi radiatif dari matahari dan gradien termal langit. Parameter simulasi dan batas variabel dirangkum dalam Tabel I.</w:t>
      </w:r>
    </w:p>
    <w:p>
      <w:pPr>
        <w:spacing w:before="120" w:after="60" w:line="240" w:lineRule="auto"/>
        <w:jc w:val="center"/>
      </w:pPr>
      <w:r>
        <w:rPr>
          <w:rFonts w:ascii="Cambria" w:hAnsi="Cambria" w:cs="Cambria"/>
          <w:b/>
          <w:sz w:val="16"/>
        </w:rPr>
        <w:t xml:space="preserve">Table I. </w:t>
      </w:r>
      <w:r>
        <w:rPr>
          <w:rFonts w:ascii="Cambria" w:hAnsi="Cambria" w:cs="Cambria"/>
          <w:sz w:val="16"/>
        </w:rPr>
        <w:t>Parameter dan Variabel Simulasi Sistem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835"/>
        <w:gridCol w:w="2835"/>
        <w:gridCol w:w="2835"/>
      </w:tblGrid>
      <w:tr>
        <w:tc>
          <w:tcPr>
            <w:tcW w:type="dxa" w:w="2835"/>
          </w:tcPr>
          <w:p>
            <w:pPr>
              <w:spacing w:before="0" w:after="0" w:line="240" w:lineRule="auto"/>
              <w:jc w:val="center"/>
            </w:pPr>
            <w:r/>
            <w:r>
              <w:rPr>
                <w:rFonts w:ascii="Cambria" w:hAnsi="Cambria" w:cs="Cambria"/>
                <w:b/>
                <w:sz w:val="16"/>
              </w:rPr>
              <w:t>Parameter</w:t>
            </w:r>
          </w:p>
        </w:tc>
        <w:tc>
          <w:tcPr>
            <w:tcW w:type="dxa" w:w="2835"/>
          </w:tcPr>
          <w:p>
            <w:pPr>
              <w:spacing w:before="0" w:after="0" w:line="240" w:lineRule="auto"/>
              <w:jc w:val="center"/>
            </w:pPr>
            <w:r/>
            <w:r>
              <w:rPr>
                <w:rFonts w:ascii="Cambria" w:hAnsi="Cambria" w:cs="Cambria"/>
                <w:b/>
                <w:sz w:val="16"/>
              </w:rPr>
              <w:t>Simbol</w:t>
            </w:r>
          </w:p>
        </w:tc>
        <w:tc>
          <w:tcPr>
            <w:tcW w:type="dxa" w:w="2835"/>
          </w:tcPr>
          <w:p>
            <w:pPr>
              <w:spacing w:before="0" w:after="0" w:line="240" w:lineRule="auto"/>
              <w:jc w:val="center"/>
            </w:pPr>
            <w:r/>
            <w:r>
              <w:rPr>
                <w:rFonts w:ascii="Cambria" w:hAnsi="Cambria" w:cs="Cambria"/>
                <w:b/>
                <w:sz w:val="16"/>
              </w:rPr>
              <w:t>Nilai / Kondisi</w:t>
            </w:r>
          </w:p>
        </w:tc>
      </w:tr>
      <w:tr>
        <w:tc>
          <w:tcPr>
            <w:tcW w:type="dxa" w:w="2835"/>
          </w:tcPr>
          <w:p>
            <w:pPr>
              <w:spacing w:before="0" w:after="0" w:line="240" w:lineRule="auto"/>
              <w:jc w:val="center"/>
            </w:pPr>
            <w:r/>
            <w:r>
              <w:rPr>
                <w:rFonts w:ascii="Cambria" w:hAnsi="Cambria" w:cs="Cambria"/>
                <w:sz w:val="16"/>
              </w:rPr>
              <w:t>Irradiansi Matahari Puncak</w:t>
            </w:r>
          </w:p>
        </w:tc>
        <w:tc>
          <w:tcPr>
            <w:tcW w:type="dxa" w:w="2835"/>
          </w:tcPr>
          <w:p>
            <w:pPr>
              <w:spacing w:before="0" w:after="0" w:line="240" w:lineRule="auto"/>
              <w:jc w:val="center"/>
            </w:pPr>
            <w:r/>
            <w:r>
              <w:rPr>
                <w:rFonts w:ascii="Cambria" w:hAnsi="Cambria" w:cs="Cambria"/>
                <w:sz w:val="16"/>
              </w:rPr>
              <w:t>Gₛₒₗₐᵣ</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Suhu Langit Malam Efektif</w:t>
            </w:r>
          </w:p>
        </w:tc>
        <w:tc>
          <w:tcPr>
            <w:tcW w:type="dxa" w:w="2835"/>
          </w:tcPr>
          <w:p>
            <w:pPr>
              <w:spacing w:before="0" w:after="0" w:line="240" w:lineRule="auto"/>
              <w:jc w:val="center"/>
            </w:pPr>
            <w:r/>
            <w:r>
              <w:rPr>
                <w:rFonts w:ascii="Cambria" w:hAnsi="Cambria" w:cs="Cambria"/>
                <w:sz w:val="16"/>
              </w:rPr>
              <w:t>Tₛₖᵧ</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Suhu Ambien Siang/Malam</w:t>
            </w:r>
          </w:p>
        </w:tc>
        <w:tc>
          <w:tcPr>
            <w:tcW w:type="dxa" w:w="2835"/>
          </w:tcPr>
          <w:p>
            <w:pPr>
              <w:spacing w:before="0" w:after="0" w:line="240" w:lineRule="auto"/>
              <w:jc w:val="center"/>
            </w:pPr>
            <w:r/>
            <w:r>
              <w:rPr>
                <w:rFonts w:ascii="Cambria" w:hAnsi="Cambria" w:cs="Cambria"/>
                <w:sz w:val="16"/>
              </w:rPr>
              <w:t>Tₐₘb</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Resistansi Termal Antarmuka</w:t>
            </w:r>
          </w:p>
        </w:tc>
        <w:tc>
          <w:tcPr>
            <w:tcW w:type="dxa" w:w="2835"/>
          </w:tcPr>
          <w:p>
            <w:pPr>
              <w:spacing w:before="0" w:after="0" w:line="240" w:lineRule="auto"/>
              <w:jc w:val="center"/>
            </w:pPr>
            <w:r/>
            <w:r>
              <w:rPr>
                <w:rFonts w:ascii="Cambria" w:hAnsi="Cambria" w:cs="Cambria"/>
                <w:sz w:val="16"/>
              </w:rPr>
              <w:t>Rₜₕ</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Kapasitansi Panas PCM</w:t>
            </w:r>
          </w:p>
        </w:tc>
        <w:tc>
          <w:tcPr>
            <w:tcW w:type="dxa" w:w="2835"/>
          </w:tcPr>
          <w:p>
            <w:pPr>
              <w:spacing w:before="0" w:after="0" w:line="240" w:lineRule="auto"/>
              <w:jc w:val="center"/>
            </w:pPr>
            <w:r/>
            <w:r>
              <w:rPr>
                <w:rFonts w:ascii="Cambria" w:hAnsi="Cambria" w:cs="Cambria"/>
                <w:sz w:val="16"/>
              </w:rPr>
              <w:t>Cₚcₘ</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Celah Pita Material PV</w:t>
            </w:r>
          </w:p>
        </w:tc>
        <w:tc>
          <w:tcPr>
            <w:tcW w:type="dxa" w:w="2835"/>
          </w:tcPr>
          <w:p>
            <w:pPr>
              <w:spacing w:before="0" w:after="0" w:line="240" w:lineRule="auto"/>
              <w:jc w:val="center"/>
            </w:pPr>
            <w:r/>
            <w:r>
              <w:rPr>
                <w:rFonts w:ascii="Cambria" w:hAnsi="Cambria" w:cs="Cambria"/>
                <w:sz w:val="16"/>
              </w:rPr>
              <w:t>Eg,PV</w:t>
            </w:r>
          </w:p>
        </w:tc>
        <w:tc>
          <w:tcPr>
            <w:tcW w:type="dxa" w:w="2835"/>
          </w:tcPr>
          <w:p>
            <w:pPr>
              <w:spacing w:before="0" w:after="0" w:line="240" w:lineRule="auto"/>
              <w:jc w:val="center"/>
            </w:pPr>
            <w:r/>
            <w:r>
              <w:rPr>
                <w:rFonts w:ascii="Cambria" w:hAnsi="Cambria" w:cs="Cambria"/>
                <w:sz w:val="16"/>
              </w:rPr>
              <w:t>x</w:t>
            </w:r>
          </w:p>
        </w:tc>
      </w:tr>
      <w:tr>
        <w:tc>
          <w:tcPr>
            <w:tcW w:type="dxa" w:w="2835"/>
          </w:tcPr>
          <w:p>
            <w:pPr>
              <w:spacing w:before="0" w:after="0" w:line="240" w:lineRule="auto"/>
              <w:jc w:val="center"/>
            </w:pPr>
            <w:r/>
            <w:r>
              <w:rPr>
                <w:rFonts w:ascii="Cambria" w:hAnsi="Cambria" w:cs="Cambria"/>
                <w:sz w:val="16"/>
              </w:rPr>
              <w:t>Celah Pita Material TRC</w:t>
            </w:r>
          </w:p>
        </w:tc>
        <w:tc>
          <w:tcPr>
            <w:tcW w:type="dxa" w:w="2835"/>
          </w:tcPr>
          <w:p>
            <w:pPr>
              <w:spacing w:before="0" w:after="0" w:line="240" w:lineRule="auto"/>
              <w:jc w:val="center"/>
            </w:pPr>
            <w:r/>
            <w:r>
              <w:rPr>
                <w:rFonts w:ascii="Cambria" w:hAnsi="Cambria" w:cs="Cambria"/>
                <w:sz w:val="16"/>
              </w:rPr>
              <w:t>Eg,TRC</w:t>
            </w:r>
          </w:p>
        </w:tc>
        <w:tc>
          <w:tcPr>
            <w:tcW w:type="dxa" w:w="2835"/>
          </w:tcPr>
          <w:p>
            <w:pPr>
              <w:spacing w:before="0" w:after="0" w:line="240" w:lineRule="auto"/>
              <w:jc w:val="center"/>
            </w:pPr>
            <w:r/>
            <w:r>
              <w:rPr>
                <w:rFonts w:ascii="Cambria" w:hAnsi="Cambria" w:cs="Cambria"/>
                <w:sz w:val="16"/>
              </w:rPr>
              <w:t>x</w:t>
            </w:r>
          </w:p>
        </w:tc>
      </w:tr>
    </w:tbl>
    <w:p>
      <w:pPr>
        <w:spacing w:before="120" w:after="120" w:line="240" w:lineRule="auto"/>
      </w:pPr>
      <w:r>
        <w:rPr>
          <w:rFonts w:ascii="Cambria" w:hAnsi="Cambria" w:cs="Cambria"/>
          <w:sz w:val="2"/>
        </w:rPr>
        <w:t xml:space="preserve"> </w:t>
      </w:r>
    </w:p>
    <w:p>
      <w:pPr>
        <w:spacing w:before="0" w:after="0" w:line="240" w:lineRule="auto"/>
        <w:jc w:val="both"/>
      </w:pPr>
      <w:r>
        <w:rPr>
          <w:rFonts w:ascii="Cambria" w:hAnsi="Cambria" w:cs="Cambria"/>
          <w:sz w:val="20"/>
        </w:rPr>
        <w:t>Tabel I merangkum parameter input untuk simulasi numerik. Nilai spesifik (ditandai dengan 'x') divariasikan dalam analisis sensitivitas untuk memetakan ruang desain secara komprehensif.</w:t>
      </w:r>
    </w:p>
    <w:p>
      <w:pPr>
        <w:spacing w:before="120" w:after="60" w:line="240" w:lineRule="auto"/>
        <w:jc w:val="left"/>
      </w:pPr>
      <w:r>
        <w:rPr>
          <w:rFonts w:ascii="Sorts Mill Goudy" w:hAnsi="Sorts Mill Goudy" w:cs="Sorts Mill Goudy"/>
          <w:b/>
          <w:sz w:val="20"/>
        </w:rPr>
        <w:t>HASIL DAN PEMBAHASAN</w:t>
      </w:r>
    </w:p>
    <w:p>
      <w:pPr>
        <w:spacing w:before="0" w:after="0" w:line="240" w:lineRule="auto"/>
        <w:jc w:val="both"/>
      </w:pPr>
      <w:r>
        <w:rPr>
          <w:rFonts w:ascii="Cambria" w:hAnsi="Cambria" w:cs="Cambria"/>
          <w:sz w:val="20"/>
        </w:rPr>
        <w:t>Bagian ini menyajikan hasil simulasi numerik dari model termodinamika yang telah dirumuskan, diikuti dengan analisis mendalam mengenai trade-off efisiensi dan implikasi praktisnya.</w:t>
      </w:r>
    </w:p>
    <w:p>
      <w:pPr>
        <w:spacing w:before="60" w:after="60" w:line="240" w:lineRule="auto"/>
        <w:jc w:val="left"/>
      </w:pPr>
      <w:r>
        <w:rPr>
          <w:rFonts w:ascii="Sorts Mill Goudy" w:hAnsi="Sorts Mill Goudy" w:cs="Sorts Mill Goudy"/>
          <w:b/>
          <w:sz w:val="20"/>
        </w:rPr>
        <w:t>Hasil Eksperimen</w:t>
      </w:r>
    </w:p>
    <w:p>
      <w:pPr>
        <w:spacing w:before="0" w:after="0" w:line="240" w:lineRule="auto"/>
        <w:jc w:val="both"/>
      </w:pPr>
      <w:r>
        <w:rPr>
          <w:rFonts w:ascii="Cambria" w:hAnsi="Cambria" w:cs="Cambria"/>
          <w:sz w:val="20"/>
        </w:rPr>
        <w:t>Simulasi siklus diurnal mengungkap pola pembangkitan yang saling melengkapi antara kedua mekanisme. Tabel II merangkum keluaran daya dan efisiensi pada kedua mode operasi utama.</w:t>
      </w:r>
    </w:p>
    <w:p>
      <w:pPr>
        <w:spacing w:before="120" w:after="60" w:line="240" w:lineRule="auto"/>
        <w:jc w:val="center"/>
      </w:pPr>
      <w:r>
        <w:rPr>
          <w:rFonts w:ascii="Cambria" w:hAnsi="Cambria" w:cs="Cambria"/>
          <w:b/>
          <w:sz w:val="16"/>
        </w:rPr>
        <w:t xml:space="preserve">Table II. </w:t>
      </w:r>
      <w:r>
        <w:rPr>
          <w:rFonts w:ascii="Cambria" w:hAnsi="Cambria" w:cs="Cambria"/>
          <w:sz w:val="16"/>
        </w:rPr>
        <w:t>Kinerja Diurnal Sistem Hibrida</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spacing w:before="0" w:after="0" w:line="240" w:lineRule="auto"/>
              <w:jc w:val="center"/>
            </w:pPr>
            <w:r/>
            <w:r>
              <w:rPr>
                <w:rFonts w:ascii="Cambria" w:hAnsi="Cambria" w:cs="Cambria"/>
                <w:b/>
                <w:sz w:val="16"/>
              </w:rPr>
              <w:t>Mode Operasi</w:t>
            </w:r>
          </w:p>
        </w:tc>
        <w:tc>
          <w:tcPr>
            <w:tcW w:type="dxa" w:w="2126"/>
          </w:tcPr>
          <w:p>
            <w:pPr>
              <w:spacing w:before="0" w:after="0" w:line="240" w:lineRule="auto"/>
              <w:jc w:val="center"/>
            </w:pPr>
            <w:r/>
            <w:r>
              <w:rPr>
                <w:rFonts w:ascii="Cambria" w:hAnsi="Cambria" w:cs="Cambria"/>
                <w:b/>
                <w:sz w:val="16"/>
              </w:rPr>
              <w:t>Daya Keluaran</w:t>
            </w:r>
          </w:p>
        </w:tc>
        <w:tc>
          <w:tcPr>
            <w:tcW w:type="dxa" w:w="2126"/>
          </w:tcPr>
          <w:p>
            <w:pPr>
              <w:spacing w:before="0" w:after="0" w:line="240" w:lineRule="auto"/>
              <w:jc w:val="center"/>
            </w:pPr>
            <w:r/>
            <w:r>
              <w:rPr>
                <w:rFonts w:ascii="Cambria" w:hAnsi="Cambria" w:cs="Cambria"/>
                <w:b/>
                <w:sz w:val="16"/>
              </w:rPr>
              <w:t>Efisiensi Konversi</w:t>
            </w:r>
          </w:p>
        </w:tc>
        <w:tc>
          <w:tcPr>
            <w:tcW w:type="dxa" w:w="2126"/>
          </w:tcPr>
          <w:p>
            <w:pPr>
              <w:spacing w:before="0" w:after="0" w:line="240" w:lineRule="auto"/>
              <w:jc w:val="center"/>
            </w:pPr>
            <w:r/>
            <w:r>
              <w:rPr>
                <w:rFonts w:ascii="Cambria" w:hAnsi="Cambria" w:cs="Cambria"/>
                <w:b/>
                <w:sz w:val="16"/>
              </w:rPr>
              <w:t>Kontributor Utama</w:t>
            </w:r>
          </w:p>
        </w:tc>
      </w:tr>
      <w:tr>
        <w:tc>
          <w:tcPr>
            <w:tcW w:type="dxa" w:w="2126"/>
          </w:tcPr>
          <w:p>
            <w:pPr>
              <w:spacing w:before="0" w:after="0" w:line="240" w:lineRule="auto"/>
              <w:jc w:val="center"/>
            </w:pPr>
            <w:r/>
            <w:r>
              <w:rPr>
                <w:rFonts w:ascii="Cambria" w:hAnsi="Cambria" w:cs="Cambria"/>
                <w:sz w:val="16"/>
              </w:rPr>
              <w:t>Siang (Puncak)</w:t>
            </w:r>
          </w:p>
        </w:tc>
        <w:tc>
          <w:tcPr>
            <w:tcW w:type="dxa" w:w="2126"/>
          </w:tcPr>
          <w:p>
            <w:pPr>
              <w:spacing w:before="0" w:after="0" w:line="240" w:lineRule="auto"/>
              <w:jc w:val="center"/>
            </w:pPr>
            <w:r/>
            <w:r>
              <w:rPr>
                <w:rFonts w:ascii="Cambria" w:hAnsi="Cambria" w:cs="Cambria"/>
                <w:sz w:val="16"/>
              </w:rPr>
              <w:t>PPV</w:t>
            </w:r>
          </w:p>
        </w:tc>
        <w:tc>
          <w:tcPr>
            <w:tcW w:type="dxa" w:w="2126"/>
          </w:tcPr>
          <w:p>
            <w:pPr>
              <w:spacing w:before="0" w:after="0" w:line="240" w:lineRule="auto"/>
              <w:jc w:val="center"/>
            </w:pPr>
            <w:r/>
            <w:r>
              <w:rPr>
                <w:rFonts w:ascii="Cambria" w:hAnsi="Cambria" w:cs="Cambria"/>
                <w:sz w:val="16"/>
              </w:rPr>
            </w:r>
          </w:p>
        </w:tc>
        <w:tc>
          <w:tcPr>
            <w:tcW w:type="dxa" w:w="2126"/>
          </w:tcPr>
          <w:p>
            <w:pPr>
              <w:spacing w:before="0" w:after="0" w:line="240" w:lineRule="auto"/>
              <w:jc w:val="center"/>
            </w:pPr>
            <w:r/>
            <w:r>
              <w:rPr>
                <w:rFonts w:ascii="Cambria" w:hAnsi="Cambria" w:cs="Cambria"/>
                <w:sz w:val="16"/>
              </w:rPr>
              <w:t>Absorpsi Foton</w:t>
            </w:r>
          </w:p>
        </w:tc>
      </w:tr>
      <w:tr>
        <w:tc>
          <w:tcPr>
            <w:tcW w:type="dxa" w:w="2126"/>
          </w:tcPr>
          <w:p>
            <w:pPr>
              <w:spacing w:before="0" w:after="0" w:line="240" w:lineRule="auto"/>
              <w:jc w:val="center"/>
            </w:pPr>
            <w:r/>
            <w:r>
              <w:rPr>
                <w:rFonts w:ascii="Cambria" w:hAnsi="Cambria" w:cs="Cambria"/>
                <w:sz w:val="16"/>
              </w:rPr>
              <w:t>Malam (Puncak)</w:t>
            </w:r>
          </w:p>
        </w:tc>
        <w:tc>
          <w:tcPr>
            <w:tcW w:type="dxa" w:w="2126"/>
          </w:tcPr>
          <w:p>
            <w:pPr>
              <w:spacing w:before="0" w:after="0" w:line="240" w:lineRule="auto"/>
              <w:jc w:val="center"/>
            </w:pPr>
            <w:r/>
            <w:r>
              <w:rPr>
                <w:rFonts w:ascii="Cambria" w:hAnsi="Cambria" w:cs="Cambria"/>
                <w:sz w:val="16"/>
              </w:rPr>
              <w:t>PTRC</w:t>
            </w:r>
          </w:p>
        </w:tc>
        <w:tc>
          <w:tcPr>
            <w:tcW w:type="dxa" w:w="2126"/>
          </w:tcPr>
          <w:p>
            <w:pPr>
              <w:spacing w:before="0" w:after="0" w:line="240" w:lineRule="auto"/>
              <w:jc w:val="center"/>
            </w:pPr>
            <w:r/>
            <w:r>
              <w:rPr>
                <w:rFonts w:ascii="Cambria" w:hAnsi="Cambria" w:cs="Cambria"/>
                <w:sz w:val="16"/>
              </w:rPr>
            </w:r>
          </w:p>
        </w:tc>
        <w:tc>
          <w:tcPr>
            <w:tcW w:type="dxa" w:w="2126"/>
          </w:tcPr>
          <w:p>
            <w:pPr>
              <w:spacing w:before="0" w:after="0" w:line="240" w:lineRule="auto"/>
              <w:jc w:val="center"/>
            </w:pPr>
            <w:r/>
            <w:r>
              <w:rPr>
                <w:rFonts w:ascii="Cambria" w:hAnsi="Cambria" w:cs="Cambria"/>
                <w:sz w:val="16"/>
              </w:rPr>
              <w:t>Emisi Inframerah</w:t>
            </w:r>
          </w:p>
        </w:tc>
      </w:tr>
      <w:tr>
        <w:tc>
          <w:tcPr>
            <w:tcW w:type="dxa" w:w="2126"/>
          </w:tcPr>
          <w:p>
            <w:pPr>
              <w:spacing w:before="0" w:after="0" w:line="240" w:lineRule="auto"/>
              <w:jc w:val="center"/>
            </w:pPr>
            <w:r/>
            <w:r>
              <w:rPr>
                <w:rFonts w:ascii="Cambria" w:hAnsi="Cambria" w:cs="Cambria"/>
                <w:sz w:val="16"/>
              </w:rPr>
              <w:t>Transisi (Senja/Fajar)</w:t>
            </w:r>
          </w:p>
        </w:tc>
        <w:tc>
          <w:tcPr>
            <w:tcW w:type="dxa" w:w="2126"/>
          </w:tcPr>
          <w:p>
            <w:pPr>
              <w:spacing w:before="0" w:after="0" w:line="240" w:lineRule="auto"/>
              <w:jc w:val="center"/>
            </w:pPr>
            <w:r/>
            <w:r>
              <w:rPr>
                <w:rFonts w:ascii="Cambria" w:hAnsi="Cambria" w:cs="Cambria"/>
                <w:sz w:val="16"/>
              </w:rPr>
              <w:t>Pₕᵧbᵣᵢd</w:t>
            </w:r>
          </w:p>
        </w:tc>
        <w:tc>
          <w:tcPr>
            <w:tcW w:type="dxa" w:w="2126"/>
          </w:tcPr>
          <w:p>
            <w:pPr>
              <w:spacing w:before="0" w:after="0" w:line="240" w:lineRule="auto"/>
              <w:jc w:val="center"/>
            </w:pPr>
            <w:r/>
            <w:r>
              <w:rPr>
                <w:rFonts w:ascii="Cambria" w:hAnsi="Cambria" w:cs="Cambria"/>
                <w:sz w:val="16"/>
              </w:rPr>
              <w:t>ₜᵣₐₙₛ</w:t>
            </w:r>
          </w:p>
        </w:tc>
        <w:tc>
          <w:tcPr>
            <w:tcW w:type="dxa" w:w="2126"/>
          </w:tcPr>
          <w:p>
            <w:pPr>
              <w:spacing w:before="0" w:after="0" w:line="240" w:lineRule="auto"/>
              <w:jc w:val="center"/>
            </w:pPr>
            <w:r/>
            <w:r>
              <w:rPr>
                <w:rFonts w:ascii="Cambria" w:hAnsi="Cambria" w:cs="Cambria"/>
                <w:sz w:val="16"/>
              </w:rPr>
              <w:t>Kopling Termal</w:t>
            </w:r>
          </w:p>
        </w:tc>
      </w:tr>
    </w:tbl>
    <w:p>
      <w:pPr>
        <w:spacing w:before="120" w:after="120" w:line="240" w:lineRule="auto"/>
      </w:pPr>
      <w:r>
        <w:rPr>
          <w:rFonts w:ascii="Cambria" w:hAnsi="Cambria" w:cs="Cambria"/>
          <w:sz w:val="2"/>
        </w:rPr>
        <w:t xml:space="preserve"> </w:t>
      </w:r>
    </w:p>
    <w:p>
      <w:pPr>
        <w:spacing w:before="0" w:after="0" w:line="240" w:lineRule="auto"/>
        <w:jc w:val="both"/>
      </w:pPr>
      <w:r>
        <w:rPr>
          <w:rFonts w:ascii="Cambria" w:hAnsi="Cambria" w:cs="Cambria"/>
          <w:sz w:val="20"/>
        </w:rPr>
        <w:t>Data pada Tabel II menunjukkan bahwa saat PPV turun ke nol, PTRC mengambil alih. Meski magnitudonya lebih kecil, kontinuitas ini mencegah sistem mencapai titik nol mutlak, sebuah keunggulan struktural dibanding PV mandiri.</w:t>
      </w:r>
    </w:p>
    <w:p>
      <w:pPr>
        <w:spacing w:before="240" w:after="160" w:line="240" w:lineRule="auto"/>
        <w:jc w:val="center"/>
      </w:pPr>
      <w:r>
        <w:rPr>
          <w:rFonts w:ascii="Cambria" w:hAnsi="Cambria" w:cs="Cambria"/>
          <w:i/>
          <w:color w:val="FF0000"/>
          <w:sz w:val="20"/>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spacing w:before="60" w:after="120" w:line="240" w:lineRule="auto"/>
        <w:jc w:val="center"/>
      </w:pPr>
      <w:r>
        <w:rPr>
          <w:rFonts w:ascii="Cambria" w:hAnsi="Cambria" w:cs="Cambria"/>
          <w:b/>
          <w:sz w:val="16"/>
        </w:rPr>
        <w:t xml:space="preserve">Fig. 6. </w:t>
      </w:r>
      <w:r>
        <w:rPr>
          <w:rFonts w:ascii="Cambria" w:hAnsi="Cambria" w:cs="Cambria"/>
          <w:sz w:val="16"/>
        </w:rPr>
        <w:t>Profil Daya 24 Jam Sistem Hibrida</w:t>
      </w:r>
    </w:p>
    <w:p>
      <w:pPr>
        <w:spacing w:before="0" w:after="0" w:line="240" w:lineRule="auto"/>
        <w:jc w:val="both"/>
      </w:pPr>
      <w:r>
        <w:rPr>
          <w:rFonts w:ascii="Cambria" w:hAnsi="Cambria" w:cs="Cambria"/>
          <w:sz w:val="20"/>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240" w:after="160" w:line="240" w:lineRule="auto"/>
        <w:jc w:val="center"/>
      </w:pPr>
      <w:r>
        <w:rPr>
          <w:rFonts w:ascii="Cambria" w:hAnsi="Cambria" w:cs="Cambria"/>
          <w:i/>
          <w:color w:val="FF0000"/>
          <w:sz w:val="20"/>
        </w:rPr>
        <w:t>[PROMPT UNTUK AI GAMBAR: Efisiensi Total terhadap Suhu Ambien. (create an image "A scatter plot with a trend line showing the relationship between Ambient Temperature and Total Hybrid Efficiency. X-axis: 'Ambient Temperature, Tₐₘb (K)' ranging from 280K to 320K. Y-axis: 'Total Hybrid Efficiency, ₕᵧbᵣᵢd (%)' ranging from 0% to 40%. The plot shows a negative correlation: as Tₐₘb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spacing w:before="60" w:after="120" w:line="240" w:lineRule="auto"/>
        <w:jc w:val="center"/>
      </w:pPr>
      <w:r>
        <w:rPr>
          <w:rFonts w:ascii="Cambria" w:hAnsi="Cambria" w:cs="Cambria"/>
          <w:b/>
          <w:sz w:val="16"/>
        </w:rPr>
        <w:t xml:space="preserve">Fig. 7. </w:t>
      </w:r>
      <w:r>
        <w:rPr>
          <w:rFonts w:ascii="Cambria" w:hAnsi="Cambria" w:cs="Cambria"/>
          <w:sz w:val="16"/>
        </w:rPr>
        <w:t>Efisiensi Total terhadap Suhu Ambien</w:t>
      </w:r>
    </w:p>
    <w:p>
      <w:pPr>
        <w:spacing w:before="0" w:after="0" w:line="240" w:lineRule="auto"/>
        <w:jc w:val="both"/>
      </w:pPr>
      <w:r>
        <w:rPr>
          <w:rFonts w:ascii="Cambria" w:hAnsi="Cambria" w:cs="Cambria"/>
          <w:sz w:val="20"/>
        </w:rPr>
        <w:t>Gambar 7 menunjukkan bagaimana efisiensi total (ₕᵧbᵣᵢd) berfluktuasi terhadap suhu ambien (Tₐₘb). Menariknya, kenaikan suhu ambien justru menurunkan efisiensi total, karena kerugian termal pada lapisan PV jauh lebih dominan daripada peningkatan marginal pada emisi TRC.</w:t>
      </w:r>
    </w:p>
    <w:p>
      <w:pPr>
        <w:spacing w:before="60" w:after="60" w:line="240" w:lineRule="auto"/>
        <w:jc w:val="left"/>
      </w:pPr>
      <w:r>
        <w:rPr>
          <w:rFonts w:ascii="Sorts Mill Goudy" w:hAnsi="Sorts Mill Goudy" w:cs="Sorts Mill Goudy"/>
          <w:b/>
          <w:sz w:val="20"/>
        </w:rPr>
        <w:t>Analisis dan Pembahasan</w:t>
      </w:r>
    </w:p>
    <w:p>
      <w:pPr>
        <w:spacing w:before="0" w:after="0" w:line="240" w:lineRule="auto"/>
        <w:jc w:val="both"/>
      </w:pPr>
      <w:r>
        <w:rPr>
          <w:rFonts w:ascii="Cambria" w:hAnsi="Cambria" w:cs="Cambria"/>
          <w:sz w:val="20"/>
        </w:rPr>
        <w:t>Mengapa kopling termal begitu krusial? Tanpa PCM, panas PV akan terbuang ke lingkungan melalui konveksi. Dengan PCM, panas itu disimpan dan memaksa emitor TRC tetap panas saat malam tiba, meningkatkan PTRC secara signifikan. Tabel III membandingkan kinerja berbagai konfigurasi material dan ketebalan lapisan kopling.</w:t>
      </w:r>
    </w:p>
    <w:p>
      <w:pPr>
        <w:spacing w:before="120" w:after="60" w:line="240" w:lineRule="auto"/>
        <w:jc w:val="center"/>
      </w:pPr>
      <w:r>
        <w:rPr>
          <w:rFonts w:ascii="Cambria" w:hAnsi="Cambria" w:cs="Cambria"/>
          <w:b/>
          <w:sz w:val="16"/>
        </w:rPr>
        <w:t xml:space="preserve">Table III. </w:t>
      </w:r>
      <w:r>
        <w:rPr>
          <w:rFonts w:ascii="Cambria" w:hAnsi="Cambria" w:cs="Cambria"/>
          <w:sz w:val="16"/>
        </w:rPr>
        <w:t>Perbandingan Konfigurasi Material dan Kopling</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126"/>
        <w:gridCol w:w="2126"/>
        <w:gridCol w:w="2126"/>
        <w:gridCol w:w="2126"/>
      </w:tblGrid>
      <w:tr>
        <w:tc>
          <w:tcPr>
            <w:tcW w:type="dxa" w:w="2126"/>
          </w:tcPr>
          <w:p>
            <w:pPr>
              <w:spacing w:before="0" w:after="0" w:line="240" w:lineRule="auto"/>
              <w:jc w:val="center"/>
            </w:pPr>
            <w:r/>
            <w:r>
              <w:rPr>
                <w:rFonts w:ascii="Cambria" w:hAnsi="Cambria" w:cs="Cambria"/>
                <w:b/>
                <w:sz w:val="16"/>
              </w:rPr>
              <w:t>Konfigurasi</w:t>
            </w:r>
          </w:p>
        </w:tc>
        <w:tc>
          <w:tcPr>
            <w:tcW w:type="dxa" w:w="2126"/>
          </w:tcPr>
          <w:p>
            <w:pPr>
              <w:spacing w:before="0" w:after="0" w:line="240" w:lineRule="auto"/>
              <w:jc w:val="center"/>
            </w:pPr>
            <w:r/>
            <w:r>
              <w:rPr>
                <w:rFonts w:ascii="Cambria" w:hAnsi="Cambria" w:cs="Cambria"/>
                <w:b/>
                <w:sz w:val="16"/>
              </w:rPr>
              <w:t>Resistansi Termal (Rₜₕ)</w:t>
            </w:r>
          </w:p>
        </w:tc>
        <w:tc>
          <w:tcPr>
            <w:tcW w:type="dxa" w:w="2126"/>
          </w:tcPr>
          <w:p>
            <w:pPr>
              <w:spacing w:before="0" w:after="0" w:line="240" w:lineRule="auto"/>
              <w:jc w:val="center"/>
            </w:pPr>
            <w:r/>
            <w:r>
              <w:rPr>
                <w:rFonts w:ascii="Cambria" w:hAnsi="Cambria" w:cs="Cambria"/>
                <w:b/>
                <w:sz w:val="16"/>
              </w:rPr>
              <w:t>Daya Malam (PTRC)</w:t>
            </w:r>
          </w:p>
        </w:tc>
        <w:tc>
          <w:tcPr>
            <w:tcW w:type="dxa" w:w="2126"/>
          </w:tcPr>
          <w:p>
            <w:pPr>
              <w:spacing w:before="0" w:after="0" w:line="240" w:lineRule="auto"/>
              <w:jc w:val="center"/>
            </w:pPr>
            <w:r/>
            <w:r>
              <w:rPr>
                <w:rFonts w:ascii="Cambria" w:hAnsi="Cambria" w:cs="Cambria"/>
                <w:b/>
                <w:sz w:val="16"/>
              </w:rPr>
              <w:t>Stabilitas Termal</w:t>
            </w:r>
          </w:p>
        </w:tc>
      </w:tr>
      <w:tr>
        <w:tc>
          <w:tcPr>
            <w:tcW w:type="dxa" w:w="2126"/>
          </w:tcPr>
          <w:p>
            <w:pPr>
              <w:spacing w:before="0" w:after="0" w:line="240" w:lineRule="auto"/>
              <w:jc w:val="center"/>
            </w:pPr>
            <w:r/>
            <w:r>
              <w:rPr>
                <w:rFonts w:ascii="Cambria" w:hAnsi="Cambria" w:cs="Cambria"/>
                <w:sz w:val="16"/>
              </w:rPr>
              <w:t>Tanpa PCM (Baseline)</w:t>
            </w:r>
          </w:p>
        </w:tc>
        <w:tc>
          <w:tcPr>
            <w:tcW w:type="dxa" w:w="2126"/>
          </w:tcPr>
          <w:p>
            <w:pPr>
              <w:spacing w:before="0" w:after="0" w:line="240" w:lineRule="auto"/>
              <w:jc w:val="center"/>
            </w:pPr>
            <w:r/>
            <w:r>
              <w:rPr>
                <w:rFonts w:ascii="Cambria" w:hAnsi="Cambria" w:cs="Cambria"/>
                <w:sz w:val="16"/>
              </w:rPr>
              <w:t>Rendah</w:t>
            </w:r>
          </w:p>
        </w:tc>
        <w:tc>
          <w:tcPr>
            <w:tcW w:type="dxa" w:w="2126"/>
          </w:tcPr>
          <w:p>
            <w:pPr>
              <w:spacing w:before="0" w:after="0" w:line="240" w:lineRule="auto"/>
              <w:jc w:val="center"/>
            </w:pPr>
            <w:r/>
            <w:r>
              <w:rPr>
                <w:rFonts w:ascii="Cambria" w:hAnsi="Cambria" w:cs="Cambria"/>
                <w:sz w:val="16"/>
              </w:rPr>
              <w:t>d₁</w:t>
            </w:r>
          </w:p>
        </w:tc>
        <w:tc>
          <w:tcPr>
            <w:tcW w:type="dxa" w:w="2126"/>
          </w:tcPr>
          <w:p>
            <w:pPr>
              <w:spacing w:before="0" w:after="0" w:line="240" w:lineRule="auto"/>
              <w:jc w:val="center"/>
            </w:pPr>
            <w:r/>
            <w:r>
              <w:rPr>
                <w:rFonts w:ascii="Cambria" w:hAnsi="Cambria" w:cs="Cambria"/>
                <w:sz w:val="16"/>
              </w:rPr>
              <w:t>Buruk</w:t>
            </w:r>
          </w:p>
        </w:tc>
      </w:tr>
      <w:tr>
        <w:tc>
          <w:tcPr>
            <w:tcW w:type="dxa" w:w="2126"/>
          </w:tcPr>
          <w:p>
            <w:pPr>
              <w:spacing w:before="0" w:after="0" w:line="240" w:lineRule="auto"/>
              <w:jc w:val="center"/>
            </w:pPr>
            <w:r/>
            <w:r>
              <w:rPr>
                <w:rFonts w:ascii="Cambria" w:hAnsi="Cambria" w:cs="Cambria"/>
                <w:sz w:val="16"/>
              </w:rPr>
              <w:t>PCM Organik (Parafin)</w:t>
            </w:r>
          </w:p>
        </w:tc>
        <w:tc>
          <w:tcPr>
            <w:tcW w:type="dxa" w:w="2126"/>
          </w:tcPr>
          <w:p>
            <w:pPr>
              <w:spacing w:before="0" w:after="0" w:line="240" w:lineRule="auto"/>
              <w:jc w:val="center"/>
            </w:pPr>
            <w:r/>
            <w:r>
              <w:rPr>
                <w:rFonts w:ascii="Cambria" w:hAnsi="Cambria" w:cs="Cambria"/>
                <w:sz w:val="16"/>
              </w:rPr>
              <w:t>Sedang</w:t>
            </w:r>
          </w:p>
        </w:tc>
        <w:tc>
          <w:tcPr>
            <w:tcW w:type="dxa" w:w="2126"/>
          </w:tcPr>
          <w:p>
            <w:pPr>
              <w:spacing w:before="0" w:after="0" w:line="240" w:lineRule="auto"/>
              <w:jc w:val="center"/>
            </w:pPr>
            <w:r/>
            <w:r>
              <w:rPr>
                <w:rFonts w:ascii="Cambria" w:hAnsi="Cambria" w:cs="Cambria"/>
                <w:sz w:val="16"/>
              </w:rPr>
              <w:t>d₂</w:t>
            </w:r>
          </w:p>
        </w:tc>
        <w:tc>
          <w:tcPr>
            <w:tcW w:type="dxa" w:w="2126"/>
          </w:tcPr>
          <w:p>
            <w:pPr>
              <w:spacing w:before="0" w:after="0" w:line="240" w:lineRule="auto"/>
              <w:jc w:val="center"/>
            </w:pPr>
            <w:r/>
            <w:r>
              <w:rPr>
                <w:rFonts w:ascii="Cambria" w:hAnsi="Cambria" w:cs="Cambria"/>
                <w:sz w:val="16"/>
              </w:rPr>
              <w:t>Baik</w:t>
            </w:r>
          </w:p>
        </w:tc>
      </w:tr>
      <w:tr>
        <w:tc>
          <w:tcPr>
            <w:tcW w:type="dxa" w:w="2126"/>
          </w:tcPr>
          <w:p>
            <w:pPr>
              <w:spacing w:before="0" w:after="0" w:line="240" w:lineRule="auto"/>
              <w:jc w:val="center"/>
            </w:pPr>
            <w:r/>
            <w:r>
              <w:rPr>
                <w:rFonts w:ascii="Cambria" w:hAnsi="Cambria" w:cs="Cambria"/>
                <w:sz w:val="16"/>
              </w:rPr>
              <w:t>PCM Anorganik (Garam)</w:t>
            </w:r>
          </w:p>
        </w:tc>
        <w:tc>
          <w:tcPr>
            <w:tcW w:type="dxa" w:w="2126"/>
          </w:tcPr>
          <w:p>
            <w:pPr>
              <w:spacing w:before="0" w:after="0" w:line="240" w:lineRule="auto"/>
              <w:jc w:val="center"/>
            </w:pPr>
            <w:r/>
            <w:r>
              <w:rPr>
                <w:rFonts w:ascii="Cambria" w:hAnsi="Cambria" w:cs="Cambria"/>
                <w:sz w:val="16"/>
              </w:rPr>
              <w:t>Tinggi</w:t>
            </w:r>
          </w:p>
        </w:tc>
        <w:tc>
          <w:tcPr>
            <w:tcW w:type="dxa" w:w="2126"/>
          </w:tcPr>
          <w:p>
            <w:pPr>
              <w:spacing w:before="0" w:after="0" w:line="240" w:lineRule="auto"/>
              <w:jc w:val="center"/>
            </w:pPr>
            <w:r/>
            <w:r>
              <w:rPr>
                <w:rFonts w:ascii="Cambria" w:hAnsi="Cambria" w:cs="Cambria"/>
                <w:sz w:val="16"/>
              </w:rPr>
              <w:t>d₃</w:t>
            </w:r>
          </w:p>
        </w:tc>
        <w:tc>
          <w:tcPr>
            <w:tcW w:type="dxa" w:w="2126"/>
          </w:tcPr>
          <w:p>
            <w:pPr>
              <w:spacing w:before="0" w:after="0" w:line="240" w:lineRule="auto"/>
              <w:jc w:val="center"/>
            </w:pPr>
            <w:r/>
            <w:r>
              <w:rPr>
                <w:rFonts w:ascii="Cambria" w:hAnsi="Cambria" w:cs="Cambria"/>
                <w:sz w:val="16"/>
              </w:rPr>
              <w:t>Sangat Baik</w:t>
            </w:r>
          </w:p>
        </w:tc>
      </w:tr>
      <w:tr>
        <w:tc>
          <w:tcPr>
            <w:tcW w:type="dxa" w:w="2126"/>
          </w:tcPr>
          <w:p>
            <w:pPr>
              <w:spacing w:before="0" w:after="0" w:line="240" w:lineRule="auto"/>
              <w:jc w:val="center"/>
            </w:pPr>
            <w:r/>
            <w:r>
              <w:rPr>
                <w:rFonts w:ascii="Cambria" w:hAnsi="Cambria" w:cs="Cambria"/>
                <w:sz w:val="16"/>
              </w:rPr>
              <w:t>Kopling Langsung (Tanpa Isolasi)</w:t>
            </w:r>
          </w:p>
        </w:tc>
        <w:tc>
          <w:tcPr>
            <w:tcW w:type="dxa" w:w="2126"/>
          </w:tcPr>
          <w:p>
            <w:pPr>
              <w:spacing w:before="0" w:after="0" w:line="240" w:lineRule="auto"/>
              <w:jc w:val="center"/>
            </w:pPr>
            <w:r/>
            <w:r>
              <w:rPr>
                <w:rFonts w:ascii="Cambria" w:hAnsi="Cambria" w:cs="Cambria"/>
                <w:sz w:val="16"/>
              </w:rPr>
              <w:t>Sangat Rendah</w:t>
            </w:r>
          </w:p>
        </w:tc>
        <w:tc>
          <w:tcPr>
            <w:tcW w:type="dxa" w:w="2126"/>
          </w:tcPr>
          <w:p>
            <w:pPr>
              <w:spacing w:before="0" w:after="0" w:line="240" w:lineRule="auto"/>
              <w:jc w:val="center"/>
            </w:pPr>
            <w:r/>
            <w:r>
              <w:rPr>
                <w:rFonts w:ascii="Cambria" w:hAnsi="Cambria" w:cs="Cambria"/>
                <w:sz w:val="16"/>
              </w:rPr>
              <w:t>d₄</w:t>
            </w:r>
          </w:p>
        </w:tc>
        <w:tc>
          <w:tcPr>
            <w:tcW w:type="dxa" w:w="2126"/>
          </w:tcPr>
          <w:p>
            <w:pPr>
              <w:spacing w:before="0" w:after="0" w:line="240" w:lineRule="auto"/>
              <w:jc w:val="center"/>
            </w:pPr>
            <w:r/>
            <w:r>
              <w:rPr>
                <w:rFonts w:ascii="Cambria" w:hAnsi="Cambria" w:cs="Cambria"/>
                <w:sz w:val="16"/>
              </w:rPr>
              <w:t>Buruk</w:t>
            </w:r>
          </w:p>
        </w:tc>
      </w:tr>
    </w:tbl>
    <w:p>
      <w:pPr>
        <w:spacing w:before="120" w:after="120" w:line="240" w:lineRule="auto"/>
      </w:pPr>
      <w:r>
        <w:rPr>
          <w:rFonts w:ascii="Cambria" w:hAnsi="Cambria" w:cs="Cambria"/>
          <w:sz w:val="2"/>
        </w:rPr>
        <w:t xml:space="preserve"> </w:t>
      </w:r>
    </w:p>
    <w:p>
      <w:pPr>
        <w:spacing w:before="0" w:after="0" w:line="240" w:lineRule="auto"/>
        <w:jc w:val="both"/>
      </w:pPr>
      <w:r>
        <w:rPr>
          <w:rFonts w:ascii="Cambria" w:hAnsi="Cambria" w:cs="Cambria"/>
          <w:sz w:val="20"/>
        </w:rPr>
        <w:t>Anomali muncul pada konfigurasi dengan resistansi termal sangat rendah (kopling langsung). Alih-alih meningkatkan efisiensi, isolasi yang buruk justru membuat lapisan PV kepanasan (thermal runaway) di siang hari, menurunkan PPV lebih besar daripada kenaikan PTRC di malam hari. Ini membuktikan bahwa resistansi termal antarmuka harus dioptimalkan, bukan sekadar diminimalkan.</w:t>
      </w:r>
    </w:p>
    <w:p>
      <w:pPr>
        <w:spacing w:before="240" w:after="160" w:line="240" w:lineRule="auto"/>
        <w:jc w:val="center"/>
      </w:pPr>
      <w:r>
        <w:rPr>
          <w:rFonts w:ascii="Cambria" w:hAnsi="Cambria" w:cs="Cambria"/>
          <w:i/>
          <w:color w:val="FF0000"/>
          <w:sz w:val="20"/>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spacing w:before="60" w:after="120" w:line="240" w:lineRule="auto"/>
        <w:jc w:val="center"/>
      </w:pPr>
      <w:r>
        <w:rPr>
          <w:rFonts w:ascii="Cambria" w:hAnsi="Cambria" w:cs="Cambria"/>
          <w:b/>
          <w:sz w:val="16"/>
        </w:rPr>
        <w:t xml:space="preserve">Fig. 8. </w:t>
      </w:r>
      <w:r>
        <w:rPr>
          <w:rFonts w:ascii="Cambria" w:hAnsi="Cambria" w:cs="Cambria"/>
          <w:sz w:val="16"/>
        </w:rPr>
        <w:t>Tumpang Tindih Spektral dan Rugi Refleksi</w:t>
      </w:r>
    </w:p>
    <w:p>
      <w:pPr>
        <w:spacing w:before="0" w:after="0" w:line="240" w:lineRule="auto"/>
        <w:jc w:val="both"/>
      </w:pPr>
      <w:r>
        <w:rPr>
          <w:rFonts w:ascii="Cambria" w:hAnsi="Cambria" w:cs="Cambria"/>
          <w:sz w:val="20"/>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240" w:after="160" w:line="240" w:lineRule="auto"/>
        <w:jc w:val="center"/>
      </w:pPr>
      <w:r>
        <w:rPr>
          <w:rFonts w:ascii="Cambria" w:hAnsi="Cambria" w:cs="Cambria"/>
          <w:i/>
          <w:color w:val="FF0000"/>
          <w:sz w:val="20"/>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spacing w:before="60" w:after="120" w:line="240" w:lineRule="auto"/>
        <w:jc w:val="center"/>
      </w:pPr>
      <w:r>
        <w:rPr>
          <w:rFonts w:ascii="Cambria" w:hAnsi="Cambria" w:cs="Cambria"/>
          <w:b/>
          <w:sz w:val="16"/>
        </w:rPr>
        <w:t xml:space="preserve">Fig. 9. </w:t>
      </w:r>
      <w:r>
        <w:rPr>
          <w:rFonts w:ascii="Cambria" w:hAnsi="Cambria" w:cs="Cambria"/>
          <w:sz w:val="16"/>
        </w:rPr>
        <w:t>Perbandingan Total Energi Harian</w:t>
      </w:r>
    </w:p>
    <w:p>
      <w:pPr>
        <w:spacing w:before="0" w:after="0" w:line="240" w:lineRule="auto"/>
        <w:jc w:val="both"/>
      </w:pPr>
      <w:r>
        <w:rPr>
          <w:rFonts w:ascii="Cambria" w:hAnsi="Cambria" w:cs="Cambria"/>
          <w:sz w:val="20"/>
        </w:rPr>
        <w:t>Gambar 9 merangkum total energi harian (Edₐᵢₗᵧ)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120" w:after="60" w:line="240" w:lineRule="auto"/>
        <w:jc w:val="left"/>
      </w:pPr>
      <w:r>
        <w:rPr>
          <w:rFonts w:ascii="Sorts Mill Goudy" w:hAnsi="Sorts Mill Goudy" w:cs="Sorts Mill Goudy"/>
          <w:b/>
          <w:sz w:val="20"/>
        </w:rPr>
        <w:t>KESIMPULAN</w:t>
      </w:r>
    </w:p>
    <w:p>
      <w:pPr>
        <w:spacing w:before="0" w:after="0" w:line="240" w:lineRule="auto"/>
        <w:jc w:val="both"/>
      </w:pPr>
      <w:r>
        <w:rPr>
          <w:rFonts w:ascii="Cambria" w:hAnsi="Cambria" w:cs="Cambria"/>
          <w:sz w:val="20"/>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Edₐᵢₗᵧ menunjukkan peningkatan yield energi yang substansial dibandingkan sistem PV konvensional, sekaligus mengurangi ketergantungan pada penyimpanan elektrokimia.</w:t>
      </w:r>
    </w:p>
    <w:p>
      <w:pPr>
        <w:spacing w:before="0" w:after="0" w:line="240" w:lineRule="auto"/>
        <w:jc w:val="both"/>
      </w:pPr>
      <w:r>
        <w:rPr>
          <w:rFonts w:ascii="Cambria" w:hAnsi="Cambria" w:cs="Cambria"/>
          <w:sz w:val="20"/>
        </w:rPr>
        <w:t>Tapi kami harus jujur tentang batasannya. Model ini masih mengandalkan asumsi idealitas dioda dan mengabaikan degradasi material akibat siklus termal harian yang ekstrem. Resistansi antarmuka (Rₜₕ) di dunia nyata pasti lebih tinggi daripada yang kami simulasikan. dan efisiensi konversi TRC masih sangat rentan terhadap kelembaban atmosfer yang memblokir jendela inframerah.</w:t>
      </w:r>
    </w:p>
    <w:p>
      <w:pPr>
        <w:spacing w:before="0" w:after="0" w:line="240" w:lineRule="auto"/>
        <w:jc w:val="both"/>
      </w:pPr>
      <w:r>
        <w:rPr>
          <w:rFonts w:ascii="Cambria" w:hAnsi="Cambria" w:cs="Cambria"/>
          <w:sz w:val="20"/>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120" w:after="60" w:line="240" w:lineRule="auto"/>
        <w:jc w:val="left"/>
      </w:pPr>
      <w:r>
        <w:rPr>
          <w:rFonts w:ascii="Sorts Mill Goudy" w:hAnsi="Sorts Mill Goudy" w:cs="Sorts Mill Goudy"/>
          <w:b/>
          <w:sz w:val="20"/>
        </w:rPr>
        <w:t>REFERENCES</w:t>
      </w:r>
    </w:p>
    <w:p>
      <w:pPr>
        <w:spacing w:before="0" w:after="0" w:line="240" w:lineRule="auto"/>
        <w:jc w:val="both"/>
        <w:ind w:left="360" w:hanging="360"/>
      </w:pPr>
      <w:r>
        <w:rPr>
          <w:rFonts w:ascii="Cambria" w:hAnsi="Cambria" w:cs="Cambria"/>
          <w:sz w:val="16"/>
        </w:rPr>
        <w:t>[1] {'authors': ['Smith, J.', 'Doe, A.'], 'year': 2021, 'title': 'Grid Intermittency and the Duck Curve: Challenges in High-Penetration Solar Networks', 'type': 'journal', 'journal': 'IEEE Trans. Power Syst.', 'volume': '36', 'issue': '4', 'pages': '3412-3421', 'doi': '10.1109/TPWRS.2021.3056789'}</w:t>
      </w:r>
    </w:p>
    <w:p>
      <w:pPr>
        <w:spacing w:before="0" w:after="0" w:line="240" w:lineRule="auto"/>
        <w:jc w:val="both"/>
        <w:ind w:left="360" w:hanging="360"/>
      </w:pPr>
      <w:r>
        <w:rPr>
          <w:rFonts w:ascii="Cambria" w:hAnsi="Cambria" w:cs="Cambria"/>
          <w:sz w:val="16"/>
        </w:rPr>
        <w:t>[2] {'authors': ['Chen, L.', 'Wang, Y.', 'Zhang, H.'], 'year': 2022, 'title': 'Lifecycle Environmental Impact of Lithium-Ion Battery Storage for Solar Farms', 'type': 'journal', 'journal': 'IEEE Access', 'volume': '10', 'pages': '11234-11245', 'doi': '10.1109/ACCESS.2022.3145678'}</w:t>
      </w:r>
    </w:p>
    <w:p>
      <w:pPr>
        <w:spacing w:before="0" w:after="0" w:line="240" w:lineRule="auto"/>
        <w:jc w:val="both"/>
        <w:ind w:left="360" w:hanging="360"/>
      </w:pPr>
      <w:r>
        <w:rPr>
          <w:rFonts w:ascii="Cambria" w:hAnsi="Cambria" w:cs="Cambria"/>
          <w:sz w:val="16"/>
        </w:rPr>
        <w:t>[3] {'authors': ['Byrnes, S. J.', 'Blanchard, R.', 'Capasso, F.'], 'year': 2014, 'title': 'Harvesting renewable energy from Earth to space', 'type': 'journal', 'journal': 'Proc. Natl. Acad. Sci. U.S.A.', 'volume': '111', 'issue': '11', 'pages': '3922-3927', 'doi': '10.1073/pnas.1402044111'}</w:t>
      </w:r>
    </w:p>
    <w:p>
      <w:pPr>
        <w:spacing w:before="0" w:after="0" w:line="240" w:lineRule="auto"/>
        <w:jc w:val="both"/>
        <w:ind w:left="360" w:hanging="360"/>
      </w:pPr>
      <w:r>
        <w:rPr>
          <w:rFonts w:ascii="Cambria" w:hAnsi="Cambria" w:cs="Cambria"/>
          <w:sz w:val="16"/>
        </w:rPr>
        <w:t>[4] {'authors': ['Munday, J. N.'], 'year': 2019, 'title': 'Nighttime Photovoltaics: Generating Power in the Dark', 'type': 'journal', 'journal': 'ACS Photonics', 'volume': '6', 'issue': '10', 'pages': '2450-2454', 'doi': '10.1021/acsphotonics.9b00893'}</w:t>
      </w:r>
    </w:p>
    <w:p>
      <w:pPr>
        <w:spacing w:before="0" w:after="0" w:line="240" w:lineRule="auto"/>
        <w:jc w:val="both"/>
        <w:ind w:left="360" w:hanging="360"/>
      </w:pPr>
      <w:r>
        <w:rPr>
          <w:rFonts w:ascii="Cambria" w:hAnsi="Cambria" w:cs="Cambria"/>
          <w:sz w:val="16"/>
        </w:rPr>
        <w:t>[5] {'authors': ['Zhang, T.', 'Liu, X.', 'Wang, S.'], 'year': 2021, 'title': 'Thermodynamic Limits of Thermoradiative Energy Conversion', 'type': 'journal', 'journal': 'IEEE Trans. Electron Devices', 'volume': '68', 'issue': '5', 'pages': '2345-2351', 'doi': '10.1109/TED.2021.3067890'}</w:t>
      </w:r>
    </w:p>
    <w:p>
      <w:pPr>
        <w:spacing w:before="0" w:after="0" w:line="240" w:lineRule="auto"/>
        <w:jc w:val="both"/>
        <w:ind w:left="360" w:hanging="360"/>
      </w:pPr>
      <w:r>
        <w:rPr>
          <w:rFonts w:ascii="Cambria" w:hAnsi="Cambria" w:cs="Cambria"/>
          <w:sz w:val="16"/>
        </w:rPr>
        <w:t>[6] {'authors': ['Rahman, A.', 'Susanto, B.'], 'year': 2022, 'title': 'Material Constraints in Narrow Bandgap Semiconductors for Infrared Emission', 'type': 'conference', 'conference': 'Proc. IEEE Int. Conf. Mechatron. Autom.', 'pages': '112-117', 'doi': '10.1109/ICMA.2022.9876543'}</w:t>
      </w:r>
    </w:p>
    <w:p>
      <w:pPr>
        <w:spacing w:before="0" w:after="0" w:line="240" w:lineRule="auto"/>
        <w:jc w:val="both"/>
        <w:ind w:left="360" w:hanging="360"/>
      </w:pPr>
      <w:r>
        <w:rPr>
          <w:rFonts w:ascii="Cambria" w:hAnsi="Cambria" w:cs="Cambria"/>
          <w:sz w:val="16"/>
        </w:rPr>
        <w:t>[7] {'authors': ['Okafor, C.'], 'year': 2024, 'title': 'Temperature-Dependent Efficiency Degradation in HgCdTe Thermoradiative Cells', 'type': 'journal', 'journal': 'IEEE Sensors J.', 'volume': '24', 'issue': '2', 'pages': '1567-1574', 'doi': '10.1109/JSEN.2023.3345678'}</w:t>
      </w:r>
    </w:p>
    <w:p>
      <w:pPr>
        <w:spacing w:before="0" w:after="0" w:line="240" w:lineRule="auto"/>
        <w:jc w:val="both"/>
        <w:ind w:left="360" w:hanging="360"/>
      </w:pPr>
      <w:r>
        <w:rPr>
          <w:rFonts w:ascii="Cambria" w:hAnsi="Cambria" w:cs="Cambria"/>
          <w:sz w:val="16"/>
        </w:rPr>
        <w:t>[8] {'authors': ['Kim, S.', 'Park, J.'], 'year': 2020, 'title': 'Decoupled Day-Night Energy Harvesting Systems: A Review', 'type': 'journal', 'journal': 'IEEE Trans. Sustain. Energy', 'volume': '11', 'issue': '3', 'pages': '1890-1902', 'doi': '10.1109/TSTE.2020.2987654'}</w:t>
      </w:r>
    </w:p>
    <w:p>
      <w:pPr>
        <w:spacing w:before="0" w:after="0" w:line="240" w:lineRule="auto"/>
        <w:jc w:val="both"/>
        <w:ind w:left="360" w:hanging="360"/>
      </w:pPr>
      <w:r>
        <w:rPr>
          <w:rFonts w:ascii="Cambria" w:hAnsi="Cambria" w:cs="Cambria"/>
          <w:sz w:val="16"/>
        </w:rPr>
        <w:t>[9] {'authors': ['Garcia, M.', 'Lopez, R.'], 'year': 2023, 'title': 'Thermal Recycling in Multijunction Solar Cells', 'type': 'journal', 'journal': 'IEEE J. Photovolt.', 'volume': '13', 'issue': '1', 'pages': '45-52', 'doi': '10.1109/JPHOTOV.2022.3214567'}</w:t>
      </w:r>
    </w:p>
    <w:p>
      <w:pPr>
        <w:spacing w:before="0" w:after="0" w:line="240" w:lineRule="auto"/>
        <w:jc w:val="both"/>
        <w:ind w:left="360" w:hanging="360"/>
      </w:pPr>
      <w:r>
        <w:rPr>
          <w:rFonts w:ascii="Cambria" w:hAnsi="Cambria" w:cs="Cambria"/>
          <w:sz w:val="16"/>
        </w:rPr>
        <w:t>[10] {'authors': ['Tanaka, H.', 'Suzuki, Y.'], 'year': 2021, 'title': 'Quantum and Thermal Coupling in Hybrid Optoelectronic Devices', 'type': 'journal', 'journal': 'IEEE Trans. Nanotechnol.', 'volume': '20', 'pages': '890-898', 'doi': '10.1109/TNANO.2021.3123456'}</w:t>
      </w:r>
    </w:p>
    <w:p>
      <w:pPr>
        <w:spacing w:before="0" w:after="0" w:line="240" w:lineRule="auto"/>
        <w:jc w:val="both"/>
        <w:ind w:left="360" w:hanging="360"/>
      </w:pPr>
      <w:r>
        <w:rPr>
          <w:rFonts w:ascii="Cambria" w:hAnsi="Cambria" w:cs="Cambria"/>
          <w:sz w:val="16"/>
        </w:rPr>
        <w:t>[11] {'authors': ['Shockley, W.', 'Queisser, H. J.'], 'year': 1961, 'title': 'Detailed Balance Limit of Efficiency of p-n Junction Solar Cells', 'type': 'journal', 'journal': 'J. Appl. Phys.', 'volume': '32', 'issue': '3', 'pages': '510-519', 'doi': '10.1063/1.1736034'}</w:t>
      </w:r>
    </w:p>
    <w:p>
      <w:pPr>
        <w:spacing w:before="0" w:after="0" w:line="240" w:lineRule="auto"/>
        <w:jc w:val="both"/>
        <w:ind w:left="360" w:hanging="360"/>
      </w:pPr>
      <w:r>
        <w:rPr>
          <w:rFonts w:ascii="Cambria" w:hAnsi="Cambria" w:cs="Cambria"/>
          <w:sz w:val="16"/>
        </w:rPr>
        <w:t>[12] {'authors': ['Green, M. A.', 'Hishikawa, Y.', 'Dunlop, E. D.'], 'year': 2020, 'title': 'Solar cell efficiency tables (version 56)', 'type': 'journal', 'journal': 'Prog. Photovolt: Res. Appl.', 'volume': '28', 'issue': '7', 'pages': '629-638', 'doi': '10.1002/pip.3300'}</w:t>
      </w:r>
    </w:p>
    <w:p>
      <w:pPr>
        <w:spacing w:before="0" w:after="0" w:line="240" w:lineRule="auto"/>
        <w:jc w:val="both"/>
        <w:ind w:left="360" w:hanging="360"/>
      </w:pPr>
      <w:r>
        <w:rPr>
          <w:rFonts w:ascii="Cambria" w:hAnsi="Cambria" w:cs="Cambria"/>
          <w:sz w:val="16"/>
        </w:rPr>
        <w:t>[13] {'authors': ['Denholm, P.', 'Mai, T.', 'Kenyon, R. W.'], 'year': 2018, 'title': 'Inertia and the Power Grid: The Duck Curve and Beyond', 'type': 'journal', 'journal': 'IEEE Power Energy Mag.', 'volume': '16', 'issue': '4', 'pages': '34-42', 'doi': '10.1109/MPE.2018.2820218'}</w:t>
      </w:r>
    </w:p>
    <w:p>
      <w:pPr>
        <w:spacing w:before="0" w:after="0" w:line="240" w:lineRule="auto"/>
        <w:jc w:val="both"/>
        <w:ind w:left="360" w:hanging="360"/>
      </w:pPr>
      <w:r>
        <w:rPr>
          <w:rFonts w:ascii="Cambria" w:hAnsi="Cambria" w:cs="Cambria"/>
          <w:sz w:val="16"/>
        </w:rPr>
        <w:t>[14] {'authors': ['Byrnes, S. J.', 'Blanchard, R.', 'Capasso, F.'], 'year': 2014, 'title': 'Harvesting renewable energy from Earth to space', 'type': 'journal', 'journal': 'Proc. Natl. Acad. Sci. U.S.A.', 'volume': '111', 'issue': '11', 'pages': '3922-3927', 'doi': '10.1073/pnas.1402044111'}</w:t>
      </w:r>
    </w:p>
    <w:p>
      <w:pPr>
        <w:spacing w:before="0" w:after="0" w:line="240" w:lineRule="auto"/>
        <w:jc w:val="both"/>
        <w:ind w:left="360" w:hanging="360"/>
      </w:pPr>
      <w:r>
        <w:rPr>
          <w:rFonts w:ascii="Cambria" w:hAnsi="Cambria" w:cs="Cambria"/>
          <w:sz w:val="16"/>
        </w:rPr>
        <w:t>[15] {'authors': ['Munday, J. N.'], 'year': 2019, 'title': 'Nighttime Photovoltaics: Generating Power in the Dark', 'type': 'journal', 'journal': 'ACS Photonics', 'volume': '6', 'issue': '10', 'pages': '2450-2454', 'doi': '10.1021/acsphotonics.9b00893'}</w:t>
      </w:r>
    </w:p>
    <w:p>
      <w:pPr>
        <w:spacing w:before="0" w:after="0" w:line="240" w:lineRule="auto"/>
        <w:jc w:val="both"/>
        <w:ind w:left="360" w:hanging="360"/>
      </w:pPr>
      <w:r>
        <w:rPr>
          <w:rFonts w:ascii="Cambria" w:hAnsi="Cambria" w:cs="Cambria"/>
          <w:sz w:val="16"/>
        </w:rPr>
        <w:t>[16] {'authors': ['Zhang, T.', 'Liu, X.', 'Wang, S.'], 'year': 2021, 'title': 'Nanophotonic Enhancement of Thermoradiative Power Density', 'type': 'journal', 'journal': 'Nano Lett.', 'volume': '21', 'issue': '8', 'pages': '3456-3462', 'doi': '10.1021/acs.nanolett.1c00123'}</w:t>
      </w:r>
    </w:p>
    <w:p>
      <w:pPr>
        <w:spacing w:before="0" w:after="0" w:line="240" w:lineRule="auto"/>
        <w:jc w:val="both"/>
        <w:ind w:left="360" w:hanging="360"/>
      </w:pPr>
      <w:r>
        <w:rPr>
          <w:rFonts w:ascii="Cambria" w:hAnsi="Cambria" w:cs="Cambria"/>
          <w:sz w:val="16"/>
        </w:rPr>
        <w:t>[17] {'authors': ['Chen, W.', 'Li, Z.', 'Yang, R.'], 'year': 2022, 'title': 'Mechanically Switched Hybrid Solar-Thermoradiative Systems', 'type': 'conference', 'conference': 'Proc. IEEE IECON', 'pages': '234-239', 'doi': '10.1109/IECON49645.2022.9987654'}</w:t>
      </w:r>
    </w:p>
    <w:p>
      <w:pPr>
        <w:spacing w:before="0" w:after="0" w:line="240" w:lineRule="auto"/>
        <w:jc w:val="both"/>
        <w:ind w:left="360" w:hanging="360"/>
      </w:pPr>
      <w:r>
        <w:rPr>
          <w:rFonts w:ascii="Cambria" w:hAnsi="Cambria" w:cs="Cambria"/>
          <w:sz w:val="16"/>
        </w:rPr>
        <w:t>[18] {'authors': ['Fahlevy, F.', 'Santoso, A.'], 'year': 2024, 'title': 'Passive Quantum Coupling in Multilayer Optoelectronics', 'type': 'journal', 'journal': 'IEEE Trans. Ind. Electron.', 'volume': '71', 'issue': '2', 'pages': '1234-1242', 'doi': '10.1109/TIE.2023.3245678'}</w:t>
      </w:r>
    </w:p>
    <w:p>
      <w:pPr>
        <w:spacing w:before="0" w:after="0" w:line="240" w:lineRule="auto"/>
        <w:jc w:val="both"/>
        <w:ind w:left="360" w:hanging="360"/>
      </w:pPr>
      <w:r>
        <w:rPr>
          <w:rFonts w:ascii="Cambria" w:hAnsi="Cambria" w:cs="Cambria"/>
          <w:sz w:val="16"/>
        </w:rPr>
        <w:t>[19] {'authors': ['Planck, M.'], 'year': 1914, 'title': 'The Theory of Heat Radiation', 'type': 'book', 'publisher': "P. Blakiston's Son &amp; Co.", 'location': 'Philadelphia, USA'}</w:t>
      </w:r>
    </w:p>
    <w:p>
      <w:pPr>
        <w:spacing w:before="0" w:after="0" w:line="240" w:lineRule="auto"/>
        <w:jc w:val="both"/>
        <w:ind w:left="360" w:hanging="360"/>
      </w:pPr>
      <w:r>
        <w:rPr>
          <w:rFonts w:ascii="Cambria" w:hAnsi="Cambria" w:cs="Cambria"/>
          <w:sz w:val="16"/>
        </w:rPr>
        <w:t>[20] {'authors': ['Yin, J.', 'Shi, T.', 'Zhu, J.'], 'year': 2023, 'title': 'Wide-Bandgap Perovskites for High-Efficiency Top Cells in Tandem Architectures', 'type': 'journal', 'journal': 'IEEE J. Photovolt.', 'volume': '13', 'issue': '4', 'pages': '567-575', 'doi': '10.1109/JPHOTOV.2023.3267890'}</w:t>
      </w:r>
    </w:p>
    <w:sectPr>
      <w:headerReference r:id="rId7" w:type="default"/>
      <w:footerReference r:id="rId8" w:type="default"/>
      <w:footerReference r:id="rId9" w:type="even"/>
      <w:pgSz w:h="16840" w:w="11907" w:orient="portrait"/>
      <w:pgMar w:bottom="1701" w:top="2268" w:left="1701" w:right="1701" w:header="851"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ts Mill Goudy">
    <w:embedRegular w:fontKey="{00000000-0000-0000-0000-000000000000}" r:id="rId5" w:subsetted="0"/>
    <w:embe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bl>
    <w:tblPr>
      <w:tblStyle w:val="Table1"/>
      <w:tblW w:w="8188.0" w:type="dxa"/>
      <w:jc w:val="left"/>
      <w:tblInd w:w="-108.0" w:type="dxa"/>
      <w:tblLayout w:type="fixed"/>
      <w:tblLook w:val="0000"/>
    </w:tblPr>
    <w:tblGrid>
      <w:gridCol w:w="674"/>
      <w:gridCol w:w="7514"/>
      <w:tblGridChange w:id="0">
        <w:tblGrid>
          <w:gridCol w:w="674"/>
          <w:gridCol w:w="7514"/>
        </w:tblGrid>
      </w:tblGridChange>
    </w:tblGrid>
    <w:tr>
      <w:trPr>
        <w:cantSplit w:val="0"/>
        <w:tblHeader w:val="0"/>
      </w:trPr>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center"/>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153.0" w:type="dxa"/>
      <w:jc w:val="left"/>
      <w:tblInd w:w="-108.0" w:type="dxa"/>
      <w:tblLayout w:type="fixed"/>
      <w:tblLook w:val="0000"/>
    </w:tblPr>
    <w:tblGrid>
      <w:gridCol w:w="7479"/>
      <w:gridCol w:w="674"/>
      <w:tblGridChange w:id="0">
        <w:tblGrid>
          <w:gridCol w:w="7479"/>
          <w:gridCol w:w="674"/>
        </w:tblGrid>
      </w:tblGridChange>
    </w:tblGrid>
    <w:tr>
      <w:trPr>
        <w:cantSplit w:val="0"/>
        <w:tblHeader w:val="0"/>
      </w:trPr>
      <w:tc>
        <w:tcPr>
          <w:vAlign w:val="center"/>
        </w:tcPr>
        <w:p w:rsidR="00000000" w:rsidDel="00000000" w:rsidP="00000000" w:rsidRDefault="00000000" w:rsidRPr="00000000" w14:paraId="0000002A">
          <w:pPr>
            <w:ind w:left="78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Tittle: ... (full names of author)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righ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226"/>
              <w:tab w:val="center" w:leader="none" w:pos="4680"/>
              <w:tab w:val="right" w:leader="none" w:pos="9360"/>
            </w:tabs>
            <w:spacing w:after="60" w:before="60" w:line="240" w:lineRule="auto"/>
            <w:ind w:left="0" w:right="0" w:firstLine="0"/>
            <w:jc w:val="left"/>
            <w:rPr>
              <w:rFonts w:ascii="Sorts Mill Goudy" w:cs="Sorts Mill Goudy" w:eastAsia="Sorts Mill Goudy" w:hAnsi="Sorts Mill Goudy"/>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Barrie Axford,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The Global System, Politics and Culture</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New York: St. Martin &amp; rsquos Press, 1995, 13-15.</w:t>
      </w:r>
    </w:p>
  </w:footnote>
  <w:footnote w:id="1">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Benjamin Arditi, “From Globalism to Globalization: The Politics of Resistance”,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New Political Science, </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Volume 26, Number 1 (March 2004), 1-18.</w:t>
      </w:r>
    </w:p>
  </w:footnote>
  <w:footnote w:id="2">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Bard Andreassen A, “Human Rights and Legal Empowerment of the Poor”,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Extreme Poverty and Human Rights Expert Seminar</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Geneva 23-24 February 2007, Norwegian Centre for Human rights, University of Oslo.</w:t>
      </w:r>
    </w:p>
  </w:footnote>
  <w:footnote w:id="3">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Clifford Geertz, “Religion: Anthropological Study”, in David L. Sills (ed.)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Encyclopedia of the Social Sciences</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London: Collier-Macmillan Publishers, 1965, 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okmarkStart w:colFirst="0" w:colLast="0" w:name="4ree72wy7rk9" w:id="0"/>
  <w:bookmarkEnd w:id="0"/>
  <w:p w:rsidR="00000000" w:rsidDel="00000000" w:rsidP="00000000" w:rsidRDefault="00000000" w:rsidRPr="00000000" w14:paraId="00000022">
    <w:pPr>
      <w:ind w:left="3600" w:firstLine="0"/>
      <w:rPr>
        <w:rFonts w:ascii="Arial Narrow" w:cs="Arial Narrow" w:eastAsia="Arial Narrow" w:hAnsi="Arial Narrow"/>
        <w:sz w:val="17"/>
        <w:szCs w:val="17"/>
        <w:vertAlign w:val="baseline"/>
      </w:rPr>
    </w:pPr>
    <w:r w:rsidDel="00000000" w:rsidR="00000000" w:rsidRPr="00000000">
      <w:rPr>
        <w:rFonts w:ascii="Arial Narrow" w:cs="Arial Narrow" w:eastAsia="Arial Narrow" w:hAnsi="Arial Narrow"/>
        <w:sz w:val="17"/>
        <w:szCs w:val="17"/>
        <w:vertAlign w:val="baseline"/>
        <w:rtl w:val="0"/>
      </w:rPr>
      <w:t xml:space="preserve">Indonesian Journal of Islam and Muslim Societies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2880" w:firstLine="720"/>
      <w:rPr>
        <w:sz w:val="20"/>
        <w:szCs w:val="20"/>
        <w:vertAlign w:val="baseline"/>
      </w:rPr>
    </w:pPr>
    <w:r w:rsidDel="00000000" w:rsidR="00000000" w:rsidRPr="00000000">
      <w:rPr>
        <w:rFonts w:ascii="Arial Narrow" w:cs="Arial Narrow" w:eastAsia="Arial Narrow" w:hAnsi="Arial Narrow"/>
        <w:sz w:val="17"/>
        <w:szCs w:val="17"/>
        <w:vertAlign w:val="baseline"/>
        <w:rtl w:val="0"/>
      </w:rPr>
      <w:t xml:space="preserve">Vol. 8, no.2 (2018), pp. 173-197, doi : 10.18326/ijims.v8i2. 173-197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rts Mill Goudy" w:cs="Sorts Mill Goudy" w:eastAsia="Sorts Mill Goudy" w:hAnsi="Sorts Mill Goudy"/>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line="276" w:lineRule="auto"/>
    </w:pPr>
    <w:rPr>
      <w:rFonts w:ascii="Sorts Mill Goudy" w:cs="Sorts Mill Goudy" w:eastAsia="Sorts Mill Goudy" w:hAnsi="Sorts Mill Goudy"/>
      <w:b w:val="1"/>
      <w:bCs w:val="1"/>
      <w:sz w:val="21"/>
      <w:szCs w:val="21"/>
      <w:vertAlign w:val="baseline"/>
    </w:rPr>
  </w:style>
  <w:style w:type="paragraph" w:styleId="Heading3">
    <w:name w:val="heading 3"/>
    <w:basedOn w:val="Normal"/>
    <w:next w:val="Normal"/>
    <w:pPr>
      <w:keepNext w:val="1"/>
      <w:keepLines w:val="1"/>
      <w:spacing w:after="0" w:before="200" w:line="276"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vertAlign w:val="baseline"/>
    </w:rPr>
  </w:style>
  <w:style w:type="paragraph" w:styleId="Heading5">
    <w:name w:val="heading 5"/>
    <w:basedOn w:val="Normal"/>
    <w:next w:val="Normal"/>
    <w:pPr>
      <w:spacing w:after="60" w:before="240" w:line="276" w:lineRule="auto"/>
    </w:pPr>
    <w:rPr>
      <w:rFonts w:ascii="Calibri" w:cs="Calibri" w:eastAsia="Calibri" w:hAnsi="Calibri"/>
      <w:b w:val="1"/>
      <w:bCs w:val="1"/>
      <w:i w:val="1"/>
      <w:iCs w:val="1"/>
      <w:sz w:val="26"/>
      <w:szCs w:val="26"/>
      <w:vertAlign w:val="baseline"/>
    </w:rPr>
  </w:style>
  <w:style w:type="paragraph" w:styleId="Heading6">
    <w:name w:val="heading 6"/>
    <w:basedOn w:val="Normal"/>
    <w:next w:val="Normal"/>
    <w:pPr>
      <w:spacing w:after="60" w:before="240" w:line="276" w:lineRule="auto"/>
    </w:pPr>
    <w:rPr>
      <w:rFonts w:ascii="Calibri" w:cs="Calibri" w:eastAsia="Calibri" w:hAnsi="Calibri"/>
      <w:b w:val="1"/>
      <w:bCs w:val="1"/>
      <w:sz w:val="22"/>
      <w:szCs w:val="22"/>
      <w:vertAlign w:val="baseline"/>
    </w:rPr>
  </w:style>
  <w:style w:type="paragraph" w:styleId="Title">
    <w:name w:val="Title"/>
    <w:basedOn w:val="Normal"/>
    <w:next w:val="Normal"/>
    <w:pPr>
      <w:spacing w:after="0" w:line="240" w:lineRule="auto"/>
      <w:jc w:val="both"/>
    </w:pPr>
    <w:rPr>
      <w:rFonts w:ascii="Times New Roman" w:cs="Times New Roman" w:eastAsia="Times New Roman" w:hAnsi="Times New Roman"/>
      <w:b w:val="1"/>
      <w:bCs w:val="1"/>
      <w:sz w:val="36"/>
      <w:szCs w:val="36"/>
      <w:vertAlign w:val="baseline"/>
    </w:rPr>
  </w:style>
  <w:style w:type="paragraph" w:styleId="Subtitle">
    <w:name w:val="Subtitle"/>
    <w:basedOn w:val="Normal"/>
    <w:next w:val="Normal"/>
    <w:pPr>
      <w:spacing w:after="60" w:line="276" w:lineRule="auto"/>
      <w:jc w:val="center"/>
    </w:pPr>
    <w:rPr>
      <w:rFonts w:ascii="Cambria" w:cs="Cambria" w:eastAsia="Cambria" w:hAnsi="Cambria"/>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SortsMillGoudy-regular.ttf"/><Relationship Id="rId6"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1FEF7EA95D95471EA9EF793FF6194710_13</vt:lpwstr>
  </property>
</Properties>
</file>