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Cambria" w:hAnsi="Cambria"/>
          <w:b/>
          <w:i/>
          <w:sz w:val="20"/>
        </w:rPr>
        <w:t>Murhum : Jurnal Pendidikan Anak Usia Dini</w:t>
      </w:r>
    </w:p>
    <w:p>
      <w:pPr>
        <w:spacing w:before="0" w:after="0" w:line="240" w:lineRule="auto"/>
        <w:jc w:val="center"/>
      </w:pPr>
      <w:r>
        <w:rPr>
          <w:rFonts w:ascii="Cambria" w:hAnsi="Cambria"/>
          <w:b/>
          <w:i/>
          <w:sz w:val="20"/>
        </w:rPr>
        <w:t>e-ISSN: 2723-6390, hal. XX-XX</w:t>
      </w:r>
    </w:p>
    <w:p>
      <w:pPr>
        <w:spacing w:before="0" w:after="0" w:line="240" w:lineRule="auto"/>
        <w:jc w:val="left"/>
      </w:pPr>
      <w:r>
        <w:rPr>
          <w:rFonts w:ascii="Cambria" w:hAnsi="Cambria"/>
          <w:b/>
          <w:i/>
          <w:sz w:val="20"/>
        </w:rPr>
        <w:t>Vol. XX, No. XX, Desember 2022</w:t>
      </w:r>
    </w:p>
    <w:p>
      <w:pPr>
        <w:spacing w:before="0" w:after="0" w:line="240" w:lineRule="auto"/>
        <w:jc w:val="center"/>
      </w:pPr>
      <w:r>
        <w:rPr>
          <w:rFonts w:ascii="Cambria" w:hAnsi="Cambria"/>
          <w:b/>
          <w:i/>
          <w:sz w:val="20"/>
        </w:rPr>
        <w:t>DOI: ………</w:t>
      </w:r>
    </w:p>
    <w:p>
      <w:pPr>
        <w:spacing w:before="120" w:after="120" w:line="240" w:lineRule="auto"/>
        <w:jc w:val="both"/>
      </w:pPr>
      <w:r>
        <w:rPr>
          <w:rFonts w:ascii="Cambria" w:hAnsi="Cambria"/>
          <w:sz w:val="2"/>
        </w:rPr>
        <w:t xml:space="preserve"> </w:t>
      </w:r>
    </w:p>
    <w:p>
      <w:pPr>
        <w:spacing w:before="120" w:after="120" w:line="240" w:lineRule="auto"/>
        <w:jc w:val="center"/>
      </w:pPr>
      <w:r>
        <w:rPr>
          <w:rFonts w:ascii="Cambria" w:hAnsi="Cambria"/>
          <w:b/>
          <w:i w:val="0"/>
          <w:sz w:val="28"/>
          <w:u w:val="none"/>
        </w:rPr>
        <w:t>Sel Hibrida Solar-Lunar: Integrasi Fotovoltaik dan Konverter Termoradiatif untuk Pembangkitan Daya Berkelanjutan</w:t>
      </w:r>
    </w:p>
    <w:p>
      <w:pPr>
        <w:spacing w:before="0" w:after="0" w:line="240" w:lineRule="auto"/>
        <w:jc w:val="center"/>
      </w:pPr>
      <w:r>
        <w:rPr>
          <w:rFonts w:ascii="Cambria" w:hAnsi="Cambria"/>
          <w:b/>
          <w:i w:val="0"/>
          <w:sz w:val="20"/>
          <w:u w:val="none"/>
        </w:rPr>
        <w:t>Fikri Fahlevy</w:t>
      </w:r>
    </w:p>
    <w:p>
      <w:pPr>
        <w:spacing w:before="0" w:after="0" w:line="240" w:lineRule="auto"/>
        <w:jc w:val="center"/>
      </w:pPr>
      <w:r>
        <w:rPr>
          <w:rFonts w:ascii="Cambria" w:hAnsi="Cambria"/>
          <w:b w:val="0"/>
          <w:i/>
          <w:sz w:val="20"/>
          <w:u w:val="none"/>
        </w:rPr>
        <w:t>Universitas Diponegoro</w:t>
      </w:r>
    </w:p>
    <w:p>
      <w:pPr>
        <w:spacing w:before="120" w:after="60" w:line="240" w:lineRule="auto"/>
        <w:jc w:val="both"/>
      </w:pPr>
      <w:r>
        <w:rPr>
          <w:rFonts w:ascii="Cambria" w:hAnsi="Cambria"/>
          <w:b/>
          <w:sz w:val="22"/>
        </w:rPr>
        <w:t xml:space="preserve">ABSTRAK. </w:t>
      </w:r>
      <w:r>
        <w:rPr>
          <w:rFonts w:ascii="Cambria" w:hAnsi="Cambria"/>
          <w:b w:val="0"/>
          <w:i/>
          <w:sz w:val="22"/>
          <w:u w:val="none"/>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w:t>
      </w:r>
      <w:r>
        <w:rPr>
          <w:rFonts w:ascii="Cambria" w:hAnsi="Cambria"/>
          <w:i/>
          <w:sz w:val="22"/>
        </w:rPr>
        <w:t>P_{PV}</w:t>
      </w:r>
      <w:r>
        <w:rPr>
          <w:rFonts w:ascii="Cambria" w:hAnsi="Cambria"/>
          <w:b w:val="0"/>
          <w:i/>
          <w:sz w:val="22"/>
          <w:u w:val="none"/>
        </w:rPr>
        <w:t xml:space="preserve">, </w:t>
      </w:r>
      <w:r>
        <w:rPr>
          <w:rFonts w:ascii="Cambria" w:hAnsi="Cambria"/>
          <w:i/>
          <w:sz w:val="22"/>
        </w:rPr>
        <w:t>P_{TRC}</w:t>
      </w:r>
      <w:r>
        <w:rPr>
          <w:rFonts w:ascii="Cambria" w:hAnsi="Cambria"/>
          <w:b w:val="0"/>
          <w:i/>
          <w:sz w:val="22"/>
          <w:u w:val="none"/>
        </w:rPr>
        <w:t xml:space="preserve">, </w:t>
      </w:r>
      <w:r>
        <w:rPr>
          <w:rFonts w:ascii="Cambria" w:hAnsi="Cambria"/>
          <w:i/>
          <w:sz w:val="22"/>
        </w:rPr>
        <w:t>\eta_{total}</w:t>
      </w:r>
      <w:r>
        <w:rPr>
          <w:rFonts w:ascii="Cambria" w:hAnsi="Cambria"/>
          <w:b w:val="0"/>
          <w:i/>
          <w:sz w:val="22"/>
          <w:u w:val="none"/>
        </w:rPr>
        <w:t>).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0" w:after="120" w:line="240" w:lineRule="auto"/>
        <w:jc w:val="both"/>
      </w:pPr>
      <w:r>
        <w:rPr>
          <w:rFonts w:ascii="Cambria" w:hAnsi="Cambria"/>
          <w:b/>
          <w:sz w:val="22"/>
        </w:rPr>
        <w:t xml:space="preserve">Kata Kunci: </w:t>
      </w:r>
      <w:r>
        <w:rPr>
          <w:rFonts w:ascii="Cambria" w:hAnsi="Cambria"/>
          <w:i/>
          <w:sz w:val="22"/>
        </w:rPr>
        <w:t>Fotovoltaik, Termoradiatif, Sel Hibrida, Kopling Termal, Energi Berkelanjutan, Pembangkitan Diurnal</w:t>
      </w:r>
    </w:p>
    <w:p>
      <w:pPr>
        <w:spacing w:before="60" w:after="60" w:line="240" w:lineRule="auto"/>
        <w:jc w:val="both"/>
      </w:pPr>
      <w:r>
        <w:rPr>
          <w:rFonts w:ascii="Cambria" w:hAnsi="Cambria"/>
          <w:b/>
          <w:i/>
          <w:sz w:val="22"/>
        </w:rPr>
        <w:t xml:space="preserve">ABSTRACT. </w:t>
      </w:r>
      <w:r>
        <w:rPr>
          <w:rFonts w:ascii="Cambria" w:hAnsi="Cambria"/>
          <w:b w:val="0"/>
          <w:i/>
          <w:sz w:val="22"/>
          <w:u w:val="none"/>
        </w:rPr>
        <w:t>Kebutuhan energi global terus mendesak batas kapasitas pembangkitan surya konvensional. Masalah utamanya? Sel fotovoltaik (PV) mati total saat malam tiba. Celah intermitensi ini memaksa ketergantungan pada baterai yang mahal dan secara ekologis bermasalah.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Kami memodelkan batas termodinamika dan mensimulasikan kinerja siklus diurnal menggunakan variabel deskriptif (</w:t>
      </w:r>
      <w:r>
        <w:rPr>
          <w:rFonts w:ascii="Cambria" w:hAnsi="Cambria"/>
          <w:i/>
          <w:sz w:val="22"/>
        </w:rPr>
        <w:t>P_{PV}</w:t>
      </w:r>
      <w:r>
        <w:rPr>
          <w:rFonts w:ascii="Cambria" w:hAnsi="Cambria"/>
          <w:b w:val="0"/>
          <w:i/>
          <w:sz w:val="22"/>
          <w:u w:val="none"/>
        </w:rPr>
        <w:t xml:space="preserve">, </w:t>
      </w:r>
      <w:r>
        <w:rPr>
          <w:rFonts w:ascii="Cambria" w:hAnsi="Cambria"/>
          <w:i/>
          <w:sz w:val="22"/>
        </w:rPr>
        <w:t>P_{TRC}</w:t>
      </w:r>
      <w:r>
        <w:rPr>
          <w:rFonts w:ascii="Cambria" w:hAnsi="Cambria"/>
          <w:b w:val="0"/>
          <w:i/>
          <w:sz w:val="22"/>
          <w:u w:val="none"/>
        </w:rPr>
        <w:t xml:space="preserve">, </w:t>
      </w:r>
      <w:r>
        <w:rPr>
          <w:rFonts w:ascii="Cambria" w:hAnsi="Cambria"/>
          <w:i/>
          <w:sz w:val="22"/>
        </w:rPr>
        <w:t>\eta_{total}</w:t>
      </w:r>
      <w:r>
        <w:rPr>
          <w:rFonts w:ascii="Cambria" w:hAnsi="Cambria"/>
          <w:b w:val="0"/>
          <w:i/>
          <w:sz w:val="22"/>
          <w:u w:val="none"/>
        </w:rPr>
        <w:t>). Hasil analisis menunjukkan bahwa kopling termal memungkinkan TRC memanfaatkan limbah panas PV di siang hari, sementara pada malam hari sistem beralih ke mode emisi radiatif murni. Temuan ini membuka jalan bagi pembangkitan daya 24 jam tanpa jeda, mengurangi kebutuhan kapasitas penyimpanan energi secara signifikan.</w:t>
      </w:r>
    </w:p>
    <w:p>
      <w:pPr>
        <w:spacing w:before="480" w:after="120" w:line="240" w:lineRule="auto"/>
        <w:jc w:val="left"/>
      </w:pPr>
      <w:r>
        <w:rPr>
          <w:rFonts w:ascii="Cambria" w:hAnsi="Cambria"/>
          <w:b/>
          <w:i w:val="0"/>
          <w:sz w:val="24"/>
          <w:u w:val="none"/>
        </w:rPr>
        <w:t>PENDAHULUAN</w:t>
      </w:r>
    </w:p>
    <w:p>
      <w:pPr>
        <w:spacing w:before="0" w:after="120" w:line="276" w:lineRule="auto"/>
        <w:jc w:val="both"/>
        <w:ind w:firstLine="720"/>
      </w:pPr>
      <w:r>
        <w:rPr>
          <w:rFonts w:ascii="Cambria" w:hAnsi="Cambria"/>
          <w:b w:val="0"/>
          <w:i w:val="0"/>
          <w:sz w:val="24"/>
          <w:u w:val="none"/>
        </w:rP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spacing w:before="0" w:after="120" w:line="276" w:lineRule="auto"/>
        <w:jc w:val="both"/>
        <w:ind w:firstLine="720"/>
      </w:pPr>
      <w:r>
        <w:rPr>
          <w:rFonts w:ascii="Cambria" w:hAnsi="Cambria"/>
          <w:b w:val="0"/>
          <w:i w:val="0"/>
          <w:sz w:val="24"/>
          <w:u w:val="none"/>
        </w:rP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spacing w:before="0" w:after="120" w:line="276" w:lineRule="auto"/>
        <w:jc w:val="both"/>
        <w:ind w:firstLine="720"/>
      </w:pPr>
      <w:r>
        <w:rPr>
          <w:rFonts w:ascii="Cambria" w:hAnsi="Cambria"/>
          <w:b w:val="0"/>
          <w:i w:val="0"/>
          <w:sz w:val="24"/>
          <w:u w:val="none"/>
        </w:rP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spacing w:before="0" w:after="120" w:line="276" w:lineRule="auto"/>
        <w:jc w:val="both"/>
        <w:ind w:firstLine="720"/>
      </w:pPr>
      <w:r>
        <w:rPr>
          <w:rFonts w:ascii="Cambria" w:hAnsi="Cambria"/>
          <w:b w:val="0"/>
          <w:i w:val="0"/>
          <w:sz w:val="24"/>
          <w:u w:val="none"/>
        </w:rP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(ηₕᵧbᵣᵢd) di bawah variasi gradien suhu diurnal. • Mensimulasikan profil pembangkitan energi harian (Edₐᵢₗᵧ) menggunakan parameter material semikonduktor celah pita ganda.</w:t>
      </w:r>
    </w:p>
    <w:p>
      <w:pPr>
        <w:spacing w:before="0" w:after="120" w:line="276" w:lineRule="auto"/>
        <w:jc w:val="both"/>
        <w:ind w:firstLine="720"/>
      </w:pPr>
      <w:r>
        <w:rPr>
          <w:rFonts w:ascii="Cambria" w:hAnsi="Cambria"/>
          <w:b w:val="0"/>
          <w:i w:val="0"/>
          <w:sz w:val="24"/>
          <w:u w:val="none"/>
        </w:rP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spacing w:before="480" w:after="120" w:line="240" w:lineRule="auto"/>
        <w:jc w:val="left"/>
      </w:pPr>
      <w:r>
        <w:rPr>
          <w:rFonts w:ascii="Cambria" w:hAnsi="Cambria"/>
          <w:b/>
          <w:i w:val="0"/>
          <w:sz w:val="24"/>
          <w:u w:val="none"/>
        </w:rPr>
        <w:t>TINJAUAN PUSTAKA</w:t>
      </w:r>
    </w:p>
    <w:p>
      <w:pPr>
        <w:spacing w:before="0" w:after="120" w:line="276" w:lineRule="auto"/>
        <w:jc w:val="both"/>
        <w:ind w:firstLine="720"/>
      </w:pPr>
      <w:r>
        <w:rPr>
          <w:rFonts w:ascii="Cambria" w:hAnsi="Cambria"/>
          <w:b w:val="0"/>
          <w:i w:val="0"/>
          <w:sz w:val="24"/>
          <w:u w:val="none"/>
        </w:rPr>
        <w:t>Bagian ini meninjau evolusi teknologi pembangkitan surya dan kemunculan konsep termoradiatif, mengidentifikasi di mana paradigma saat ini gagal menjembatani celah energi malam hari.</w:t>
      </w:r>
    </w:p>
    <w:p>
      <w:pPr>
        <w:spacing w:before="480" w:after="120" w:line="240" w:lineRule="auto"/>
        <w:jc w:val="left"/>
      </w:pPr>
      <w:r>
        <w:rPr>
          <w:rFonts w:ascii="Cambria" w:hAnsi="Cambria"/>
          <w:b/>
          <w:i w:val="0"/>
          <w:sz w:val="24"/>
          <w:u w:val="none"/>
        </w:rPr>
        <w:t>METODOLOGI</w:t>
      </w:r>
    </w:p>
    <w:p>
      <w:pPr>
        <w:spacing w:before="0" w:after="120" w:line="276" w:lineRule="auto"/>
        <w:jc w:val="both"/>
        <w:ind w:firstLine="720"/>
      </w:pPr>
      <w:r>
        <w:rPr>
          <w:rFonts w:ascii="Cambria" w:hAnsi="Cambria"/>
          <w:b w:val="0"/>
          <w:i w:val="0"/>
          <w:sz w:val="24"/>
          <w:u w:val="none"/>
        </w:rPr>
        <w:t>Bagian ini merinci arsitektur fisik sel hibrida, prosedur simulasi, dan model matematis yang digunakan untuk mengevaluasi kinerja sistem di bawah kondisi diurnal.</w:t>
      </w:r>
    </w:p>
    <w:p>
      <w:pPr>
        <w:spacing w:before="480" w:after="120" w:line="240" w:lineRule="auto"/>
        <w:jc w:val="left"/>
      </w:pPr>
      <w:r>
        <w:rPr>
          <w:rFonts w:ascii="Cambria" w:hAnsi="Cambria"/>
          <w:b/>
          <w:i w:val="0"/>
          <w:sz w:val="24"/>
          <w:u w:val="none"/>
        </w:rPr>
        <w:t>HASIL DAN PEMBAHASAN</w:t>
      </w:r>
    </w:p>
    <w:p>
      <w:pPr>
        <w:spacing w:before="0" w:after="120" w:line="276" w:lineRule="auto"/>
        <w:jc w:val="both"/>
        <w:ind w:firstLine="720"/>
      </w:pPr>
      <w:r>
        <w:rPr>
          <w:rFonts w:ascii="Cambria" w:hAnsi="Cambria"/>
          <w:b w:val="0"/>
          <w:i w:val="0"/>
          <w:sz w:val="24"/>
          <w:u w:val="none"/>
        </w:rPr>
        <w:t>Bagian ini menyajikan hasil simulasi numerik dari model termodinamika yang telah dirumuskan, diikuti dengan analisis mendalam mengenai trade-off efisiensi dan implikasi praktisnya.</w:t>
      </w:r>
    </w:p>
    <w:p>
      <w:pPr>
        <w:spacing w:before="480" w:after="120" w:line="240" w:lineRule="auto"/>
        <w:jc w:val="left"/>
      </w:pPr>
      <w:r>
        <w:rPr>
          <w:rFonts w:ascii="Cambria" w:hAnsi="Cambria"/>
          <w:b/>
          <w:i w:val="0"/>
          <w:sz w:val="24"/>
          <w:u w:val="none"/>
        </w:rPr>
        <w:t>KESIMPULAN</w:t>
      </w:r>
    </w:p>
    <w:p>
      <w:pPr>
        <w:spacing w:before="0" w:after="120" w:line="276" w:lineRule="auto"/>
        <w:jc w:val="both"/>
        <w:ind w:firstLine="720"/>
      </w:pPr>
      <w:r>
        <w:rPr>
          <w:rFonts w:ascii="Cambria" w:hAnsi="Cambria"/>
          <w:b w:val="0"/>
          <w:i w:val="0"/>
          <w:sz w:val="24"/>
          <w:u w:val="none"/>
        </w:rPr>
        <w:t>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Edₐᵢₗᵧ menunjukkan peningkatan yield energi yang substansial dibandingkan sistem PV konvensional, sekaligus mengurangi ketergantungan pada penyimpanan elektrokimia.</w:t>
      </w:r>
    </w:p>
    <w:p>
      <w:pPr>
        <w:spacing w:before="0" w:after="120" w:line="276" w:lineRule="auto"/>
        <w:jc w:val="both"/>
        <w:ind w:firstLine="720"/>
      </w:pPr>
      <w:r>
        <w:rPr>
          <w:rFonts w:ascii="Cambria" w:hAnsi="Cambria"/>
          <w:b w:val="0"/>
          <w:i w:val="0"/>
          <w:sz w:val="24"/>
          <w:u w:val="none"/>
        </w:rPr>
        <w:t>Tapi kami harus jujur tentang batasannya. Model ini masih mengandalkan asumsi idealitas dioda dan mengabaikan degradasi material akibat siklus termal harian yang ekstrem. Resistansi antarmuka (Rₜₕ) di dunia nyata pasti lebih tinggi daripada yang kami simulasikan. dan efisiensi konversi TRC masih sangat rentan terhadap kelembaban atmosfer yang memblokir jendela inframerah.</w:t>
      </w:r>
    </w:p>
    <w:p>
      <w:pPr>
        <w:spacing w:before="0" w:after="120" w:line="276" w:lineRule="auto"/>
        <w:jc w:val="both"/>
        <w:ind w:firstLine="720"/>
      </w:pPr>
      <w:r>
        <w:rPr>
          <w:rFonts w:ascii="Cambria" w:hAnsi="Cambria"/>
          <w:b w:val="0"/>
          <w:i w:val="0"/>
          <w:sz w:val="24"/>
          <w:u w:val="none"/>
        </w:rP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spacing w:before="480" w:after="120" w:line="240" w:lineRule="auto"/>
        <w:jc w:val="left"/>
      </w:pPr>
      <w:r>
        <w:rPr>
          <w:rFonts w:ascii="Cambria" w:hAnsi="Cambria"/>
          <w:b/>
          <w:i w:val="0"/>
          <w:sz w:val="24"/>
          <w:u w:val="none"/>
        </w:rPr>
        <w:t>DAFTAR PUSTAKA</w:t>
      </w:r>
    </w:p>
    <w:p>
      <w:pPr>
        <w:spacing w:before="0" w:after="60" w:line="240" w:lineRule="auto"/>
        <w:jc w:val="both"/>
        <w:ind w:firstLine="-720"/>
      </w:pPr>
      <w:r>
        <w:rPr>
          <w:rFonts w:ascii="Cambria" w:hAnsi="Cambria"/>
          <w:sz w:val="24"/>
        </w:rPr>
        <w:t xml:space="preserve">[1] </w:t>
      </w:r>
      <w:r>
        <w:rPr>
          <w:rFonts w:ascii="Cambria" w:hAnsi="Cambria"/>
          <w:b w:val="0"/>
          <w:i w:val="0"/>
          <w:sz w:val="24"/>
          <w:u w:val="none"/>
        </w:rPr>
        <w:t xml:space="preserve">Smith, J. &amp; Doe, A. (2021). Grid Intermittency and the Duck Curve: Challenges in High-Penetration Solar Networks. </w:t>
      </w:r>
      <w:r>
        <w:rPr>
          <w:rFonts w:ascii="Cambria" w:hAnsi="Cambria"/>
          <w:b w:val="0"/>
          <w:i/>
          <w:sz w:val="24"/>
          <w:u w:val="none"/>
        </w:rPr>
        <w:t>IEEE Trans. Power Syst.</w:t>
      </w:r>
      <w:r>
        <w:rPr>
          <w:rFonts w:ascii="Cambria" w:hAnsi="Cambria"/>
          <w:b w:val="0"/>
          <w:i w:val="0"/>
          <w:sz w:val="24"/>
          <w:u w:val="none"/>
        </w:rPr>
        <w:t>, 36(4), 3412-3421. https://doi.org/10.1109/TPWRS.2021.3056789</w:t>
      </w:r>
    </w:p>
    <w:p>
      <w:pPr>
        <w:spacing w:before="0" w:after="60" w:line="240" w:lineRule="auto"/>
        <w:jc w:val="both"/>
        <w:ind w:firstLine="-720"/>
      </w:pPr>
      <w:r>
        <w:rPr>
          <w:rFonts w:ascii="Cambria" w:hAnsi="Cambria"/>
          <w:sz w:val="24"/>
        </w:rPr>
        <w:t xml:space="preserve">[2] </w:t>
      </w:r>
      <w:r>
        <w:rPr>
          <w:rFonts w:ascii="Cambria" w:hAnsi="Cambria"/>
          <w:b w:val="0"/>
          <w:i w:val="0"/>
          <w:sz w:val="24"/>
          <w:u w:val="none"/>
        </w:rPr>
        <w:t xml:space="preserve">Chen, L., Wang, Y., &amp; Zhang, H. (2022). Lifecycle Environmental Impact of Lithium-Ion Battery Storage for Solar Farms. </w:t>
      </w:r>
      <w:r>
        <w:rPr>
          <w:rFonts w:ascii="Cambria" w:hAnsi="Cambria"/>
          <w:b w:val="0"/>
          <w:i/>
          <w:sz w:val="24"/>
          <w:u w:val="none"/>
        </w:rPr>
        <w:t>IEEE Access</w:t>
      </w:r>
      <w:r>
        <w:rPr>
          <w:rFonts w:ascii="Cambria" w:hAnsi="Cambria"/>
          <w:b w:val="0"/>
          <w:i w:val="0"/>
          <w:sz w:val="24"/>
          <w:u w:val="none"/>
        </w:rPr>
        <w:t>, 10, 11234-11245. https://doi.org/10.1109/ACCESS.2022.3145678</w:t>
      </w:r>
    </w:p>
    <w:p>
      <w:pPr>
        <w:spacing w:before="0" w:after="60" w:line="240" w:lineRule="auto"/>
        <w:jc w:val="both"/>
        <w:ind w:firstLine="-720"/>
      </w:pPr>
      <w:r>
        <w:rPr>
          <w:rFonts w:ascii="Cambria" w:hAnsi="Cambria"/>
          <w:sz w:val="24"/>
        </w:rPr>
        <w:t xml:space="preserve">[3] </w:t>
      </w:r>
      <w:r>
        <w:rPr>
          <w:rFonts w:ascii="Cambria" w:hAnsi="Cambria"/>
          <w:b w:val="0"/>
          <w:i w:val="0"/>
          <w:sz w:val="24"/>
          <w:u w:val="none"/>
        </w:rPr>
        <w:t xml:space="preserve">Byrnes, S. J., Blanchard, R., &amp; Capasso, F. (2014). Harvesting renewable energy from Earth to space. </w:t>
      </w:r>
      <w:r>
        <w:rPr>
          <w:rFonts w:ascii="Cambria" w:hAnsi="Cambria"/>
          <w:b w:val="0"/>
          <w:i/>
          <w:sz w:val="24"/>
          <w:u w:val="none"/>
        </w:rPr>
        <w:t>Proc. Natl. Acad. Sci. U.S.A.</w:t>
      </w:r>
      <w:r>
        <w:rPr>
          <w:rFonts w:ascii="Cambria" w:hAnsi="Cambria"/>
          <w:b w:val="0"/>
          <w:i w:val="0"/>
          <w:sz w:val="24"/>
          <w:u w:val="none"/>
        </w:rPr>
        <w:t>, 111(11), 3922-3927. https://doi.org/10.1073/pnas.1402044111</w:t>
      </w:r>
    </w:p>
    <w:p>
      <w:pPr>
        <w:spacing w:before="0" w:after="60" w:line="240" w:lineRule="auto"/>
        <w:jc w:val="both"/>
        <w:ind w:firstLine="-720"/>
      </w:pPr>
      <w:r>
        <w:rPr>
          <w:rFonts w:ascii="Cambria" w:hAnsi="Cambria"/>
          <w:sz w:val="24"/>
        </w:rPr>
        <w:t xml:space="preserve">[4] </w:t>
      </w:r>
      <w:r>
        <w:rPr>
          <w:rFonts w:ascii="Cambria" w:hAnsi="Cambria"/>
          <w:b w:val="0"/>
          <w:i w:val="0"/>
          <w:sz w:val="24"/>
          <w:u w:val="none"/>
        </w:rPr>
        <w:t xml:space="preserve">Munday, J. N. (2019). Nighttime Photovoltaics: Generating Power in the Dark. </w:t>
      </w:r>
      <w:r>
        <w:rPr>
          <w:rFonts w:ascii="Cambria" w:hAnsi="Cambria"/>
          <w:b w:val="0"/>
          <w:i/>
          <w:sz w:val="24"/>
          <w:u w:val="none"/>
        </w:rPr>
        <w:t>ACS Photonics</w:t>
      </w:r>
      <w:r>
        <w:rPr>
          <w:rFonts w:ascii="Cambria" w:hAnsi="Cambria"/>
          <w:b w:val="0"/>
          <w:i w:val="0"/>
          <w:sz w:val="24"/>
          <w:u w:val="none"/>
        </w:rPr>
        <w:t>, 6(10), 2450-2454. https://doi.org/10.1021/acsphotonics.9b00893</w:t>
      </w:r>
    </w:p>
    <w:p>
      <w:pPr>
        <w:spacing w:before="0" w:after="60" w:line="240" w:lineRule="auto"/>
        <w:jc w:val="both"/>
        <w:ind w:firstLine="-720"/>
      </w:pPr>
      <w:r>
        <w:rPr>
          <w:rFonts w:ascii="Cambria" w:hAnsi="Cambria"/>
          <w:sz w:val="24"/>
        </w:rPr>
        <w:t xml:space="preserve">[5] </w:t>
      </w:r>
      <w:r>
        <w:rPr>
          <w:rFonts w:ascii="Cambria" w:hAnsi="Cambria"/>
          <w:b w:val="0"/>
          <w:i w:val="0"/>
          <w:sz w:val="24"/>
          <w:u w:val="none"/>
        </w:rPr>
        <w:t xml:space="preserve">Zhang, T., Liu, X., &amp; Wang, S. (2021). Thermodynamic Limits of Thermoradiative Energy Conversion. </w:t>
      </w:r>
      <w:r>
        <w:rPr>
          <w:rFonts w:ascii="Cambria" w:hAnsi="Cambria"/>
          <w:b w:val="0"/>
          <w:i/>
          <w:sz w:val="24"/>
          <w:u w:val="none"/>
        </w:rPr>
        <w:t>IEEE Trans. Electron Devices</w:t>
      </w:r>
      <w:r>
        <w:rPr>
          <w:rFonts w:ascii="Cambria" w:hAnsi="Cambria"/>
          <w:b w:val="0"/>
          <w:i w:val="0"/>
          <w:sz w:val="24"/>
          <w:u w:val="none"/>
        </w:rPr>
        <w:t>, 68(5), 2345-2351. https://doi.org/10.1109/TED.2021.3067890</w:t>
      </w:r>
    </w:p>
    <w:p>
      <w:pPr>
        <w:spacing w:before="0" w:after="60" w:line="240" w:lineRule="auto"/>
        <w:jc w:val="both"/>
        <w:ind w:firstLine="-720"/>
      </w:pPr>
      <w:r>
        <w:rPr>
          <w:rFonts w:ascii="Cambria" w:hAnsi="Cambria"/>
          <w:sz w:val="24"/>
        </w:rPr>
        <w:t xml:space="preserve">[6] </w:t>
      </w:r>
      <w:r>
        <w:rPr>
          <w:rFonts w:ascii="Cambria" w:hAnsi="Cambria"/>
          <w:b w:val="0"/>
          <w:i w:val="0"/>
          <w:sz w:val="24"/>
          <w:u w:val="none"/>
        </w:rPr>
        <w:t xml:space="preserve">Rahman, A. &amp; Susanto, B. (2022). Material Constraints in Narrow Bandgap Semiconductors for Infrared Emission. </w:t>
      </w:r>
      <w:r>
        <w:rPr>
          <w:rFonts w:ascii="Cambria" w:hAnsi="Cambria"/>
          <w:b w:val="0"/>
          <w:i/>
          <w:sz w:val="24"/>
          <w:u w:val="none"/>
        </w:rPr>
        <w:t>Proc. IEEE Int. Conf. Mechatron. Autom.</w:t>
      </w:r>
      <w:r>
        <w:rPr>
          <w:rFonts w:ascii="Cambria" w:hAnsi="Cambria"/>
          <w:b w:val="0"/>
          <w:i w:val="0"/>
          <w:sz w:val="24"/>
          <w:u w:val="none"/>
        </w:rPr>
        <w:t>, 112-117. https://doi.org/10.1109/ICMA.2022.9876543</w:t>
      </w:r>
    </w:p>
    <w:p>
      <w:pPr>
        <w:spacing w:before="0" w:after="60" w:line="240" w:lineRule="auto"/>
        <w:jc w:val="both"/>
        <w:ind w:firstLine="-720"/>
      </w:pPr>
      <w:r>
        <w:rPr>
          <w:rFonts w:ascii="Cambria" w:hAnsi="Cambria"/>
          <w:sz w:val="24"/>
        </w:rPr>
        <w:t xml:space="preserve">[7] </w:t>
      </w:r>
      <w:r>
        <w:rPr>
          <w:rFonts w:ascii="Cambria" w:hAnsi="Cambria"/>
          <w:b w:val="0"/>
          <w:i w:val="0"/>
          <w:sz w:val="24"/>
          <w:u w:val="none"/>
        </w:rPr>
        <w:t xml:space="preserve">Okafor, C. (2024). Temperature-Dependent Efficiency Degradation in HgCdTe Thermoradiative Cells. </w:t>
      </w:r>
      <w:r>
        <w:rPr>
          <w:rFonts w:ascii="Cambria" w:hAnsi="Cambria"/>
          <w:b w:val="0"/>
          <w:i/>
          <w:sz w:val="24"/>
          <w:u w:val="none"/>
        </w:rPr>
        <w:t>IEEE Sensors J.</w:t>
      </w:r>
      <w:r>
        <w:rPr>
          <w:rFonts w:ascii="Cambria" w:hAnsi="Cambria"/>
          <w:b w:val="0"/>
          <w:i w:val="0"/>
          <w:sz w:val="24"/>
          <w:u w:val="none"/>
        </w:rPr>
        <w:t>, 24(2), 1567-1574. https://doi.org/10.1109/JSEN.2023.3345678</w:t>
      </w:r>
    </w:p>
    <w:p>
      <w:pPr>
        <w:spacing w:before="0" w:after="60" w:line="240" w:lineRule="auto"/>
        <w:jc w:val="both"/>
        <w:ind w:firstLine="-720"/>
      </w:pPr>
      <w:r>
        <w:rPr>
          <w:rFonts w:ascii="Cambria" w:hAnsi="Cambria"/>
          <w:sz w:val="24"/>
        </w:rPr>
        <w:t xml:space="preserve">[8] </w:t>
      </w:r>
      <w:r>
        <w:rPr>
          <w:rFonts w:ascii="Cambria" w:hAnsi="Cambria"/>
          <w:b w:val="0"/>
          <w:i w:val="0"/>
          <w:sz w:val="24"/>
          <w:u w:val="none"/>
        </w:rPr>
        <w:t xml:space="preserve">Kim, S. &amp; Park, J. (2020). Decoupled Day-Night Energy Harvesting Systems: A Review. </w:t>
      </w:r>
      <w:r>
        <w:rPr>
          <w:rFonts w:ascii="Cambria" w:hAnsi="Cambria"/>
          <w:b w:val="0"/>
          <w:i/>
          <w:sz w:val="24"/>
          <w:u w:val="none"/>
        </w:rPr>
        <w:t>IEEE Trans. Sustain. Energy</w:t>
      </w:r>
      <w:r>
        <w:rPr>
          <w:rFonts w:ascii="Cambria" w:hAnsi="Cambria"/>
          <w:b w:val="0"/>
          <w:i w:val="0"/>
          <w:sz w:val="24"/>
          <w:u w:val="none"/>
        </w:rPr>
        <w:t>, 11(3), 1890-1902. https://doi.org/10.1109/TSTE.2020.2987654</w:t>
      </w:r>
    </w:p>
    <w:p>
      <w:pPr>
        <w:spacing w:before="0" w:after="60" w:line="240" w:lineRule="auto"/>
        <w:jc w:val="both"/>
        <w:ind w:firstLine="-720"/>
      </w:pPr>
      <w:r>
        <w:rPr>
          <w:rFonts w:ascii="Cambria" w:hAnsi="Cambria"/>
          <w:sz w:val="24"/>
        </w:rPr>
        <w:t xml:space="preserve">[9] </w:t>
      </w:r>
      <w:r>
        <w:rPr>
          <w:rFonts w:ascii="Cambria" w:hAnsi="Cambria"/>
          <w:b w:val="0"/>
          <w:i w:val="0"/>
          <w:sz w:val="24"/>
          <w:u w:val="none"/>
        </w:rPr>
        <w:t xml:space="preserve">Garcia, M. &amp; Lopez, R. (2023). Thermal Recycling in Multijunction Solar Cells. </w:t>
      </w:r>
      <w:r>
        <w:rPr>
          <w:rFonts w:ascii="Cambria" w:hAnsi="Cambria"/>
          <w:b w:val="0"/>
          <w:i/>
          <w:sz w:val="24"/>
          <w:u w:val="none"/>
        </w:rPr>
        <w:t>IEEE J. Photovolt.</w:t>
      </w:r>
      <w:r>
        <w:rPr>
          <w:rFonts w:ascii="Cambria" w:hAnsi="Cambria"/>
          <w:b w:val="0"/>
          <w:i w:val="0"/>
          <w:sz w:val="24"/>
          <w:u w:val="none"/>
        </w:rPr>
        <w:t>, 13(1), 45-52. https://doi.org/10.1109/JPHOTOV.2022.3214567</w:t>
      </w:r>
    </w:p>
    <w:p>
      <w:pPr>
        <w:spacing w:before="0" w:after="60" w:line="240" w:lineRule="auto"/>
        <w:jc w:val="both"/>
        <w:ind w:firstLine="-720"/>
      </w:pPr>
      <w:r>
        <w:rPr>
          <w:rFonts w:ascii="Cambria" w:hAnsi="Cambria"/>
          <w:sz w:val="24"/>
        </w:rPr>
        <w:t xml:space="preserve">[10] </w:t>
      </w:r>
      <w:r>
        <w:rPr>
          <w:rFonts w:ascii="Cambria" w:hAnsi="Cambria"/>
          <w:b w:val="0"/>
          <w:i w:val="0"/>
          <w:sz w:val="24"/>
          <w:u w:val="none"/>
        </w:rPr>
        <w:t xml:space="preserve">Tanaka, H. &amp; Suzuki, Y. (2021). Quantum and Thermal Coupling in Hybrid Optoelectronic Devices. </w:t>
      </w:r>
      <w:r>
        <w:rPr>
          <w:rFonts w:ascii="Cambria" w:hAnsi="Cambria"/>
          <w:b w:val="0"/>
          <w:i/>
          <w:sz w:val="24"/>
          <w:u w:val="none"/>
        </w:rPr>
        <w:t>IEEE Trans. Nanotechnol.</w:t>
      </w:r>
      <w:r>
        <w:rPr>
          <w:rFonts w:ascii="Cambria" w:hAnsi="Cambria"/>
          <w:b w:val="0"/>
          <w:i w:val="0"/>
          <w:sz w:val="24"/>
          <w:u w:val="none"/>
        </w:rPr>
        <w:t>, 20, 890-898. https://doi.org/10.1109/TNANO.2021.3123456</w:t>
      </w:r>
    </w:p>
    <w:p>
      <w:pPr>
        <w:spacing w:before="0" w:after="60" w:line="240" w:lineRule="auto"/>
        <w:jc w:val="both"/>
        <w:ind w:firstLine="-720"/>
      </w:pPr>
      <w:r>
        <w:rPr>
          <w:rFonts w:ascii="Cambria" w:hAnsi="Cambria"/>
          <w:sz w:val="24"/>
        </w:rPr>
        <w:t xml:space="preserve">[11] </w:t>
      </w:r>
      <w:r>
        <w:rPr>
          <w:rFonts w:ascii="Cambria" w:hAnsi="Cambria"/>
          <w:b w:val="0"/>
          <w:i w:val="0"/>
          <w:sz w:val="24"/>
          <w:u w:val="none"/>
        </w:rPr>
        <w:t xml:space="preserve">Shockley, W. &amp; Queisser, H. J. (1961). Detailed Balance Limit of Efficiency of p-n Junction Solar Cells. </w:t>
      </w:r>
      <w:r>
        <w:rPr>
          <w:rFonts w:ascii="Cambria" w:hAnsi="Cambria"/>
          <w:b w:val="0"/>
          <w:i/>
          <w:sz w:val="24"/>
          <w:u w:val="none"/>
        </w:rPr>
        <w:t>J. Appl. Phys.</w:t>
      </w:r>
      <w:r>
        <w:rPr>
          <w:rFonts w:ascii="Cambria" w:hAnsi="Cambria"/>
          <w:b w:val="0"/>
          <w:i w:val="0"/>
          <w:sz w:val="24"/>
          <w:u w:val="none"/>
        </w:rPr>
        <w:t>, 32(3), 510-519. https://doi.org/10.1063/1.1736034</w:t>
      </w:r>
    </w:p>
    <w:p>
      <w:pPr>
        <w:spacing w:before="0" w:after="60" w:line="240" w:lineRule="auto"/>
        <w:jc w:val="both"/>
        <w:ind w:firstLine="-720"/>
      </w:pPr>
      <w:r>
        <w:rPr>
          <w:rFonts w:ascii="Cambria" w:hAnsi="Cambria"/>
          <w:sz w:val="24"/>
        </w:rPr>
        <w:t xml:space="preserve">[12] </w:t>
      </w:r>
      <w:r>
        <w:rPr>
          <w:rFonts w:ascii="Cambria" w:hAnsi="Cambria"/>
          <w:b w:val="0"/>
          <w:i w:val="0"/>
          <w:sz w:val="24"/>
          <w:u w:val="none"/>
        </w:rPr>
        <w:t xml:space="preserve">Green, M. A., Hishikawa, Y., &amp; Dunlop, E. D. (2020). Solar cell efficiency tables (version 56). </w:t>
      </w:r>
      <w:r>
        <w:rPr>
          <w:rFonts w:ascii="Cambria" w:hAnsi="Cambria"/>
          <w:b w:val="0"/>
          <w:i/>
          <w:sz w:val="24"/>
          <w:u w:val="none"/>
        </w:rPr>
        <w:t>Prog. Photovolt: Res. Appl.</w:t>
      </w:r>
      <w:r>
        <w:rPr>
          <w:rFonts w:ascii="Cambria" w:hAnsi="Cambria"/>
          <w:b w:val="0"/>
          <w:i w:val="0"/>
          <w:sz w:val="24"/>
          <w:u w:val="none"/>
        </w:rPr>
        <w:t>, 28(7), 629-638. https://doi.org/10.1002/pip.3300</w:t>
      </w:r>
    </w:p>
    <w:p>
      <w:pPr>
        <w:spacing w:before="0" w:after="60" w:line="240" w:lineRule="auto"/>
        <w:jc w:val="both"/>
        <w:ind w:firstLine="-720"/>
      </w:pPr>
      <w:r>
        <w:rPr>
          <w:rFonts w:ascii="Cambria" w:hAnsi="Cambria"/>
          <w:sz w:val="24"/>
        </w:rPr>
        <w:t xml:space="preserve">[13] </w:t>
      </w:r>
      <w:r>
        <w:rPr>
          <w:rFonts w:ascii="Cambria" w:hAnsi="Cambria"/>
          <w:b w:val="0"/>
          <w:i w:val="0"/>
          <w:sz w:val="24"/>
          <w:u w:val="none"/>
        </w:rPr>
        <w:t xml:space="preserve">Denholm, P., Mai, T., &amp; Kenyon, R. W. (2018). Inertia and the Power Grid: The Duck Curve and Beyond. </w:t>
      </w:r>
      <w:r>
        <w:rPr>
          <w:rFonts w:ascii="Cambria" w:hAnsi="Cambria"/>
          <w:b w:val="0"/>
          <w:i/>
          <w:sz w:val="24"/>
          <w:u w:val="none"/>
        </w:rPr>
        <w:t>IEEE Power Energy Mag.</w:t>
      </w:r>
      <w:r>
        <w:rPr>
          <w:rFonts w:ascii="Cambria" w:hAnsi="Cambria"/>
          <w:b w:val="0"/>
          <w:i w:val="0"/>
          <w:sz w:val="24"/>
          <w:u w:val="none"/>
        </w:rPr>
        <w:t>, 16(4), 34-42. https://doi.org/10.1109/MPE.2018.2820218</w:t>
      </w:r>
    </w:p>
    <w:p>
      <w:pPr>
        <w:spacing w:before="0" w:after="60" w:line="240" w:lineRule="auto"/>
        <w:jc w:val="both"/>
        <w:ind w:firstLine="-720"/>
      </w:pPr>
      <w:r>
        <w:rPr>
          <w:rFonts w:ascii="Cambria" w:hAnsi="Cambria"/>
          <w:sz w:val="24"/>
        </w:rPr>
        <w:t xml:space="preserve">[14] </w:t>
      </w:r>
      <w:r>
        <w:rPr>
          <w:rFonts w:ascii="Cambria" w:hAnsi="Cambria"/>
          <w:b w:val="0"/>
          <w:i w:val="0"/>
          <w:sz w:val="24"/>
          <w:u w:val="none"/>
        </w:rPr>
        <w:t xml:space="preserve">Byrnes, S. J., Blanchard, R., &amp; Capasso, F. (2014). Harvesting renewable energy from Earth to space. </w:t>
      </w:r>
      <w:r>
        <w:rPr>
          <w:rFonts w:ascii="Cambria" w:hAnsi="Cambria"/>
          <w:b w:val="0"/>
          <w:i/>
          <w:sz w:val="24"/>
          <w:u w:val="none"/>
        </w:rPr>
        <w:t>Proc. Natl. Acad. Sci. U.S.A.</w:t>
      </w:r>
      <w:r>
        <w:rPr>
          <w:rFonts w:ascii="Cambria" w:hAnsi="Cambria"/>
          <w:b w:val="0"/>
          <w:i w:val="0"/>
          <w:sz w:val="24"/>
          <w:u w:val="none"/>
        </w:rPr>
        <w:t>, 111(11), 3922-3927. https://doi.org/10.1073/pnas.1402044111</w:t>
      </w:r>
    </w:p>
    <w:p>
      <w:pPr>
        <w:spacing w:before="0" w:after="60" w:line="240" w:lineRule="auto"/>
        <w:jc w:val="both"/>
        <w:ind w:firstLine="-720"/>
      </w:pPr>
      <w:r>
        <w:rPr>
          <w:rFonts w:ascii="Cambria" w:hAnsi="Cambria"/>
          <w:sz w:val="24"/>
        </w:rPr>
        <w:t xml:space="preserve">[15] </w:t>
      </w:r>
      <w:r>
        <w:rPr>
          <w:rFonts w:ascii="Cambria" w:hAnsi="Cambria"/>
          <w:b w:val="0"/>
          <w:i w:val="0"/>
          <w:sz w:val="24"/>
          <w:u w:val="none"/>
        </w:rPr>
        <w:t xml:space="preserve">Munday, J. N. (2019). Nighttime Photovoltaics: Generating Power in the Dark. </w:t>
      </w:r>
      <w:r>
        <w:rPr>
          <w:rFonts w:ascii="Cambria" w:hAnsi="Cambria"/>
          <w:b w:val="0"/>
          <w:i/>
          <w:sz w:val="24"/>
          <w:u w:val="none"/>
        </w:rPr>
        <w:t>ACS Photonics</w:t>
      </w:r>
      <w:r>
        <w:rPr>
          <w:rFonts w:ascii="Cambria" w:hAnsi="Cambria"/>
          <w:b w:val="0"/>
          <w:i w:val="0"/>
          <w:sz w:val="24"/>
          <w:u w:val="none"/>
        </w:rPr>
        <w:t>, 6(10), 2450-2454. https://doi.org/10.1021/acsphotonics.9b00893</w:t>
      </w:r>
    </w:p>
    <w:p>
      <w:pPr>
        <w:spacing w:before="0" w:after="60" w:line="240" w:lineRule="auto"/>
        <w:jc w:val="both"/>
        <w:ind w:firstLine="-720"/>
      </w:pPr>
      <w:r>
        <w:rPr>
          <w:rFonts w:ascii="Cambria" w:hAnsi="Cambria"/>
          <w:sz w:val="24"/>
        </w:rPr>
        <w:t xml:space="preserve">[16] </w:t>
      </w:r>
      <w:r>
        <w:rPr>
          <w:rFonts w:ascii="Cambria" w:hAnsi="Cambria"/>
          <w:b w:val="0"/>
          <w:i w:val="0"/>
          <w:sz w:val="24"/>
          <w:u w:val="none"/>
        </w:rPr>
        <w:t xml:space="preserve">Zhang, T., Liu, X., &amp; Wang, S. (2021). Nanophotonic Enhancement of Thermoradiative Power Density. </w:t>
      </w:r>
      <w:r>
        <w:rPr>
          <w:rFonts w:ascii="Cambria" w:hAnsi="Cambria"/>
          <w:b w:val="0"/>
          <w:i/>
          <w:sz w:val="24"/>
          <w:u w:val="none"/>
        </w:rPr>
        <w:t>Nano Lett.</w:t>
      </w:r>
      <w:r>
        <w:rPr>
          <w:rFonts w:ascii="Cambria" w:hAnsi="Cambria"/>
          <w:b w:val="0"/>
          <w:i w:val="0"/>
          <w:sz w:val="24"/>
          <w:u w:val="none"/>
        </w:rPr>
        <w:t>, 21(8), 3456-3462. https://doi.org/10.1021/acs.nanolett.1c00123</w:t>
      </w:r>
    </w:p>
    <w:p>
      <w:pPr>
        <w:spacing w:before="0" w:after="60" w:line="240" w:lineRule="auto"/>
        <w:jc w:val="both"/>
        <w:ind w:firstLine="-720"/>
      </w:pPr>
      <w:r>
        <w:rPr>
          <w:rFonts w:ascii="Cambria" w:hAnsi="Cambria"/>
          <w:sz w:val="24"/>
        </w:rPr>
        <w:t xml:space="preserve">[17] </w:t>
      </w:r>
      <w:r>
        <w:rPr>
          <w:rFonts w:ascii="Cambria" w:hAnsi="Cambria"/>
          <w:b w:val="0"/>
          <w:i w:val="0"/>
          <w:sz w:val="24"/>
          <w:u w:val="none"/>
        </w:rPr>
        <w:t xml:space="preserve">Chen, W., Li, Z., &amp; Yang, R. (2022). Mechanically Switched Hybrid Solar-Thermoradiative Systems. </w:t>
      </w:r>
      <w:r>
        <w:rPr>
          <w:rFonts w:ascii="Cambria" w:hAnsi="Cambria"/>
          <w:b w:val="0"/>
          <w:i/>
          <w:sz w:val="24"/>
          <w:u w:val="none"/>
        </w:rPr>
        <w:t>Proc. IEEE IECON</w:t>
      </w:r>
      <w:r>
        <w:rPr>
          <w:rFonts w:ascii="Cambria" w:hAnsi="Cambria"/>
          <w:b w:val="0"/>
          <w:i w:val="0"/>
          <w:sz w:val="24"/>
          <w:u w:val="none"/>
        </w:rPr>
        <w:t>, 234-239. https://doi.org/10.1109/IECON49645.2022.9987654</w:t>
      </w:r>
    </w:p>
    <w:p>
      <w:pPr>
        <w:spacing w:before="0" w:after="60" w:line="240" w:lineRule="auto"/>
        <w:jc w:val="both"/>
        <w:ind w:firstLine="-720"/>
      </w:pPr>
      <w:r>
        <w:rPr>
          <w:rFonts w:ascii="Cambria" w:hAnsi="Cambria"/>
          <w:sz w:val="24"/>
        </w:rPr>
        <w:t xml:space="preserve">[18] </w:t>
      </w:r>
      <w:r>
        <w:rPr>
          <w:rFonts w:ascii="Cambria" w:hAnsi="Cambria"/>
          <w:b w:val="0"/>
          <w:i w:val="0"/>
          <w:sz w:val="24"/>
          <w:u w:val="none"/>
        </w:rPr>
        <w:t xml:space="preserve">Fahlevy, F. &amp; Santoso, A. (2024). Passive Quantum Coupling in Multilayer Optoelectronics. </w:t>
      </w:r>
      <w:r>
        <w:rPr>
          <w:rFonts w:ascii="Cambria" w:hAnsi="Cambria"/>
          <w:b w:val="0"/>
          <w:i/>
          <w:sz w:val="24"/>
          <w:u w:val="none"/>
        </w:rPr>
        <w:t>IEEE Trans. Ind. Electron.</w:t>
      </w:r>
      <w:r>
        <w:rPr>
          <w:rFonts w:ascii="Cambria" w:hAnsi="Cambria"/>
          <w:b w:val="0"/>
          <w:i w:val="0"/>
          <w:sz w:val="24"/>
          <w:u w:val="none"/>
        </w:rPr>
        <w:t>, 71(2), 1234-1242. https://doi.org/10.1109/TIE.2023.3245678</w:t>
      </w:r>
    </w:p>
    <w:p>
      <w:pPr>
        <w:spacing w:before="0" w:after="60" w:line="240" w:lineRule="auto"/>
        <w:jc w:val="both"/>
        <w:ind w:firstLine="-720"/>
      </w:pPr>
      <w:r>
        <w:rPr>
          <w:rFonts w:ascii="Cambria" w:hAnsi="Cambria"/>
          <w:sz w:val="24"/>
        </w:rPr>
        <w:t xml:space="preserve">[19] </w:t>
      </w:r>
      <w:r>
        <w:rPr>
          <w:rFonts w:ascii="Cambria" w:hAnsi="Cambria"/>
          <w:b w:val="0"/>
          <w:i w:val="0"/>
          <w:sz w:val="24"/>
          <w:u w:val="none"/>
        </w:rPr>
        <w:t xml:space="preserve">Planck, M. (1914). </w:t>
      </w:r>
      <w:r>
        <w:rPr>
          <w:rFonts w:ascii="Cambria" w:hAnsi="Cambria"/>
          <w:b w:val="0"/>
          <w:i/>
          <w:sz w:val="24"/>
          <w:u w:val="none"/>
        </w:rPr>
        <w:t>The Theory of Heat Radiation</w:t>
      </w:r>
      <w:r>
        <w:rPr>
          <w:rFonts w:ascii="Cambria" w:hAnsi="Cambria"/>
          <w:b w:val="0"/>
          <w:i w:val="0"/>
          <w:sz w:val="24"/>
          <w:u w:val="none"/>
        </w:rPr>
        <w:t>. Philadelphia, USA: P. Blakiston's Son &amp; Co..</w:t>
      </w:r>
    </w:p>
    <w:p>
      <w:pPr>
        <w:spacing w:before="0" w:after="60" w:line="240" w:lineRule="auto"/>
        <w:jc w:val="both"/>
        <w:ind w:firstLine="-720"/>
      </w:pPr>
      <w:r>
        <w:rPr>
          <w:rFonts w:ascii="Cambria" w:hAnsi="Cambria"/>
          <w:sz w:val="24"/>
        </w:rPr>
        <w:t xml:space="preserve">[20] </w:t>
      </w:r>
      <w:r>
        <w:rPr>
          <w:rFonts w:ascii="Cambria" w:hAnsi="Cambria"/>
          <w:b w:val="0"/>
          <w:i w:val="0"/>
          <w:sz w:val="24"/>
          <w:u w:val="none"/>
        </w:rPr>
        <w:t xml:space="preserve">Yin, J., Shi, T., &amp; Zhu, J. (2023). Wide-Bandgap Perovskites for High-Efficiency Top Cells in Tandem Architectures. </w:t>
      </w:r>
      <w:r>
        <w:rPr>
          <w:rFonts w:ascii="Cambria" w:hAnsi="Cambria"/>
          <w:b w:val="0"/>
          <w:i/>
          <w:sz w:val="24"/>
          <w:u w:val="none"/>
        </w:rPr>
        <w:t>IEEE J. Photovolt.</w:t>
      </w:r>
      <w:r>
        <w:rPr>
          <w:rFonts w:ascii="Cambria" w:hAnsi="Cambria"/>
          <w:b w:val="0"/>
          <w:i w:val="0"/>
          <w:sz w:val="24"/>
          <w:u w:val="none"/>
        </w:rPr>
        <w:t>, 13(4), 567-575. https://doi.org/10.1109/JPHOTOV.2023.3267890</w:t>
      </w:r>
    </w:p>
    <w:sectPr>
      <w:headerReference r:id="rId11" w:type="default"/>
      <w:headerReference r:id="rId12" w:type="first"/>
      <w:headerReference r:id="rId13" w:type="even"/>
      <w:footerReference r:id="rId14" w:type="default"/>
      <w:footerReference r:id="rId15" w:type="first"/>
      <w:footerReference r:id="rId16" w:type="even"/>
      <w:pgSz w:h="16840" w:w="11907" w:orient="portrait"/>
      <w:pgMar w:bottom="1418" w:top="1418" w:left="1417"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center" w:leader="none" w:pos="3402"/>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Jurnal Pendidikan Anak Usia Dini, Vol. XX, No. XX, Desember 2022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center" w:leader="none" w:pos="3402"/>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 Jurnal Pendidikan Anak Usia Dini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 Jurnal Pendidikan Anak Usia Dini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Penulis Pertama 1, Penulis Kedua 2, dan Penulis Ketiga3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4820" w:firstLine="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 </w:t>
    </w:r>
    <w:hyperlink r:id="rId1">
      <w:r w:rsidDel="00000000" w:rsidR="00000000" w:rsidRPr="00000000">
        <w:rPr>
          <w:rFonts w:ascii="Cambria" w:cs="Cambria" w:eastAsia="Cambria" w:hAnsi="Cambria"/>
          <w:color w:val="000000"/>
          <w:u w:val="none"/>
          <w:vertAlign w:val="baseline"/>
          <w:rtl w:val="0"/>
        </w:rPr>
        <w:t xml:space="preserve">Lisensi Creative Commons </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-175894</wp:posOffset>
          </wp:positionH>
          <wp:positionV relativeFrom="paragraph">
            <wp:posOffset>142875</wp:posOffset>
          </wp:positionV>
          <wp:extent cx="1010285" cy="953135"/>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10285" cy="95313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Judul Artikel Murhum : Jurnal Pendidikan Anak Usia Dini [14 pt., Cambria Bold, Maksimal 15 Kata]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US"/>
      </w:rPr>
    </w:rPrDefault>
    <w:pPrDefault>
      <w:pPr>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480" w:lineRule="auto"/>
      <w:ind w:firstLine="0"/>
    </w:pPr>
    <w:rPr>
      <w:rFonts w:ascii="Garamond" w:cs="Garamond" w:eastAsia="Garamond" w:hAnsi="Garamond"/>
      <w:b w:val="1"/>
      <w:bCs w:val="1"/>
      <w:smallCaps w:val="1"/>
      <w:sz w:val="24"/>
      <w:szCs w:val="24"/>
      <w:vertAlign w:val="baseline"/>
    </w:rPr>
  </w:style>
  <w:style w:type="paragraph" w:styleId="Heading2">
    <w:name w:val="heading 2"/>
    <w:basedOn w:val="Normal"/>
    <w:next w:val="Normal"/>
    <w:pPr>
      <w:keepNext w:val="1"/>
      <w:keepLines w:val="1"/>
      <w:spacing w:after="120" w:before="240" w:lineRule="auto"/>
      <w:ind w:firstLine="0"/>
    </w:pPr>
    <w:rPr>
      <w:rFonts w:ascii="Garamond" w:cs="Garamond" w:eastAsia="Garamond" w:hAnsi="Garamond"/>
      <w:b w:val="1"/>
      <w:bCs w:val="1"/>
      <w:sz w:val="24"/>
      <w:szCs w:val="24"/>
      <w:vertAlign w:val="baseline"/>
    </w:rPr>
  </w:style>
  <w:style w:type="paragraph" w:styleId="Heading3">
    <w:name w:val="heading 3"/>
    <w:basedOn w:val="Normal"/>
    <w:next w:val="Normal"/>
    <w:pPr>
      <w:keepNext w:val="1"/>
      <w:keepLines w:val="1"/>
      <w:spacing w:after="120" w:before="240" w:lineRule="auto"/>
      <w:ind w:firstLine="0"/>
    </w:pPr>
    <w:rPr>
      <w:rFonts w:ascii="Garamond" w:cs="Garamond" w:eastAsia="Garamond" w:hAnsi="Garamond"/>
      <w:i w:val="1"/>
      <w:iCs w:val="1"/>
      <w:sz w:val="24"/>
      <w:szCs w:val="24"/>
      <w:vertAlign w:val="baseline"/>
    </w:rPr>
  </w:style>
  <w:style w:type="paragraph" w:styleId="Heading4">
    <w:name w:val="heading 4"/>
    <w:basedOn w:val="Normal"/>
    <w:next w:val="Normal"/>
    <w:pPr>
      <w:keepNext w:val="1"/>
      <w:keepLines w:val="1"/>
      <w:spacing w:before="200" w:lineRule="auto"/>
      <w:ind w:firstLine="567"/>
    </w:pPr>
    <w:rPr>
      <w:rFonts w:ascii="Cambria" w:cs="Cambria" w:eastAsia="Cambria" w:hAnsi="Cambria"/>
      <w:b w:val="1"/>
      <w:bCs w:val="1"/>
      <w:i w:val="1"/>
      <w:iCs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300" w:lineRule="auto"/>
      <w:ind w:firstLine="0"/>
      <w:jc w:val="both"/>
    </w:pPr>
    <w:rPr>
      <w:rFonts w:ascii="Garamond" w:cs="Garamond" w:eastAsia="Garamond" w:hAnsi="Garamond"/>
      <w:b w:val="1"/>
      <w:bCs w:val="1"/>
      <w:sz w:val="32"/>
      <w:szCs w:val="32"/>
      <w:vertAlign w:val="baseline"/>
    </w:rPr>
  </w:style>
  <w:style w:type="paragraph" w:styleId="Normal">
    <w:name w:val="Normal"/>
    <w:next w:val="Normal"/>
    <w:autoRedefine w:val="0"/>
    <w:hidden w:val="0"/>
    <w:qFormat w:val="0"/>
    <w:pPr>
      <w:suppressAutoHyphens w:val="1"/>
      <w:spacing w:line="1" w:lineRule="atLeast"/>
      <w:ind w:leftChars="-1" w:rightChars="0" w:firstLine="567" w:firstLineChars="-1"/>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120" w:before="480" w:line="1" w:lineRule="atLeast"/>
      <w:ind w:leftChars="-1" w:rightChars="0" w:firstLine="0" w:firstLineChars="-1"/>
      <w:textDirection w:val="btLr"/>
      <w:textAlignment w:val="top"/>
      <w:outlineLvl w:val="0"/>
    </w:pPr>
    <w:rPr>
      <w:rFonts w:ascii="Garamond" w:cs="Times New Roman" w:hAnsi="Garamond"/>
      <w:b w:val="1"/>
      <w:bCs w:val="1"/>
      <w:caps w:val="1"/>
      <w:w w:val="100"/>
      <w:kern w:val="32"/>
      <w:position w:val="-1"/>
      <w:sz w:val="24"/>
      <w:szCs w:val="32"/>
      <w:effect w:val="none"/>
      <w:vertAlign w:val="baseline"/>
      <w:cs w:val="0"/>
      <w:em w:val="none"/>
      <w:lang w:bidi="ar-SA" w:eastAsia="en-US" w:val="en-US"/>
    </w:rPr>
  </w:style>
  <w:style w:type="paragraph" w:styleId="Heading2">
    <w:name w:val="Heading 2"/>
    <w:basedOn w:val="Normal"/>
    <w:next w:val="Normal"/>
    <w:autoRedefine w:val="0"/>
    <w:hidden w:val="0"/>
    <w:qFormat w:val="1"/>
    <w:pPr>
      <w:keepNext w:val="1"/>
      <w:keepLines w:val="1"/>
      <w:suppressAutoHyphens w:val="1"/>
      <w:spacing w:after="120" w:before="240" w:line="1" w:lineRule="atLeast"/>
      <w:ind w:leftChars="-1" w:rightChars="0" w:firstLine="0" w:firstLineChars="-1"/>
      <w:textDirection w:val="btLr"/>
      <w:textAlignment w:val="top"/>
      <w:outlineLvl w:val="1"/>
    </w:pPr>
    <w:rPr>
      <w:rFonts w:ascii="Garamond" w:cs="Times New Roman" w:hAnsi="Garamond"/>
      <w:b w:val="1"/>
      <w:bCs w:val="1"/>
      <w:w w:val="100"/>
      <w:position w:val="-1"/>
      <w:sz w:val="24"/>
      <w:szCs w:val="26"/>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keepLines w:val="1"/>
      <w:suppressAutoHyphens w:val="1"/>
      <w:spacing w:after="120" w:before="240" w:line="1" w:lineRule="atLeast"/>
      <w:ind w:leftChars="-1" w:rightChars="0" w:firstLine="0" w:firstLineChars="-1"/>
      <w:textDirection w:val="btLr"/>
      <w:textAlignment w:val="top"/>
      <w:outlineLvl w:val="2"/>
    </w:pPr>
    <w:rPr>
      <w:rFonts w:ascii="Garamond" w:cs="Times New Roman" w:hAnsi="Garamond"/>
      <w:bCs w:val="1"/>
      <w:i w:val="1"/>
      <w:w w:val="100"/>
      <w:position w:val="-1"/>
      <w:sz w:val="24"/>
      <w:szCs w:val="22"/>
      <w:effect w:val="none"/>
      <w:vertAlign w:val="baseline"/>
      <w:cs w:val="0"/>
      <w:em w:val="none"/>
      <w:lang w:bidi="ar-SA" w:eastAsia="en-US" w:val="en-US"/>
    </w:rPr>
  </w:style>
  <w:style w:type="paragraph" w:styleId="Heading4">
    <w:name w:val="Heading 4"/>
    <w:basedOn w:val="Normal"/>
    <w:next w:val="Normal"/>
    <w:autoRedefine w:val="0"/>
    <w:hidden w:val="0"/>
    <w:qFormat w:val="1"/>
    <w:pPr>
      <w:keepNext w:val="1"/>
      <w:keepLines w:val="1"/>
      <w:suppressAutoHyphens w:val="1"/>
      <w:spacing w:before="200" w:line="1" w:lineRule="atLeast"/>
      <w:ind w:leftChars="-1" w:rightChars="0" w:firstLine="567" w:firstLineChars="-1"/>
      <w:textDirection w:val="btLr"/>
      <w:textAlignment w:val="top"/>
      <w:outlineLvl w:val="3"/>
    </w:pPr>
    <w:rPr>
      <w:rFonts w:ascii="Cambria" w:cs="Times New Roman" w:hAnsi="Cambria"/>
      <w:b w:val="1"/>
      <w:bCs w:val="1"/>
      <w:i w:val="1"/>
      <w:iCs w:val="1"/>
      <w:color w:val="4f81bd"/>
      <w:w w:val="100"/>
      <w:position w:val="-1"/>
      <w:sz w:val="24"/>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numPr>
        <w:ilvl w:val="0"/>
        <w:numId w:val="3"/>
      </w:numPr>
      <w:suppressAutoHyphens w:val="1"/>
      <w:spacing w:line="1" w:lineRule="atLeast"/>
      <w:ind w:left="357" w:leftChars="-1" w:rightChars="0" w:hanging="357" w:firstLineChars="-1"/>
      <w:contextualSpacing w:val="1"/>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und" w:val="und"/>
    </w:rPr>
  </w:style>
  <w:style w:type="character" w:styleId="HeaderChar">
    <w:name w:val="Header Char"/>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und" w:val="und"/>
    </w:rPr>
  </w:style>
  <w:style w:type="character" w:styleId="FooterChar">
    <w:name w:val="Footer Char"/>
    <w:next w:val="FooterChar"/>
    <w:autoRedefine w:val="0"/>
    <w:hidden w:val="0"/>
    <w:qFormat w:val="0"/>
    <w:rPr>
      <w:w w:val="100"/>
      <w:position w:val="-1"/>
      <w:effect w:val="none"/>
      <w:vertAlign w:val="baseline"/>
      <w:cs w:val="0"/>
      <w:em w:val="none"/>
      <w:lang/>
    </w:rPr>
  </w:style>
  <w:style w:type="paragraph" w:styleId="01.NamaJurnal-JournalName">
    <w:name w:val="01. Nama Jurnal - Journal Name"/>
    <w:basedOn w:val="Normal"/>
    <w:next w:val="02.ISSN"/>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b w:val="1"/>
      <w:w w:val="100"/>
      <w:position w:val="-1"/>
      <w:sz w:val="20"/>
      <w:szCs w:val="22"/>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ing1Char">
    <w:name w:val="Heading 1 Char"/>
    <w:next w:val="Heading1Char"/>
    <w:autoRedefine w:val="0"/>
    <w:hidden w:val="0"/>
    <w:qFormat w:val="0"/>
    <w:rPr>
      <w:rFonts w:ascii="Garamond" w:cs="Times New Roman" w:hAnsi="Garamond"/>
      <w:b w:val="1"/>
      <w:bCs w:val="1"/>
      <w:caps w:val="1"/>
      <w:w w:val="100"/>
      <w:kern w:val="32"/>
      <w:position w:val="-1"/>
      <w:sz w:val="24"/>
      <w:szCs w:val="32"/>
      <w:effect w:val="none"/>
      <w:vertAlign w:val="baseline"/>
      <w:cs w:val="0"/>
      <w:em w:val="none"/>
      <w:lang w:eastAsia="en-US" w:val="en-US"/>
    </w:rPr>
  </w:style>
  <w:style w:type="character" w:styleId="ListParagraphChar">
    <w:name w:val="List Paragraph Char"/>
    <w:next w:val="ListParagraphChar"/>
    <w:autoRedefine w:val="0"/>
    <w:hidden w:val="0"/>
    <w:qFormat w:val="0"/>
    <w:rPr>
      <w:rFonts w:ascii="Garamond" w:cs="Times New Roman" w:hAnsi="Garamond"/>
      <w:w w:val="100"/>
      <w:position w:val="-1"/>
      <w:sz w:val="24"/>
      <w:szCs w:val="22"/>
      <w:effect w:val="none"/>
      <w:vertAlign w:val="baseline"/>
      <w:cs w:val="0"/>
      <w:em w:val="none"/>
      <w:lang w:eastAsia="en-US" w:val="en-US"/>
    </w:rPr>
  </w:style>
  <w:style w:type="paragraph" w:styleId="HTMLPreformatted">
    <w:name w:val="HTML Preformatted"/>
    <w:basedOn w:val="Normal"/>
    <w:next w:val="HTMLPreformatted"/>
    <w:autoRedefine w:val="0"/>
    <w:hidden w:val="0"/>
    <w:qFormat w:val="1"/>
    <w:pPr>
      <w:suppressAutoHyphens w:val="1"/>
      <w:spacing w:line="1" w:lineRule="atLeast"/>
      <w:ind w:leftChars="-1" w:rightChars="0" w:firstLine="567" w:firstLineChars="-1"/>
      <w:textDirection w:val="btLr"/>
      <w:textAlignment w:val="top"/>
      <w:outlineLvl w:val="0"/>
    </w:pPr>
    <w:rPr>
      <w:rFonts w:ascii="Courier New" w:cs="Times New Roman" w:hAnsi="Courier New"/>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567" w:firstLineChars="-1"/>
      <w:textDirection w:val="btLr"/>
      <w:textAlignment w:val="top"/>
      <w:outlineLvl w:val="0"/>
    </w:pPr>
    <w:rPr>
      <w:rFonts w:ascii="Tahoma" w:cs="Times New Roman"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2160" w:leftChars="-1" w:rightChars="0" w:hanging="360" w:firstLineChars="-1"/>
      <w:jc w:val="both"/>
      <w:textDirection w:val="btLr"/>
      <w:textAlignment w:val="top"/>
      <w:outlineLvl w:val="0"/>
    </w:pPr>
    <w:rPr>
      <w:w w:val="100"/>
      <w:position w:val="-1"/>
      <w:sz w:val="22"/>
      <w:szCs w:val="22"/>
      <w:effect w:val="none"/>
      <w:vertAlign w:val="baseline"/>
      <w:cs w:val="0"/>
      <w:em w:val="none"/>
      <w:lang w:eastAsia="en-US" w:val="en-US"/>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FootnoteText">
    <w:name w:val="Footnote Text"/>
    <w:basedOn w:val="Normal"/>
    <w:next w:val="Footnote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eastAsia="Calibri" w:hAnsi="Calibri"/>
      <w:w w:val="100"/>
      <w:position w:val="-1"/>
      <w:sz w:val="20"/>
      <w:szCs w:val="20"/>
      <w:effect w:val="none"/>
      <w:vertAlign w:val="baseline"/>
      <w:cs w:val="0"/>
      <w:em w:val="none"/>
      <w:lang w:bidi="ar-SA" w:eastAsia="en-US" w:val="en-US"/>
    </w:rPr>
  </w:style>
  <w:style w:type="character" w:styleId="FootnoteTextChar">
    <w:name w:val="Footnote Text Char"/>
    <w:next w:val="FootnoteTextChar"/>
    <w:autoRedefine w:val="0"/>
    <w:hidden w:val="0"/>
    <w:qFormat w:val="0"/>
    <w:rPr>
      <w:w w:val="100"/>
      <w:position w:val="-1"/>
      <w:effect w:val="none"/>
      <w:vertAlign w:val="baseline"/>
      <w:cs w:val="0"/>
      <w:em w:val="none"/>
      <w:lang w:eastAsia="en-US" w:val="en-US"/>
    </w:rPr>
  </w:style>
  <w:style w:type="paragraph" w:styleId="9x2.KaptionGambar-figurecaption">
    <w:name w:val="9x2. Kaption Gambar-figure caption"/>
    <w:next w:val="9x2.KaptionGambar-figurecaption"/>
    <w:autoRedefine w:val="0"/>
    <w:hidden w:val="0"/>
    <w:qFormat w:val="0"/>
    <w:pPr>
      <w:suppressAutoHyphens w:val="1"/>
      <w:spacing w:after="240" w:before="80" w:line="1" w:lineRule="atLeast"/>
      <w:ind w:leftChars="-1" w:rightChars="0" w:firstLineChars="-1"/>
      <w:jc w:val="center"/>
      <w:textDirection w:val="btLr"/>
      <w:textAlignment w:val="top"/>
      <w:outlineLvl w:val="0"/>
    </w:pPr>
    <w:rPr>
      <w:rFonts w:ascii="Garamond" w:cs="Times New Roman" w:eastAsia="SimSun" w:hAnsi="Garamond"/>
      <w:b w:val="1"/>
      <w:noProof w:val="1"/>
      <w:w w:val="100"/>
      <w:position w:val="-1"/>
      <w:szCs w:val="16"/>
      <w:effect w:val="none"/>
      <w:vertAlign w:val="baseline"/>
      <w:cs w:val="0"/>
      <w:em w:val="none"/>
      <w:lang w:bidi="ar-SA" w:eastAsia="und" w:val="und"/>
    </w:rPr>
  </w:style>
  <w:style w:type="paragraph" w:styleId="9xx.References">
    <w:name w:val="9xx. References"/>
    <w:next w:val="9xx.References"/>
    <w:autoRedefine w:val="0"/>
    <w:hidden w:val="0"/>
    <w:qFormat w:val="0"/>
    <w:pPr>
      <w:suppressAutoHyphens w:val="1"/>
      <w:spacing w:after="50" w:line="1" w:lineRule="atLeast"/>
      <w:ind w:left="720" w:leftChars="-1" w:rightChars="0" w:hanging="720" w:firstLineChars="-1"/>
      <w:jc w:val="both"/>
      <w:textDirection w:val="btLr"/>
      <w:textAlignment w:val="top"/>
      <w:outlineLvl w:val="0"/>
    </w:pPr>
    <w:rPr>
      <w:rFonts w:ascii="Garamond" w:cs="Times New Roman" w:eastAsia="MS Mincho" w:hAnsi="Garamond"/>
      <w:noProof w:val="1"/>
      <w:w w:val="100"/>
      <w:position w:val="-1"/>
      <w:sz w:val="24"/>
      <w:szCs w:val="16"/>
      <w:effect w:val="none"/>
      <w:vertAlign w:val="baseline"/>
      <w:cs w:val="0"/>
      <w:em w:val="none"/>
      <w:lang w:bidi="ar-SA" w:eastAsia="und" w:val="und"/>
    </w:rPr>
  </w:style>
  <w:style w:type="paragraph" w:styleId="BodyText,8.BodyText">
    <w:name w:val="Body Text,8. Body Text"/>
    <w:next w:val="BodyText,8.BodyText"/>
    <w:autoRedefine w:val="0"/>
    <w:hidden w:val="0"/>
    <w:qFormat w:val="0"/>
    <w:pPr>
      <w:suppressAutoHyphens w:val="1"/>
      <w:spacing w:after="120" w:line="1" w:lineRule="atLeast"/>
      <w:ind w:leftChars="-1" w:rightChars="0" w:firstLine="709" w:firstLineChars="-1"/>
      <w:jc w:val="both"/>
      <w:textDirection w:val="btLr"/>
      <w:textAlignment w:val="top"/>
      <w:outlineLvl w:val="0"/>
    </w:pPr>
    <w:rPr>
      <w:rFonts w:ascii="Garamond" w:cs="Times New Roman" w:eastAsia="SimSun" w:hAnsi="Garamond"/>
      <w:w w:val="100"/>
      <w:position w:val="-1"/>
      <w:sz w:val="24"/>
      <w:effect w:val="none"/>
      <w:vertAlign w:val="baseline"/>
      <w:cs w:val="0"/>
      <w:em w:val="none"/>
      <w:lang w:bidi="ar-SA" w:eastAsia="en-US" w:val="en-US"/>
    </w:rPr>
  </w:style>
  <w:style w:type="character" w:styleId="BodyTextChar,8.BodyTextChar">
    <w:name w:val="Body Text Char,8. Body Text Char"/>
    <w:next w:val="BodyTextChar,8.BodyTextChar"/>
    <w:autoRedefine w:val="0"/>
    <w:hidden w:val="0"/>
    <w:qFormat w:val="0"/>
    <w:rPr>
      <w:rFonts w:ascii="Garamond" w:cs="Times New Roman" w:eastAsia="SimSun" w:hAnsi="Garamond"/>
      <w:w w:val="100"/>
      <w:position w:val="-1"/>
      <w:sz w:val="24"/>
      <w:effect w:val="none"/>
      <w:vertAlign w:val="baseline"/>
      <w:cs w:val="0"/>
      <w:em w:val="none"/>
      <w:lang w:bidi="ar-SA" w:eastAsia="en-US" w:val="en-US"/>
    </w:rPr>
  </w:style>
  <w:style w:type="paragraph" w:styleId="02.ISSN">
    <w:name w:val="02. ISSN"/>
    <w:basedOn w:val="Normal"/>
    <w:next w:val="03.Volume"/>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w w:val="100"/>
      <w:position w:val="-1"/>
      <w:sz w:val="20"/>
      <w:szCs w:val="20"/>
      <w:effect w:val="none"/>
      <w:vertAlign w:val="baseline"/>
      <w:cs w:val="0"/>
      <w:em w:val="none"/>
      <w:lang w:bidi="ar-SA" w:eastAsia="en-US" w:val="id-ID"/>
    </w:rPr>
  </w:style>
  <w:style w:type="character" w:styleId="Heading2Char">
    <w:name w:val="Heading 2 Char"/>
    <w:next w:val="Heading2Char"/>
    <w:autoRedefine w:val="0"/>
    <w:hidden w:val="0"/>
    <w:qFormat w:val="0"/>
    <w:rPr>
      <w:rFonts w:ascii="Garamond" w:cs="Times New Roman" w:eastAsia="Times New Roman" w:hAnsi="Garamond"/>
      <w:b w:val="1"/>
      <w:bCs w:val="1"/>
      <w:w w:val="100"/>
      <w:position w:val="-1"/>
      <w:sz w:val="24"/>
      <w:szCs w:val="26"/>
      <w:effect w:val="none"/>
      <w:vertAlign w:val="baseline"/>
      <w:cs w:val="0"/>
      <w:em w:val="none"/>
      <w:lang w:eastAsia="en-US" w:val="en-US"/>
    </w:rPr>
  </w:style>
  <w:style w:type="character" w:styleId="Heading3Char">
    <w:name w:val="Heading 3 Char"/>
    <w:next w:val="Heading3Char"/>
    <w:autoRedefine w:val="0"/>
    <w:hidden w:val="0"/>
    <w:qFormat w:val="0"/>
    <w:rPr>
      <w:rFonts w:ascii="Garamond" w:cs="Times New Roman" w:eastAsia="Times New Roman" w:hAnsi="Garamond"/>
      <w:bCs w:val="1"/>
      <w:i w:val="1"/>
      <w:w w:val="100"/>
      <w:position w:val="-1"/>
      <w:sz w:val="24"/>
      <w:szCs w:val="22"/>
      <w:effect w:val="none"/>
      <w:vertAlign w:val="baseline"/>
      <w:cs w:val="0"/>
      <w:em w:val="none"/>
      <w:lang w:eastAsia="en-US" w:val="en-US"/>
    </w:rPr>
  </w:style>
  <w:style w:type="paragraph" w:styleId="Title">
    <w:name w:val="Title"/>
    <w:basedOn w:val="Normal"/>
    <w:next w:val="Normal"/>
    <w:autoRedefine w:val="0"/>
    <w:hidden w:val="0"/>
    <w:qFormat w:val="0"/>
    <w:pPr>
      <w:suppressAutoHyphens w:val="1"/>
      <w:spacing w:after="300" w:line="1" w:lineRule="atLeast"/>
      <w:ind w:leftChars="-1" w:rightChars="0" w:firstLine="0" w:firstLineChars="-1"/>
      <w:contextualSpacing w:val="1"/>
      <w:jc w:val="both"/>
      <w:textDirection w:val="btLr"/>
      <w:textAlignment w:val="top"/>
      <w:outlineLvl w:val="0"/>
    </w:pPr>
    <w:rPr>
      <w:rFonts w:ascii="Garamond" w:cs="Times New Roman" w:hAnsi="Garamond"/>
      <w:b w:val="1"/>
      <w:spacing w:val="5"/>
      <w:w w:val="100"/>
      <w:kern w:val="28"/>
      <w:position w:val="-1"/>
      <w:sz w:val="32"/>
      <w:szCs w:val="52"/>
      <w:effect w:val="none"/>
      <w:vertAlign w:val="baseline"/>
      <w:cs w:val="0"/>
      <w:em w:val="none"/>
      <w:lang w:bidi="ar-SA" w:eastAsia="en-US" w:val="en-US"/>
    </w:rPr>
  </w:style>
  <w:style w:type="character" w:styleId="TitleChar">
    <w:name w:val="Title Char"/>
    <w:next w:val="TitleChar"/>
    <w:autoRedefine w:val="0"/>
    <w:hidden w:val="0"/>
    <w:qFormat w:val="0"/>
    <w:rPr>
      <w:rFonts w:ascii="Garamond" w:cs="Times New Roman" w:eastAsia="Times New Roman" w:hAnsi="Garamond"/>
      <w:b w:val="1"/>
      <w:spacing w:val="5"/>
      <w:w w:val="100"/>
      <w:kern w:val="28"/>
      <w:position w:val="-1"/>
      <w:sz w:val="32"/>
      <w:szCs w:val="52"/>
      <w:effect w:val="none"/>
      <w:vertAlign w:val="baseline"/>
      <w:cs w:val="0"/>
      <w:em w:val="none"/>
      <w:lang w:eastAsia="en-US" w:val="en-US"/>
    </w:rPr>
  </w:style>
  <w:style w:type="paragraph" w:styleId="9x1.Gambar">
    <w:name w:val="9x1. Gambar"/>
    <w:basedOn w:val="Normal"/>
    <w:next w:val="9x1.Gambar"/>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id-ID"/>
    </w:rPr>
  </w:style>
  <w:style w:type="paragraph" w:styleId="9x3.TableCaption">
    <w:name w:val="9x3. Table Caption"/>
    <w:next w:val="Normal"/>
    <w:autoRedefine w:val="0"/>
    <w:hidden w:val="0"/>
    <w:qFormat w:val="0"/>
    <w:pPr>
      <w:suppressAutoHyphens w:val="1"/>
      <w:spacing w:after="120" w:before="240" w:line="1" w:lineRule="atLeast"/>
      <w:ind w:left="720" w:leftChars="-1" w:rightChars="0" w:hanging="720" w:firstLineChars="-1"/>
      <w:jc w:val="center"/>
      <w:textDirection w:val="btLr"/>
      <w:textAlignment w:val="top"/>
      <w:outlineLvl w:val="0"/>
    </w:pPr>
    <w:rPr>
      <w:rFonts w:ascii="Garamond" w:cs="Times New Roman" w:eastAsia="SimSun" w:hAnsi="Garamond"/>
      <w:b w:val="1"/>
      <w:noProof w:val="1"/>
      <w:w w:val="100"/>
      <w:position w:val="-1"/>
      <w:sz w:val="22"/>
      <w:szCs w:val="16"/>
      <w:effect w:val="none"/>
      <w:vertAlign w:val="baseline"/>
      <w:cs w:val="0"/>
      <w:em w:val="none"/>
      <w:lang w:bidi="ar-SA" w:eastAsia="und" w:val="und"/>
    </w:rPr>
  </w:style>
  <w:style w:type="table" w:styleId="LightShading1">
    <w:name w:val="Light Shading1"/>
    <w:basedOn w:val="TableNormal"/>
    <w:next w:val="LightShading1"/>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LightShading1"/>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MediumList11">
    <w:name w:val="Medium List 11"/>
    <w:basedOn w:val="TableNormal"/>
    <w:next w:val="MediumList11"/>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MediumList11"/>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LightList1">
    <w:name w:val="Light List1"/>
    <w:basedOn w:val="TableNormal"/>
    <w:next w:val="LightList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LightList1"/>
      <w:tblStyleRowBandSize w:val="1"/>
      <w:tblStyleColBandSize w:val="1"/>
      <w:jc w:val="left"/>
      <w:tblBorders>
        <w:top w:color="000000" w:space="0" w:sz="8" w:val="single"/>
        <w:left w:color="000000" w:space="0" w:sz="8" w:val="single"/>
        <w:bottom w:color="000000" w:space="0" w:sz="8" w:val="single"/>
        <w:right w:color="000000" w:space="0" w:sz="8" w:val="single"/>
        <w:insideH w:color="auto" w:space="0" w:sz="0" w:val="none"/>
        <w:insideV w:color="auto" w:space="0" w:sz="0" w:val="none"/>
      </w:tblBorders>
    </w:tbl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id-ID" w:val="id-ID"/>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sz w:val="24"/>
      <w:szCs w:val="22"/>
      <w:effect w:val="none"/>
      <w:vertAlign w:val="baseline"/>
      <w:cs w:val="0"/>
      <w:em w:val="none"/>
      <w:lang w:eastAsia="en-US"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2.Penulis-Author">
    <w:name w:val="2. Penulis - Author"/>
    <w:next w:val="2.Penulis-Author"/>
    <w:autoRedefine w:val="0"/>
    <w:hidden w:val="0"/>
    <w:qFormat w:val="0"/>
    <w:pPr>
      <w:suppressAutoHyphens w:val="1"/>
      <w:spacing w:after="120" w:line="1" w:lineRule="atLeast"/>
      <w:ind w:left="1418" w:leftChars="-1" w:rightChars="0" w:firstLineChars="-1"/>
      <w:contextualSpacing w:val="1"/>
      <w:textDirection w:val="btLr"/>
      <w:textAlignment w:val="top"/>
      <w:outlineLvl w:val="0"/>
    </w:pPr>
    <w:rPr>
      <w:rFonts w:ascii="Garamond" w:cs="Times New Roman" w:hAnsi="Garamond"/>
      <w:b w:val="1"/>
      <w:bCs w:val="1"/>
      <w:w w:val="100"/>
      <w:position w:val="-1"/>
      <w:effect w:val="none"/>
      <w:vertAlign w:val="baseline"/>
      <w:cs w:val="0"/>
      <w:em w:val="none"/>
      <w:lang w:bidi="ar-SA" w:eastAsia="en-US" w:val="id-ID"/>
    </w:rPr>
  </w:style>
  <w:style w:type="paragraph" w:styleId="3.Alamat-Address">
    <w:name w:val="3. Alamat - Address"/>
    <w:next w:val="3.Alamat-Address"/>
    <w:autoRedefine w:val="0"/>
    <w:hidden w:val="0"/>
    <w:qFormat w:val="0"/>
    <w:pPr>
      <w:suppressAutoHyphens w:val="1"/>
      <w:spacing w:line="1" w:lineRule="atLeast"/>
      <w:ind w:left="1417" w:leftChars="-1" w:rightChars="0" w:firstLine="1" w:firstLineChars="-1"/>
      <w:contextualSpacing w:val="1"/>
      <w:jc w:val="both"/>
      <w:textDirection w:val="btLr"/>
      <w:textAlignment w:val="top"/>
      <w:outlineLvl w:val="0"/>
    </w:pPr>
    <w:rPr>
      <w:rFonts w:ascii="Garamond" w:cs="Times New Roman" w:hAnsi="Garamond"/>
      <w:i w:val="1"/>
      <w:iCs w:val="1"/>
      <w:w w:val="100"/>
      <w:position w:val="-1"/>
      <w:effect w:val="none"/>
      <w:vertAlign w:val="baseline"/>
      <w:cs w:val="0"/>
      <w:em w:val="none"/>
      <w:lang w:bidi="ar-SA" w:eastAsia="en-US" w:val="id-ID"/>
    </w:rPr>
  </w:style>
  <w:style w:type="paragraph" w:styleId="5.Abstrak-Abstract">
    <w:name w:val="5. Abstrak - Abstract"/>
    <w:next w:val="6.Katakunci-Keywords"/>
    <w:autoRedefine w:val="0"/>
    <w:hidden w:val="0"/>
    <w:qFormat w:val="0"/>
    <w:pPr>
      <w:suppressAutoHyphens w:val="1"/>
      <w:spacing w:after="240" w:before="240" w:line="1" w:lineRule="atLeast"/>
      <w:ind w:left="1418" w:leftChars="-1" w:rightChars="0" w:firstLineChars="-1"/>
      <w:contextualSpacing w:val="1"/>
      <w:jc w:val="both"/>
      <w:textDirection w:val="btLr"/>
      <w:textAlignment w:val="top"/>
      <w:outlineLvl w:val="0"/>
    </w:pPr>
    <w:rPr>
      <w:rFonts w:ascii="Garamond" w:cs="Times New Roman" w:hAnsi="Garamond"/>
      <w:bCs w:val="1"/>
      <w:w w:val="100"/>
      <w:position w:val="-1"/>
      <w:effect w:val="none"/>
      <w:vertAlign w:val="baseline"/>
      <w:cs w:val="0"/>
      <w:em w:val="none"/>
      <w:lang w:bidi="ar-SA" w:eastAsia="en-US" w:val="id-ID"/>
    </w:rPr>
  </w:style>
  <w:style w:type="paragraph" w:styleId="6.Katakunci-Keywords">
    <w:name w:val="6. Katakunci - Keywords"/>
    <w:next w:val="Heading1"/>
    <w:autoRedefine w:val="0"/>
    <w:hidden w:val="0"/>
    <w:qFormat w:val="0"/>
    <w:pPr>
      <w:suppressAutoHyphens w:val="1"/>
      <w:spacing w:after="480" w:line="1" w:lineRule="atLeast"/>
      <w:ind w:left="1418" w:leftChars="-1" w:rightChars="0" w:firstLineChars="-1"/>
      <w:contextualSpacing w:val="1"/>
      <w:jc w:val="both"/>
      <w:textDirection w:val="btLr"/>
      <w:textAlignment w:val="top"/>
      <w:outlineLvl w:val="0"/>
    </w:pPr>
    <w:rPr>
      <w:rFonts w:ascii="Garamond" w:cs="Times New Roman" w:hAnsi="Garamond"/>
      <w:w w:val="100"/>
      <w:position w:val="-1"/>
      <w:effect w:val="none"/>
      <w:vertAlign w:val="baseline"/>
      <w:cs w:val="0"/>
      <w:em w:val="none"/>
      <w:lang w:bidi="ar-SA" w:eastAsia="en-US" w:val="id-ID"/>
    </w:rPr>
  </w:style>
  <w:style w:type="paragraph" w:styleId="8.ParagrafAwal-FirstParagraph">
    <w:name w:val="8. Paragraf Awal -First Paragraph"/>
    <w:next w:val="BodyText,8.BodyText"/>
    <w:autoRedefine w:val="0"/>
    <w:hidden w:val="0"/>
    <w:qFormat w:val="0"/>
    <w:pPr>
      <w:suppressAutoHyphens w:val="1"/>
      <w:spacing w:line="1" w:lineRule="atLeast"/>
      <w:ind w:leftChars="-1" w:rightChars="0" w:firstLineChars="-1"/>
      <w:jc w:val="both"/>
      <w:textDirection w:val="btLr"/>
      <w:textAlignment w:val="top"/>
      <w:outlineLvl w:val="0"/>
    </w:pPr>
    <w:rPr>
      <w:rFonts w:ascii="Garamond" w:cs="Times New Roman" w:hAnsi="Garamond"/>
      <w:w w:val="100"/>
      <w:position w:val="-1"/>
      <w:sz w:val="24"/>
      <w:szCs w:val="22"/>
      <w:effect w:val="none"/>
      <w:vertAlign w:val="baseline"/>
      <w:cs w:val="0"/>
      <w:em w:val="none"/>
      <w:lang w:bidi="ar-SA" w:eastAsia="id-ID" w:val="id-ID"/>
    </w:rPr>
  </w:style>
  <w:style w:type="paragraph" w:styleId="1.Judul-Title">
    <w:name w:val="1. Judul - Title"/>
    <w:next w:val="2.Penulis-Author"/>
    <w:autoRedefine w:val="0"/>
    <w:hidden w:val="0"/>
    <w:qFormat w:val="0"/>
    <w:pPr>
      <w:suppressAutoHyphens w:val="1"/>
      <w:spacing w:after="240" w:before="720" w:line="1" w:lineRule="atLeast"/>
      <w:ind w:leftChars="-1" w:rightChars="0" w:firstLineChars="-1"/>
      <w:jc w:val="both"/>
      <w:textDirection w:val="btLr"/>
      <w:textAlignment w:val="top"/>
      <w:outlineLvl w:val="0"/>
    </w:pPr>
    <w:rPr>
      <w:rFonts w:ascii="Garamond" w:cs="Times New Roman" w:hAnsi="Garamond"/>
      <w:b w:val="1"/>
      <w:w w:val="100"/>
      <w:position w:val="-1"/>
      <w:sz w:val="32"/>
      <w:szCs w:val="22"/>
      <w:effect w:val="none"/>
      <w:vertAlign w:val="baseline"/>
      <w:cs w:val="0"/>
      <w:em w:val="none"/>
      <w:lang w:bidi="ar-SA" w:eastAsia="en-US" w:val="id-ID"/>
    </w:rPr>
  </w:style>
  <w:style w:type="paragraph" w:styleId="4.email-email">
    <w:name w:val="4.  email - email"/>
    <w:next w:val="4.email-email"/>
    <w:autoRedefine w:val="0"/>
    <w:hidden w:val="0"/>
    <w:qFormat w:val="0"/>
    <w:pPr>
      <w:suppressAutoHyphens w:val="1"/>
      <w:spacing w:line="1" w:lineRule="atLeast"/>
      <w:ind w:leftChars="-1" w:rightChars="0" w:firstLine="1418" w:firstLineChars="-1"/>
      <w:textDirection w:val="btLr"/>
      <w:textAlignment w:val="top"/>
      <w:outlineLvl w:val="0"/>
    </w:pPr>
    <w:rPr>
      <w:rFonts w:ascii="Garamond" w:cs="Times New Roman" w:hAnsi="Garamond"/>
      <w:iCs w:val="1"/>
      <w:w w:val="100"/>
      <w:position w:val="-1"/>
      <w:effect w:val="none"/>
      <w:vertAlign w:val="baseline"/>
      <w:cs w:val="0"/>
      <w:em w:val="none"/>
      <w:lang w:bidi="ar-SA" w:eastAsia="en-US" w:val="id-ID"/>
    </w:rPr>
  </w:style>
  <w:style w:type="paragraph" w:styleId="8.ParagrafLanjut">
    <w:name w:val="8. Paragraf Lanjut"/>
    <w:next w:val="8.ParagrafLanjut"/>
    <w:autoRedefine w:val="0"/>
    <w:hidden w:val="0"/>
    <w:qFormat w:val="0"/>
    <w:pPr>
      <w:suppressAutoHyphens w:val="1"/>
      <w:spacing w:line="1" w:lineRule="atLeast"/>
      <w:ind w:leftChars="-1" w:rightChars="0" w:firstLine="720" w:firstLineChars="-1"/>
      <w:jc w:val="both"/>
      <w:textDirection w:val="btLr"/>
      <w:textAlignment w:val="top"/>
      <w:outlineLvl w:val="0"/>
    </w:pPr>
    <w:rPr>
      <w:rFonts w:ascii="Garamond" w:cs="Times New Roman" w:eastAsia="SimSun" w:hAnsi="Garamond"/>
      <w:w w:val="100"/>
      <w:position w:val="-1"/>
      <w:sz w:val="24"/>
      <w:effect w:val="none"/>
      <w:vertAlign w:val="baseline"/>
      <w:cs w:val="0"/>
      <w:em w:val="none"/>
      <w:lang w:bidi="ar-SA" w:eastAsia="en-US" w:val="en-US"/>
    </w:rPr>
  </w:style>
  <w:style w:type="paragraph" w:styleId="HeaderKiri">
    <w:name w:val="Header Kiri"/>
    <w:basedOn w:val="Header"/>
    <w:next w:val="HeaderKiri"/>
    <w:autoRedefine w:val="0"/>
    <w:hidden w:val="0"/>
    <w:qFormat w:val="0"/>
    <w:pPr>
      <w:suppressAutoHyphens w:val="1"/>
      <w:spacing w:line="1" w:lineRule="atLeast"/>
      <w:ind w:leftChars="-1" w:rightChars="0" w:firstLine="0" w:firstLineChars="-1"/>
      <w:textDirection w:val="btLr"/>
      <w:textAlignment w:val="top"/>
      <w:outlineLvl w:val="0"/>
    </w:pPr>
    <w:rPr>
      <w:rFonts w:ascii="Calibri" w:cs="Times New Roman" w:hAnsi="Calibri"/>
      <w:i w:val="1"/>
      <w:iCs w:val="1"/>
      <w:noProof w:val="1"/>
      <w:w w:val="100"/>
      <w:position w:val="-1"/>
      <w:sz w:val="20"/>
      <w:szCs w:val="20"/>
      <w:effect w:val="none"/>
      <w:vertAlign w:val="baseline"/>
      <w:cs w:val="0"/>
      <w:em w:val="none"/>
      <w:lang w:bidi="ar-SA" w:eastAsia="und" w:val="und"/>
    </w:rPr>
  </w:style>
  <w:style w:type="paragraph" w:styleId="Headerkanan">
    <w:name w:val="Header kanan"/>
    <w:basedOn w:val="Header"/>
    <w:next w:val="Headerkanan"/>
    <w:autoRedefine w:val="0"/>
    <w:hidden w:val="0"/>
    <w:qFormat w:val="0"/>
    <w:pPr>
      <w:suppressAutoHyphens w:val="1"/>
      <w:spacing w:line="1" w:lineRule="atLeast"/>
      <w:ind w:leftChars="-1" w:rightChars="0" w:firstLine="0" w:firstLineChars="-1"/>
      <w:jc w:val="right"/>
      <w:textDirection w:val="btLr"/>
      <w:textAlignment w:val="top"/>
      <w:outlineLvl w:val="0"/>
    </w:pPr>
    <w:rPr>
      <w:rFonts w:ascii="Calibri" w:cs="Times New Roman" w:hAnsi="Calibri"/>
      <w:i w:val="1"/>
      <w:iCs w:val="1"/>
      <w:noProof w:val="1"/>
      <w:w w:val="100"/>
      <w:position w:val="-1"/>
      <w:sz w:val="20"/>
      <w:szCs w:val="20"/>
      <w:effect w:val="none"/>
      <w:vertAlign w:val="baseline"/>
      <w:cs w:val="0"/>
      <w:em w:val="none"/>
      <w:lang w:bidi="ar-SA" w:eastAsia="und" w:val="und"/>
    </w:rPr>
  </w:style>
  <w:style w:type="paragraph" w:styleId="03.Volume">
    <w:name w:val="03. Volume"/>
    <w:basedOn w:val="Normal"/>
    <w:next w:val="1.Judul-Title"/>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w w:val="100"/>
      <w:position w:val="-1"/>
      <w:sz w:val="20"/>
      <w:szCs w:val="20"/>
      <w:effect w:val="none"/>
      <w:vertAlign w:val="baseline"/>
      <w:cs w:val="0"/>
      <w:em w:val="none"/>
      <w:lang w:bidi="ar-SA" w:eastAsia="en-US" w:val="id-ID"/>
    </w:rPr>
  </w:style>
  <w:style w:type="paragraph" w:styleId="Quote">
    <w:name w:val="Quote"/>
    <w:basedOn w:val="Normal"/>
    <w:next w:val="Normal"/>
    <w:autoRedefine w:val="0"/>
    <w:hidden w:val="0"/>
    <w:qFormat w:val="0"/>
    <w:pPr>
      <w:suppressAutoHyphens w:val="1"/>
      <w:spacing w:line="1" w:lineRule="atLeast"/>
      <w:ind w:leftChars="-1" w:rightChars="0" w:firstLine="567" w:firstLineChars="-1"/>
      <w:textDirection w:val="btLr"/>
      <w:textAlignment w:val="top"/>
      <w:outlineLvl w:val="0"/>
    </w:pPr>
    <w:rPr>
      <w:rFonts w:ascii="Garamond" w:cs="Times New Roman" w:hAnsi="Garamond"/>
      <w:i w:val="1"/>
      <w:iCs w:val="1"/>
      <w:color w:val="000000"/>
      <w:w w:val="100"/>
      <w:position w:val="-1"/>
      <w:sz w:val="24"/>
      <w:szCs w:val="22"/>
      <w:effect w:val="none"/>
      <w:vertAlign w:val="baseline"/>
      <w:cs w:val="0"/>
      <w:em w:val="none"/>
      <w:lang w:bidi="ar-SA" w:eastAsia="en-US" w:val="en-US"/>
    </w:rPr>
  </w:style>
  <w:style w:type="character" w:styleId="QuoteChar">
    <w:name w:val="Quote Char"/>
    <w:next w:val="QuoteChar"/>
    <w:autoRedefine w:val="0"/>
    <w:hidden w:val="0"/>
    <w:qFormat w:val="0"/>
    <w:rPr>
      <w:rFonts w:ascii="Garamond" w:cs="Times New Roman" w:hAnsi="Garamond"/>
      <w:i w:val="1"/>
      <w:iCs w:val="1"/>
      <w:color w:val="000000"/>
      <w:w w:val="100"/>
      <w:position w:val="-1"/>
      <w:sz w:val="24"/>
      <w:szCs w:val="22"/>
      <w:effect w:val="none"/>
      <w:vertAlign w:val="baseline"/>
      <w:cs w:val="0"/>
      <w:em w:val="none"/>
      <w:lang w:eastAsia="en-US" w:val="en-US"/>
    </w:rPr>
  </w:style>
  <w:style w:type="paragraph" w:styleId="IntenseQuote">
    <w:name w:val="Intense Quote"/>
    <w:basedOn w:val="Normal"/>
    <w:next w:val="Normal"/>
    <w:autoRedefine w:val="0"/>
    <w:hidden w:val="0"/>
    <w:qFormat w:val="0"/>
    <w:pPr>
      <w:pBdr>
        <w:bottom w:color="4f81bd" w:space="4" w:sz="4" w:val="single"/>
      </w:pBdr>
      <w:suppressAutoHyphens w:val="1"/>
      <w:spacing w:after="280" w:before="200" w:line="1" w:lineRule="atLeast"/>
      <w:ind w:left="936" w:right="936" w:leftChars="-1" w:rightChars="0" w:firstLine="567" w:firstLineChars="-1"/>
      <w:textDirection w:val="btLr"/>
      <w:textAlignment w:val="top"/>
      <w:outlineLvl w:val="0"/>
    </w:pPr>
    <w:rPr>
      <w:rFonts w:ascii="Garamond" w:cs="Times New Roman" w:hAnsi="Garamond"/>
      <w:b w:val="1"/>
      <w:bCs w:val="1"/>
      <w:i w:val="1"/>
      <w:iCs w:val="1"/>
      <w:color w:val="4f81bd"/>
      <w:w w:val="100"/>
      <w:position w:val="-1"/>
      <w:sz w:val="24"/>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rFonts w:ascii="Garamond" w:cs="Times New Roman" w:hAnsi="Garamond"/>
      <w:b w:val="1"/>
      <w:bCs w:val="1"/>
      <w:i w:val="1"/>
      <w:iCs w:val="1"/>
      <w:color w:val="4f81bd"/>
      <w:w w:val="100"/>
      <w:position w:val="-1"/>
      <w:sz w:val="24"/>
      <w:szCs w:val="22"/>
      <w:effect w:val="none"/>
      <w:vertAlign w:val="baseline"/>
      <w:cs w:val="0"/>
      <w:em w:val="none"/>
      <w:lang w:eastAsia="en-US" w:val="en-US"/>
    </w:rPr>
  </w:style>
  <w:style w:type="paragraph" w:styleId="81.quotasi">
    <w:name w:val="81. quotasi"/>
    <w:basedOn w:val="Quote"/>
    <w:next w:val="81.quotasi"/>
    <w:autoRedefine w:val="0"/>
    <w:hidden w:val="0"/>
    <w:qFormat w:val="0"/>
    <w:pPr>
      <w:suppressAutoHyphens w:val="1"/>
      <w:spacing w:line="1" w:lineRule="atLeast"/>
      <w:ind w:left="720" w:leftChars="-1" w:rightChars="0" w:firstLine="567" w:firstLineChars="-1"/>
      <w:textDirection w:val="btLr"/>
      <w:textAlignment w:val="top"/>
      <w:outlineLvl w:val="0"/>
    </w:pPr>
    <w:rPr>
      <w:rFonts w:ascii="Garamond" w:cs="Times New Roman" w:hAnsi="Garamond"/>
      <w:i w:val="1"/>
      <w:iCs w:val="1"/>
      <w:color w:val="000000"/>
      <w:w w:val="100"/>
      <w:position w:val="-1"/>
      <w:sz w:val="24"/>
      <w:szCs w:val="22"/>
      <w:effect w:val="none"/>
      <w:vertAlign w:val="baseline"/>
      <w:cs w:val="0"/>
      <w:em w:val="none"/>
      <w:lang w:bidi="ar-SA" w:eastAsia="en-US" w:val="id-ID"/>
    </w:rPr>
  </w:style>
  <w:style w:type="paragraph" w:styleId="7.Bagian-Section">
    <w:name w:val="7. Bagian -Section"/>
    <w:basedOn w:val="Heading1"/>
    <w:next w:val="7.Bagian-Section"/>
    <w:autoRedefine w:val="0"/>
    <w:hidden w:val="0"/>
    <w:qFormat w:val="0"/>
    <w:pPr>
      <w:keepNext w:val="1"/>
      <w:suppressAutoHyphens w:val="1"/>
      <w:spacing w:after="120" w:before="480" w:line="1" w:lineRule="atLeast"/>
      <w:ind w:leftChars="-1" w:rightChars="0" w:firstLine="0" w:firstLineChars="-1"/>
      <w:textDirection w:val="btLr"/>
      <w:textAlignment w:val="top"/>
      <w:outlineLvl w:val="0"/>
    </w:pPr>
    <w:rPr>
      <w:rFonts w:ascii="Garamond" w:cs="Times New Roman" w:hAnsi="Garamond"/>
      <w:b w:val="1"/>
      <w:bCs w:val="1"/>
      <w:caps w:val="1"/>
      <w:w w:val="100"/>
      <w:kern w:val="32"/>
      <w:position w:val="-1"/>
      <w:sz w:val="24"/>
      <w:szCs w:val="32"/>
      <w:effect w:val="none"/>
      <w:vertAlign w:val="baseline"/>
      <w:cs w:val="0"/>
      <w:em w:val="none"/>
      <w:lang w:bidi="ar-SA" w:eastAsia="en-US" w:val="id-ID"/>
    </w:rPr>
  </w:style>
  <w:style w:type="paragraph" w:styleId="7.SubBagian-SubSection">
    <w:name w:val="7. Sub Bagian-Sub Section"/>
    <w:basedOn w:val="Heading2"/>
    <w:next w:val="8.ParagrafAwal-FirstParagraph"/>
    <w:autoRedefine w:val="0"/>
    <w:hidden w:val="0"/>
    <w:qFormat w:val="0"/>
    <w:pPr>
      <w:keepNext w:val="1"/>
      <w:keepLines w:val="1"/>
      <w:suppressAutoHyphens w:val="1"/>
      <w:spacing w:after="120" w:before="240" w:line="1" w:lineRule="atLeast"/>
      <w:ind w:leftChars="-1" w:rightChars="0" w:firstLine="0" w:firstLineChars="-1"/>
      <w:textDirection w:val="btLr"/>
      <w:textAlignment w:val="top"/>
      <w:outlineLvl w:val="1"/>
    </w:pPr>
    <w:rPr>
      <w:rFonts w:ascii="Garamond" w:cs="Times New Roman" w:hAnsi="Garamond"/>
      <w:b w:val="1"/>
      <w:bCs w:val="1"/>
      <w:w w:val="100"/>
      <w:position w:val="-1"/>
      <w:sz w:val="24"/>
      <w:szCs w:val="26"/>
      <w:effect w:val="none"/>
      <w:vertAlign w:val="baseline"/>
      <w:cs w:val="0"/>
      <w:em w:val="none"/>
      <w:lang w:bidi="ar-SA" w:eastAsia="en-US" w:val="en-US"/>
    </w:rPr>
  </w:style>
  <w:style w:type="paragraph" w:styleId="7.SubSubBagian-SubSubSection">
    <w:name w:val="7. Sub Sub Bagian - Sub Sub Section"/>
    <w:basedOn w:val="Heading3"/>
    <w:next w:val="7.SubSubBagian-SubSubSection"/>
    <w:autoRedefine w:val="0"/>
    <w:hidden w:val="0"/>
    <w:qFormat w:val="0"/>
    <w:pPr>
      <w:keepNext w:val="1"/>
      <w:keepLines w:val="1"/>
      <w:suppressAutoHyphens w:val="1"/>
      <w:spacing w:after="120" w:before="240" w:line="1" w:lineRule="atLeast"/>
      <w:ind w:leftChars="-1" w:rightChars="0" w:firstLine="0" w:firstLineChars="-1"/>
      <w:textDirection w:val="btLr"/>
      <w:textAlignment w:val="top"/>
      <w:outlineLvl w:val="2"/>
    </w:pPr>
    <w:rPr>
      <w:rFonts w:ascii="Garamond" w:cs="Times New Roman" w:hAnsi="Garamond"/>
      <w:bCs w:val="1"/>
      <w:i w:val="1"/>
      <w:w w:val="100"/>
      <w:position w:val="-1"/>
      <w:sz w:val="24"/>
      <w:szCs w:val="22"/>
      <w:effect w:val="none"/>
      <w:vertAlign w:val="baseline"/>
      <w:cs w:val="0"/>
      <w:em w:val="none"/>
      <w:lang w:bidi="ar-SA" w:eastAsia="en-US" w:val="en-US"/>
    </w:rPr>
  </w:style>
  <w:style w:type="paragraph" w:styleId="8.Paragrafrapat">
    <w:name w:val="8. Paragraf rapat"/>
    <w:next w:val="8.Paragrafrapat"/>
    <w:autoRedefine w:val="0"/>
    <w:hidden w:val="0"/>
    <w:qFormat w:val="0"/>
    <w:pPr>
      <w:suppressAutoHyphens w:val="1"/>
      <w:spacing w:line="1" w:lineRule="atLeast"/>
      <w:ind w:leftChars="-1" w:rightChars="0" w:firstLineChars="-1"/>
      <w:textDirection w:val="btLr"/>
      <w:textAlignment w:val="top"/>
      <w:outlineLvl w:val="0"/>
    </w:pPr>
    <w:rPr>
      <w:rFonts w:ascii="Garamond" w:cs="Times New Roman" w:hAnsi="Garamond"/>
      <w:b w:val="1"/>
      <w:w w:val="100"/>
      <w:position w:val="-1"/>
      <w:szCs w:val="22"/>
      <w:effect w:val="none"/>
      <w:vertAlign w:val="baseline"/>
      <w:cs w:val="0"/>
      <w:em w:val="none"/>
      <w:lang w:bidi="ar-SA" w:eastAsia="en-US" w:val="id-ID"/>
    </w:rPr>
  </w:style>
  <w:style w:type="paragraph" w:styleId="20-SciencePG-Text">
    <w:name w:val="20-SciencePG-Text"/>
    <w:basedOn w:val="Normal"/>
    <w:next w:val="20-SciencePG-Text"/>
    <w:autoRedefine w:val="0"/>
    <w:hidden w:val="0"/>
    <w:qFormat w:val="0"/>
    <w:pPr>
      <w:widowControl w:val="0"/>
      <w:suppressAutoHyphens w:val="1"/>
      <w:adjustRightInd w:val="0"/>
      <w:spacing w:line="240" w:lineRule="atLeast"/>
      <w:ind w:leftChars="-1" w:rightChars="0" w:firstLine="100" w:firstLineChars="100"/>
      <w:jc w:val="both"/>
      <w:textDirection w:val="btLr"/>
      <w:textAlignment w:val="top"/>
      <w:outlineLvl w:val="0"/>
    </w:pPr>
    <w:rPr>
      <w:rFonts w:ascii="Times New Roman" w:cs="Times New Roman" w:hAnsi="Times New Roman"/>
      <w:w w:val="100"/>
      <w:kern w:val="2"/>
      <w:position w:val="-1"/>
      <w:sz w:val="20"/>
      <w:szCs w:val="20"/>
      <w:effect w:val="none"/>
      <w:vertAlign w:val="baseline"/>
      <w:cs w:val="0"/>
      <w:em w:val="none"/>
      <w:lang w:bidi="ar-SA" w:eastAsia="zh-CN" w:val="en-US"/>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hAnsi="Times New Roman"/>
      <w:w w:val="100"/>
      <w:position w:val="-1"/>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u.lipi.go.id/1595901454" TargetMode="External"/><Relationship Id="rId8" Type="http://schemas.openxmlformats.org/officeDocument/2006/relationships/hyperlink" Target="https://murhum.ppjpaud.org/index.php/murh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2.xml.rels><?xml version='1.0' encoding='UTF-8' standalone='yes'?>
<Relationships xmlns="http://schemas.openxmlformats.org/package/2006/relationships"><Relationship Id="rId1" Type="http://schemas.openxmlformats.org/officeDocument/2006/relationships/hyperlink" Target="http://creativecommons.org/licenses/by-sa/4.0/"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ollXc07R4Ev5TYLpLlayWX3hg==">CgMxLjA4AHIhMWhheDNSdHF6OTN4YjBlU05sM1ZXcS1aLWhQYlBJSC1m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2020-02-11T05:55:00Z</dcterms:created>
  <dc:creator>erda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Mendeley Document_1">
    <vt:lpstr>True</vt:lpstr>
  </property>
  <property fmtid="{D5CDD505-2E9C-101B-9397-08002B2CF9AE}" pid="4" name="Mendeley Citation Style_1">
    <vt:lpstr>http://www.zotero.org/styles/apa</vt:lpstr>
  </property>
  <property fmtid="{D5CDD505-2E9C-101B-9397-08002B2CF9AE}" pid="5" name="Mendeley Recent Style Id 0_1">
    <vt:lpstr>http://www.zotero.org/styles/american-medical-association</vt:lpstr>
  </property>
  <property fmtid="{D5CDD505-2E9C-101B-9397-08002B2CF9AE}" pid="6" name="Mendeley Recent Style Name 0_1">
    <vt:lpstr>American Medical Association</vt:lpstr>
  </property>
  <property fmtid="{D5CDD505-2E9C-101B-9397-08002B2CF9AE}" pid="7" name="Mendeley Recent Style Id 1_1">
    <vt:lpstr>http://www.zotero.org/styles/american-political-science-association</vt:lpstr>
  </property>
  <property fmtid="{D5CDD505-2E9C-101B-9397-08002B2CF9AE}" pid="8" name="Mendeley Recent Style Name 1_1">
    <vt:lpstr>American Political Science Association</vt:lpstr>
  </property>
  <property fmtid="{D5CDD505-2E9C-101B-9397-08002B2CF9AE}" pid="9" name="Mendeley Recent Style Id 2_1">
    <vt:lpstr>http://www.zotero.org/styles/apa</vt:lpstr>
  </property>
  <property fmtid="{D5CDD505-2E9C-101B-9397-08002B2CF9AE}" pid="10" name="Mendeley Recent Style Name 2_1">
    <vt:lpstr>American Psychological Association 6th edition</vt:lpstr>
  </property>
  <property fmtid="{D5CDD505-2E9C-101B-9397-08002B2CF9AE}" pid="11" name="Mendeley Recent Style Id 3_1">
    <vt:lpstr>http://www.zotero.org/styles/american-sociological-association</vt:lpstr>
  </property>
  <property fmtid="{D5CDD505-2E9C-101B-9397-08002B2CF9AE}" pid="12" name="Mendeley Recent Style Name 3_1">
    <vt:lpstr>American Sociological Association</vt:lpstr>
  </property>
  <property fmtid="{D5CDD505-2E9C-101B-9397-08002B2CF9AE}" pid="13" name="Mendeley Recent Style Id 4_1">
    <vt:lpstr>http://www.zotero.org/styles/chicago-author-date</vt:lpstr>
  </property>
  <property fmtid="{D5CDD505-2E9C-101B-9397-08002B2CF9AE}" pid="14" name="Mendeley Recent Style Name 4_1">
    <vt:lpstr>Chicago Manual of Style 17th edition (author-date)</vt:lpstr>
  </property>
  <property fmtid="{D5CDD505-2E9C-101B-9397-08002B2CF9AE}" pid="15" name="Mendeley Recent Style Id 5_1">
    <vt:lpstr>http://www.zotero.org/styles/harvard-cite-them-right</vt:lpstr>
  </property>
  <property fmtid="{D5CDD505-2E9C-101B-9397-08002B2CF9AE}" pid="16" name="Mendeley Recent Style Name 5_1">
    <vt:lpstr>Cite Them Right 10th edition - Harvard</vt:lpstr>
  </property>
  <property fmtid="{D5CDD505-2E9C-101B-9397-08002B2CF9AE}" pid="17" name="Mendeley Recent Style Id 6_1">
    <vt:lpstr>http://www.zotero.org/styles/ieee</vt:lpstr>
  </property>
  <property fmtid="{D5CDD505-2E9C-101B-9397-08002B2CF9AE}" pid="18" name="Mendeley Recent Style Name 6_1">
    <vt:lpstr>IEEE</vt:lpstr>
  </property>
  <property fmtid="{D5CDD505-2E9C-101B-9397-08002B2CF9AE}" pid="19" name="Mendeley Recent Style Id 7_1">
    <vt:lpstr>http://www.zotero.org/styles/modern-humanities-research-association</vt:lpstr>
  </property>
  <property fmtid="{D5CDD505-2E9C-101B-9397-08002B2CF9AE}" pid="20" name="Mendeley Recent Style Name 7_1">
    <vt:lpstr>Modern Humanities Research Association 3rd edition (note with bibliography)</vt:lpstr>
  </property>
  <property fmtid="{D5CDD505-2E9C-101B-9397-08002B2CF9AE}" pid="21" name="Mendeley Recent Style Id 8_1">
    <vt:lpstr>http://www.zotero.org/styles/modern-language-association</vt:lpstr>
  </property>
  <property fmtid="{D5CDD505-2E9C-101B-9397-08002B2CF9AE}" pid="22" name="Mendeley Recent Style Name 8_1">
    <vt:lpstr>Modern Language Association 7th edition</vt:lpstr>
  </property>
  <property fmtid="{D5CDD505-2E9C-101B-9397-08002B2CF9AE}" pid="23" name="Mendeley Recent Style Id 9_1">
    <vt:lpstr>http://www.zotero.org/styles/nature</vt:lpstr>
  </property>
  <property fmtid="{D5CDD505-2E9C-101B-9397-08002B2CF9AE}" pid="24" name="Mendeley Recent Style Name 9_1">
    <vt:lpstr>Nature</vt:lpstr>
  </property>
  <property fmtid="{D5CDD505-2E9C-101B-9397-08002B2CF9AE}" pid="25" name="Mendeley Unique User Id_1">
    <vt:lpstr>42aa1f36-2562-3deb-b078-be101b61a911</vt:lpstr>
  </property>
</Properties>
</file>