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BA3" w:rsidRDefault="008252D9" w:rsidP="00C53310">
      <w:pPr>
        <w:spacing w:after="0" w:line="240" w:lineRule="auto"/>
        <w:rPr>
          <w:rFonts w:ascii="Times New Roman Regular" w:eastAsia="Times New Roman" w:hAnsi="Times New Roman Regular" w:cs="Times New Roman Regular"/>
          <w:b/>
          <w:bCs/>
          <w:sz w:val="20"/>
          <w:szCs w:val="20"/>
        </w:rPr>
      </w:pPr>
      <w:r>
        <w:rPr>
          <w:noProof/>
          <w:lang w:val="id-ID" w:eastAsia="id-ID"/>
        </w:rPr>
        <mc:AlternateContent>
          <mc:Choice Requires="wps">
            <w:drawing>
              <wp:anchor distT="45720" distB="45720" distL="114300" distR="114300" simplePos="0" relativeHeight="251658240" behindDoc="0" locked="0" layoutInCell="1" allowOverlap="1">
                <wp:simplePos x="0" y="0"/>
                <wp:positionH relativeFrom="margin">
                  <wp:align>left</wp:align>
                </wp:positionH>
                <wp:positionV relativeFrom="paragraph">
                  <wp:posOffset>1905</wp:posOffset>
                </wp:positionV>
                <wp:extent cx="1758950" cy="453390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4533900"/>
                        </a:xfrm>
                        <a:prstGeom prst="rect">
                          <a:avLst/>
                        </a:prstGeom>
                        <a:solidFill>
                          <a:schemeClr val="bg2">
                            <a:lumMod val="75000"/>
                          </a:schemeClr>
                        </a:solidFill>
                        <a:ln>
                          <a:noFill/>
                        </a:ln>
                      </wps:spPr>
                      <wps:txbx>
                        <w:txbxContent>
                          <w:p w:rsidR="00A63BA3" w:rsidRDefault="00000000" w:rsidP="00C53310">
                            <w:pPr>
                              <w:pStyle w:val="NoSpacing1"/>
                              <w:jc w:val="center"/>
                              <w:rPr>
                                <w:rFonts w:ascii="Times New Roman Bold" w:hAnsi="Times New Roman Bold" w:cs="Times New Roman Bold"/>
                                <w:b/>
                                <w:sz w:val="18"/>
                                <w:szCs w:val="18"/>
                                <w:lang w:val="sv-SE"/>
                              </w:rPr>
                            </w:pPr>
                            <w:r>
                              <w:rPr>
                                <w:rFonts w:ascii="Times New Roman Bold" w:hAnsi="Times New Roman Bold" w:cs="Times New Roman Bold"/>
                                <w:b/>
                                <w:sz w:val="18"/>
                                <w:szCs w:val="18"/>
                                <w:lang w:val="sv-SE"/>
                              </w:rPr>
                              <w:t>A R T I C L E    I N F O</w:t>
                            </w: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Article history:</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Received January 05,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Revised February 15,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Accepted March 25,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Available online  April  30, 2023</w:t>
                            </w:r>
                          </w:p>
                          <w:p w:rsidR="00A63BA3" w:rsidRDefault="00A63BA3" w:rsidP="00C53310">
                            <w:pPr>
                              <w:pStyle w:val="NoSpacing1"/>
                              <w:spacing w:after="0" w:line="240" w:lineRule="auto"/>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Kata Kunci:</w:t>
                            </w:r>
                          </w:p>
                          <w:p w:rsidR="00A63BA3" w:rsidRDefault="00000000" w:rsidP="00C53310">
                            <w:pPr>
                              <w:pStyle w:val="NoSpacing1"/>
                              <w:spacing w:after="0" w:line="240" w:lineRule="auto"/>
                              <w:ind w:left="142"/>
                              <w:jc w:val="both"/>
                              <w:rPr>
                                <w:rFonts w:ascii="Times New Roman" w:hAnsi="Times New Roman"/>
                                <w:bCs/>
                                <w:sz w:val="18"/>
                                <w:szCs w:val="18"/>
                                <w:lang w:val="id-ID"/>
                              </w:rPr>
                            </w:pPr>
                            <w:r w:rsidRPr="00C53310">
                              <w:rPr>
                                <w:rFonts w:ascii="Times New Roman" w:hAnsi="Times New Roman"/>
                                <w:bCs/>
                                <w:i/>
                                <w:iCs/>
                                <w:sz w:val="18"/>
                                <w:szCs w:val="18"/>
                                <w:lang w:val="id-ID"/>
                              </w:rPr>
                              <w:t xml:space="preserve">Terdiri dari 3-5 frasa </w:t>
                            </w:r>
                            <w:r w:rsidRPr="00C53310">
                              <w:rPr>
                                <w:rFonts w:ascii="Times New Roman" w:hAnsi="Times New Roman"/>
                                <w:bCs/>
                                <w:i/>
                                <w:iCs/>
                                <w:sz w:val="18"/>
                                <w:szCs w:val="18"/>
                                <w:lang w:val="sv-SE"/>
                              </w:rPr>
                              <w:t>(</w:t>
                            </w:r>
                            <w:r w:rsidRPr="00C53310">
                              <w:rPr>
                                <w:rFonts w:ascii="Times New Roman" w:hAnsi="Times New Roman"/>
                                <w:bCs/>
                                <w:i/>
                                <w:i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Keywords:</w:t>
                            </w:r>
                          </w:p>
                          <w:p w:rsidR="00C53310" w:rsidRDefault="00000000" w:rsidP="00C53310">
                            <w:pPr>
                              <w:pStyle w:val="NoSpacing1"/>
                              <w:spacing w:after="0" w:line="240" w:lineRule="auto"/>
                              <w:ind w:left="142"/>
                              <w:jc w:val="both"/>
                              <w:rPr>
                                <w:rFonts w:ascii="Times New Roman" w:hAnsi="Times New Roman"/>
                                <w:bCs/>
                                <w:sz w:val="18"/>
                                <w:szCs w:val="18"/>
                                <w:lang w:val="id-ID"/>
                              </w:rPr>
                            </w:pPr>
                            <w:r>
                              <w:rPr>
                                <w:rFonts w:ascii="Times New Roman" w:hAnsi="Times New Roman"/>
                                <w:bCs/>
                                <w:sz w:val="18"/>
                                <w:szCs w:val="18"/>
                                <w:lang w:val="sv-SE"/>
                              </w:rPr>
                              <w:t>Terdiri dari 3-5 kata</w:t>
                            </w:r>
                            <w:r>
                              <w:rPr>
                                <w:rFonts w:ascii="Times New Roman" w:hAnsi="Times New Roman"/>
                                <w:bCs/>
                                <w:sz w:val="18"/>
                                <w:szCs w:val="18"/>
                                <w:lang w:val="id-ID"/>
                              </w:rPr>
                              <w:t xml:space="preserve"> </w:t>
                            </w:r>
                            <w:r>
                              <w:rPr>
                                <w:rFonts w:ascii="Times New Roman" w:hAnsi="Times New Roman"/>
                                <w:bCs/>
                                <w:sz w:val="18"/>
                                <w:szCs w:val="18"/>
                                <w:lang w:val="sv-SE"/>
                              </w:rPr>
                              <w:t>(</w:t>
                            </w:r>
                            <w:r>
                              <w:rPr>
                                <w:rFonts w:ascii="Times New Roman" w:hAnsi="Times New Roman"/>
                                <w:b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id-ID"/>
                              </w:rPr>
                            </w:pP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ind w:left="142"/>
                              <w:rPr>
                                <w:rFonts w:ascii="Times New Roman" w:hAnsi="Times New Roman"/>
                                <w:bCs/>
                                <w:sz w:val="18"/>
                                <w:szCs w:val="18"/>
                                <w:lang w:val="sv-SE"/>
                              </w:rPr>
                            </w:pPr>
                            <w:bookmarkStart w:id="0" w:name="_Hlk79523095"/>
                            <w:r>
                              <w:rPr>
                                <w:rFonts w:ascii="Times New Roman" w:hAnsi="Times New Roman"/>
                                <w:bCs/>
                                <w:noProof/>
                                <w:sz w:val="18"/>
                                <w:szCs w:val="18"/>
                                <w:lang w:eastAsia="zh-CN"/>
                              </w:rPr>
                              <w:drawing>
                                <wp:inline distT="0" distB="0" distL="114300" distR="114300">
                                  <wp:extent cx="878840" cy="325755"/>
                                  <wp:effectExtent l="0" t="0" r="10160" b="444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IMG_256"/>
                                          <pic:cNvPicPr>
                                            <a:picLocks noChangeAspect="1"/>
                                          </pic:cNvPicPr>
                                        </pic:nvPicPr>
                                        <pic:blipFill>
                                          <a:blip r:embed="rId8"/>
                                          <a:srcRect l="11992" t="25489" r="11429" b="23461"/>
                                          <a:stretch>
                                            <a:fillRect/>
                                          </a:stretch>
                                        </pic:blipFill>
                                        <pic:spPr>
                                          <a:xfrm>
                                            <a:off x="0" y="0"/>
                                            <a:ext cx="878840" cy="325755"/>
                                          </a:xfrm>
                                          <a:prstGeom prst="rect">
                                            <a:avLst/>
                                          </a:prstGeom>
                                          <a:noFill/>
                                          <a:ln w="9525">
                                            <a:noFill/>
                                          </a:ln>
                                        </pic:spPr>
                                      </pic:pic>
                                    </a:graphicData>
                                  </a:graphic>
                                </wp:inline>
                              </w:drawing>
                            </w:r>
                          </w:p>
                          <w:p w:rsidR="00A63BA3" w:rsidRDefault="00000000" w:rsidP="00C53310">
                            <w:pPr>
                              <w:pStyle w:val="NoSpacing1"/>
                              <w:ind w:left="142"/>
                              <w:jc w:val="both"/>
                              <w:rPr>
                                <w:rFonts w:ascii="Times New Roman" w:hAnsi="Times New Roman"/>
                                <w:bCs/>
                                <w:sz w:val="18"/>
                                <w:szCs w:val="18"/>
                                <w:lang w:eastAsia="zh-CN"/>
                              </w:rPr>
                            </w:pPr>
                            <w:r>
                              <w:rPr>
                                <w:rFonts w:ascii="Times New Roman" w:hAnsi="Times New Roman"/>
                                <w:bCs/>
                                <w:sz w:val="18"/>
                                <w:szCs w:val="18"/>
                                <w:lang w:val="sv-SE"/>
                              </w:rPr>
                              <w:t>T</w:t>
                            </w:r>
                            <w:r>
                              <w:rPr>
                                <w:rFonts w:ascii="Times New Roman" w:hAnsi="Times New Roman"/>
                                <w:bCs/>
                                <w:sz w:val="18"/>
                                <w:szCs w:val="18"/>
                                <w:lang w:eastAsia="zh-CN"/>
                              </w:rPr>
                              <w:t>his work is licensed under a </w:t>
                            </w:r>
                            <w:hyperlink r:id="rId9" w:history="1">
                              <w:r>
                                <w:rPr>
                                  <w:rStyle w:val="Hyperlink"/>
                                  <w:rFonts w:ascii="Times New Roman" w:hAnsi="Times New Roman"/>
                                  <w:bCs/>
                                  <w:sz w:val="18"/>
                                  <w:szCs w:val="18"/>
                                  <w:lang w:eastAsia="zh-CN"/>
                                </w:rPr>
                                <w:t>Creative Commons Attribution 4.0 International License.</w:t>
                              </w:r>
                            </w:hyperlink>
                          </w:p>
                          <w:p w:rsidR="00A63BA3" w:rsidRDefault="00A63BA3">
                            <w:pPr>
                              <w:pStyle w:val="NoSpacing1"/>
                              <w:jc w:val="both"/>
                              <w:rPr>
                                <w:rFonts w:ascii="Times New Roman" w:hAnsi="Times New Roman"/>
                                <w:bCs/>
                                <w:sz w:val="18"/>
                                <w:szCs w:val="18"/>
                                <w:lang w:eastAsia="zh-CN"/>
                              </w:rPr>
                            </w:pPr>
                          </w:p>
                          <w:p w:rsidR="00A63BA3" w:rsidRDefault="00000000">
                            <w:pPr>
                              <w:pStyle w:val="NoSpacing1"/>
                              <w:jc w:val="both"/>
                              <w:rPr>
                                <w:rFonts w:ascii="Times New Roman" w:hAnsi="Times New Roman"/>
                                <w:bCs/>
                                <w:sz w:val="18"/>
                                <w:szCs w:val="18"/>
                                <w:lang w:val="sv-SE"/>
                              </w:rPr>
                            </w:pPr>
                            <w:r>
                              <w:rPr>
                                <w:rFonts w:ascii="Times New Roman" w:hAnsi="Times New Roman"/>
                                <w:bCs/>
                                <w:sz w:val="18"/>
                                <w:szCs w:val="18"/>
                                <w:lang w:val="sv-SE" w:eastAsia="zh-CN"/>
                              </w:rPr>
                              <w:t>C</w:t>
                            </w:r>
                            <w:r>
                              <w:rPr>
                                <w:rFonts w:ascii="Times New Roman" w:hAnsi="Times New Roman"/>
                                <w:bCs/>
                                <w:sz w:val="18"/>
                                <w:szCs w:val="18"/>
                                <w:lang w:val="sv-SE"/>
                              </w:rPr>
                              <w:t>opyright © 2023 by Author. Published by Universitas Trunojoyo Madura.</w:t>
                            </w:r>
                            <w:bookmarkEnd w:id="0"/>
                          </w:p>
                          <w:p w:rsidR="00A63BA3" w:rsidRDefault="00A63BA3">
                            <w:pPr>
                              <w:pStyle w:val="NoSpacing1"/>
                              <w:jc w:val="both"/>
                              <w:rPr>
                                <w:rFonts w:ascii="Times New Roman" w:hAnsi="Times New Roman"/>
                                <w:bCs/>
                                <w:sz w:val="18"/>
                                <w:szCs w:val="18"/>
                                <w:lang w:val="sv-SE"/>
                              </w:rPr>
                            </w:pPr>
                          </w:p>
                          <w:p w:rsidR="00A63BA3" w:rsidRDefault="00A63BA3">
                            <w:pPr>
                              <w:rPr>
                                <w:sz w:val="22"/>
                                <w:szCs w:val="22"/>
                              </w:rPr>
                            </w:pPr>
                          </w:p>
                        </w:txbxContent>
                      </wps:txbx>
                      <wps:bodyPr rot="0" vert="horz" wrap="square" lIns="0" tIns="0" rIns="82296" bIns="0" anchor="t" anchorCtr="0" upright="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5pt;width:138.5pt;height:357pt;z-index:251658240;visibility:visible;mso-wrap-style:square;mso-height-percent:0;mso-wrap-distance-left:9pt;mso-wrap-distance-top:3.6pt;mso-wrap-distance-right:9pt;mso-wrap-distance-bottom:3.6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GLsAQIAAOIDAAAOAAAAZHJzL2Uyb0RvYy54bWysU9tu2zAMfR+wfxD0vthJlzYx4hRdig4D&#10;um5Atw+QZdkWJosapcTOvn6UnKS7vA17EShSPCQPjza3Y2/YQaHXYEs+n+WcKSuh1rYt+dcvD29W&#10;nPkgbC0MWFXyo/L8dvv61WZwhVpAB6ZWyAjE+mJwJe9CcEWWedmpXvgZOGUp2AD2ItAV26xGMRB6&#10;b7JFnl9nA2DtEKTynrz3U5BvE37TKBk+NY1XgZmSU28hnZjOKp7ZdiOKFoXrtDy1If6hi15oS0Uv&#10;UPciCLZH/RdUryWChybMJPQZNI2WKs1A08zzP6Z57oRTaRYix7sLTf7/wcqnw7P7jCyM72CkBaYh&#10;vHsE+c0zC7tO2FbdIcLQKVFT4XmkLBucL06pkWpf+AhSDR+hpiWLfYAENDbYR1ZoTkbotIDjhXQ1&#10;BiZjyZvlar2kkKTY2+XV1TpPa8lEcU536MN7BT2LRsmRtprgxeHRh9iOKM5PYjUPRtcP2ph0iUpS&#10;O4PsIEgDVbtIqWbfU6+T72aZX0om4cXnCfU3JGMjnoWIPBWNnkRFnH7iIYzVSMFISQX1kUhBmERH&#10;n4SMDvAHZwMJruT++16g4sx8sERsVOfZwGSsFov1NWfV2SuspPSSB84mcxcmJe8d6rYj9Gl9Fu5o&#10;AY1O1Lx0cuqVhJRmO4k+KvXXe3r18jW3PwEAAP//AwBQSwMEFAAGAAgAAAAhAHitV3nbAAAABQEA&#10;AA8AAABkcnMvZG93bnJldi54bWxMj0FPg0AUhO8m/ofNM/FC7FIwYpBH02j00Hio1R/wCisQ2LfI&#10;bgv+e58nPU5mMvNNsVnsoM5m8p1jhPUqBmW4cnXHDcLH+/PNPSgfiGsaHBuEb+NhU15eFJTXbuY3&#10;cz6ERkkJ+5wQ2hDGXGtftcaSX7nRsHifbrIURE6NrieapdwOOonjO22pY1loaTSPran6w8ki+F0X&#10;0VPWp0n0ovvdV7TfVq8z4vXVsn0AFcwS/sLwiy/oUArT0Z249mpAkCMBIQUlXpJlIo8I2fo2BV0W&#10;+j99+QMAAP//AwBQSwECLQAUAAYACAAAACEAtoM4kv4AAADhAQAAEwAAAAAAAAAAAAAAAAAAAAAA&#10;W0NvbnRlbnRfVHlwZXNdLnhtbFBLAQItABQABgAIAAAAIQA4/SH/1gAAAJQBAAALAAAAAAAAAAAA&#10;AAAAAC8BAABfcmVscy8ucmVsc1BLAQItABQABgAIAAAAIQAIvGLsAQIAAOIDAAAOAAAAAAAAAAAA&#10;AAAAAC4CAABkcnMvZTJvRG9jLnhtbFBLAQItABQABgAIAAAAIQB4rVd52wAAAAUBAAAPAAAAAAAA&#10;AAAAAAAAAFsEAABkcnMvZG93bnJldi54bWxQSwUGAAAAAAQABADzAAAAYwUAAAAA&#10;" fillcolor="#aeaaaa [2414]" stroked="f">
                <v:textbox inset="0,0,6.48pt,0">
                  <w:txbxContent>
                    <w:p w:rsidR="00A63BA3" w:rsidRDefault="00000000" w:rsidP="00C53310">
                      <w:pPr>
                        <w:pStyle w:val="NoSpacing1"/>
                        <w:jc w:val="center"/>
                        <w:rPr>
                          <w:rFonts w:ascii="Times New Roman Bold" w:hAnsi="Times New Roman Bold" w:cs="Times New Roman Bold"/>
                          <w:b/>
                          <w:sz w:val="18"/>
                          <w:szCs w:val="18"/>
                          <w:lang w:val="sv-SE"/>
                        </w:rPr>
                      </w:pPr>
                      <w:r>
                        <w:rPr>
                          <w:rFonts w:ascii="Times New Roman Bold" w:hAnsi="Times New Roman Bold" w:cs="Times New Roman Bold"/>
                          <w:b/>
                          <w:sz w:val="18"/>
                          <w:szCs w:val="18"/>
                          <w:lang w:val="sv-SE"/>
                        </w:rPr>
                        <w:t>A R T I C L E    I N F O</w:t>
                      </w: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Article history:</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Received January 05,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Revised February 15,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Accepted March 25,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Available online  April  30, 2023</w:t>
                      </w:r>
                    </w:p>
                    <w:p w:rsidR="00A63BA3" w:rsidRDefault="00A63BA3" w:rsidP="00C53310">
                      <w:pPr>
                        <w:pStyle w:val="NoSpacing1"/>
                        <w:spacing w:after="0" w:line="240" w:lineRule="auto"/>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Kata Kunci:</w:t>
                      </w:r>
                    </w:p>
                    <w:p w:rsidR="00A63BA3" w:rsidRDefault="00000000" w:rsidP="00C53310">
                      <w:pPr>
                        <w:pStyle w:val="NoSpacing1"/>
                        <w:spacing w:after="0" w:line="240" w:lineRule="auto"/>
                        <w:ind w:left="142"/>
                        <w:jc w:val="both"/>
                        <w:rPr>
                          <w:rFonts w:ascii="Times New Roman" w:hAnsi="Times New Roman"/>
                          <w:bCs/>
                          <w:sz w:val="18"/>
                          <w:szCs w:val="18"/>
                          <w:lang w:val="id-ID"/>
                        </w:rPr>
                      </w:pPr>
                      <w:r w:rsidRPr="00C53310">
                        <w:rPr>
                          <w:rFonts w:ascii="Times New Roman" w:hAnsi="Times New Roman"/>
                          <w:bCs/>
                          <w:i/>
                          <w:iCs/>
                          <w:sz w:val="18"/>
                          <w:szCs w:val="18"/>
                          <w:lang w:val="id-ID"/>
                        </w:rPr>
                        <w:t xml:space="preserve">Terdiri dari 3-5 frasa </w:t>
                      </w:r>
                      <w:r w:rsidRPr="00C53310">
                        <w:rPr>
                          <w:rFonts w:ascii="Times New Roman" w:hAnsi="Times New Roman"/>
                          <w:bCs/>
                          <w:i/>
                          <w:iCs/>
                          <w:sz w:val="18"/>
                          <w:szCs w:val="18"/>
                          <w:lang w:val="sv-SE"/>
                        </w:rPr>
                        <w:t>(</w:t>
                      </w:r>
                      <w:r w:rsidRPr="00C53310">
                        <w:rPr>
                          <w:rFonts w:ascii="Times New Roman" w:hAnsi="Times New Roman"/>
                          <w:bCs/>
                          <w:i/>
                          <w:i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Keywords:</w:t>
                      </w:r>
                    </w:p>
                    <w:p w:rsidR="00C53310" w:rsidRDefault="00000000" w:rsidP="00C53310">
                      <w:pPr>
                        <w:pStyle w:val="NoSpacing1"/>
                        <w:spacing w:after="0" w:line="240" w:lineRule="auto"/>
                        <w:ind w:left="142"/>
                        <w:jc w:val="both"/>
                        <w:rPr>
                          <w:rFonts w:ascii="Times New Roman" w:hAnsi="Times New Roman"/>
                          <w:bCs/>
                          <w:sz w:val="18"/>
                          <w:szCs w:val="18"/>
                          <w:lang w:val="id-ID"/>
                        </w:rPr>
                      </w:pPr>
                      <w:r>
                        <w:rPr>
                          <w:rFonts w:ascii="Times New Roman" w:hAnsi="Times New Roman"/>
                          <w:bCs/>
                          <w:sz w:val="18"/>
                          <w:szCs w:val="18"/>
                          <w:lang w:val="sv-SE"/>
                        </w:rPr>
                        <w:t>Terdiri dari 3-5 kata</w:t>
                      </w:r>
                      <w:r>
                        <w:rPr>
                          <w:rFonts w:ascii="Times New Roman" w:hAnsi="Times New Roman"/>
                          <w:bCs/>
                          <w:sz w:val="18"/>
                          <w:szCs w:val="18"/>
                          <w:lang w:val="id-ID"/>
                        </w:rPr>
                        <w:t xml:space="preserve"> </w:t>
                      </w:r>
                      <w:r>
                        <w:rPr>
                          <w:rFonts w:ascii="Times New Roman" w:hAnsi="Times New Roman"/>
                          <w:bCs/>
                          <w:sz w:val="18"/>
                          <w:szCs w:val="18"/>
                          <w:lang w:val="sv-SE"/>
                        </w:rPr>
                        <w:t>(</w:t>
                      </w:r>
                      <w:r>
                        <w:rPr>
                          <w:rFonts w:ascii="Times New Roman" w:hAnsi="Times New Roman"/>
                          <w:b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w:t>
                      </w:r>
                      <w:r w:rsidR="00C53310">
                        <w:rPr>
                          <w:rFonts w:ascii="Times New Roman" w:hAnsi="Times New Roman"/>
                          <w:bCs/>
                          <w:sz w:val="18"/>
                          <w:szCs w:val="18"/>
                          <w:lang w:val="sv-SE"/>
                        </w:rPr>
                        <w:t>dipisah dengan koma</w:t>
                      </w:r>
                    </w:p>
                    <w:p w:rsidR="00A63BA3" w:rsidRDefault="00A63BA3" w:rsidP="00C53310">
                      <w:pPr>
                        <w:pStyle w:val="NoSpacing1"/>
                        <w:spacing w:after="0" w:line="240" w:lineRule="auto"/>
                        <w:ind w:left="142"/>
                        <w:jc w:val="both"/>
                        <w:rPr>
                          <w:rFonts w:ascii="Times New Roman" w:hAnsi="Times New Roman"/>
                          <w:bCs/>
                          <w:sz w:val="18"/>
                          <w:szCs w:val="18"/>
                          <w:lang w:val="id-ID"/>
                        </w:rPr>
                      </w:pP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ind w:left="142"/>
                        <w:rPr>
                          <w:rFonts w:ascii="Times New Roman" w:hAnsi="Times New Roman"/>
                          <w:bCs/>
                          <w:sz w:val="18"/>
                          <w:szCs w:val="18"/>
                          <w:lang w:val="sv-SE"/>
                        </w:rPr>
                      </w:pPr>
                      <w:bookmarkStart w:id="1" w:name="_Hlk79523095"/>
                      <w:r>
                        <w:rPr>
                          <w:rFonts w:ascii="Times New Roman" w:hAnsi="Times New Roman"/>
                          <w:bCs/>
                          <w:noProof/>
                          <w:sz w:val="18"/>
                          <w:szCs w:val="18"/>
                          <w:lang w:eastAsia="zh-CN"/>
                        </w:rPr>
                        <w:drawing>
                          <wp:inline distT="0" distB="0" distL="114300" distR="114300">
                            <wp:extent cx="878840" cy="325755"/>
                            <wp:effectExtent l="0" t="0" r="10160" b="444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IMG_256"/>
                                    <pic:cNvPicPr>
                                      <a:picLocks noChangeAspect="1"/>
                                    </pic:cNvPicPr>
                                  </pic:nvPicPr>
                                  <pic:blipFill>
                                    <a:blip r:embed="rId10"/>
                                    <a:srcRect l="11992" t="25489" r="11429" b="23461"/>
                                    <a:stretch>
                                      <a:fillRect/>
                                    </a:stretch>
                                  </pic:blipFill>
                                  <pic:spPr>
                                    <a:xfrm>
                                      <a:off x="0" y="0"/>
                                      <a:ext cx="878840" cy="325755"/>
                                    </a:xfrm>
                                    <a:prstGeom prst="rect">
                                      <a:avLst/>
                                    </a:prstGeom>
                                    <a:noFill/>
                                    <a:ln w="9525">
                                      <a:noFill/>
                                    </a:ln>
                                  </pic:spPr>
                                </pic:pic>
                              </a:graphicData>
                            </a:graphic>
                          </wp:inline>
                        </w:drawing>
                      </w:r>
                    </w:p>
                    <w:p w:rsidR="00A63BA3" w:rsidRDefault="00000000" w:rsidP="00C53310">
                      <w:pPr>
                        <w:pStyle w:val="NoSpacing1"/>
                        <w:ind w:left="142"/>
                        <w:jc w:val="both"/>
                        <w:rPr>
                          <w:rFonts w:ascii="Times New Roman" w:hAnsi="Times New Roman"/>
                          <w:bCs/>
                          <w:sz w:val="18"/>
                          <w:szCs w:val="18"/>
                          <w:lang w:eastAsia="zh-CN"/>
                        </w:rPr>
                      </w:pPr>
                      <w:r>
                        <w:rPr>
                          <w:rFonts w:ascii="Times New Roman" w:hAnsi="Times New Roman"/>
                          <w:bCs/>
                          <w:sz w:val="18"/>
                          <w:szCs w:val="18"/>
                          <w:lang w:val="sv-SE"/>
                        </w:rPr>
                        <w:t>T</w:t>
                      </w:r>
                      <w:r>
                        <w:rPr>
                          <w:rFonts w:ascii="Times New Roman" w:hAnsi="Times New Roman"/>
                          <w:bCs/>
                          <w:sz w:val="18"/>
                          <w:szCs w:val="18"/>
                          <w:lang w:eastAsia="zh-CN"/>
                        </w:rPr>
                        <w:t>his work is licensed under a </w:t>
                      </w:r>
                      <w:hyperlink r:id="rId11" w:history="1">
                        <w:r>
                          <w:rPr>
                            <w:rStyle w:val="Hyperlink"/>
                            <w:rFonts w:ascii="Times New Roman" w:hAnsi="Times New Roman"/>
                            <w:bCs/>
                            <w:sz w:val="18"/>
                            <w:szCs w:val="18"/>
                            <w:lang w:eastAsia="zh-CN"/>
                          </w:rPr>
                          <w:t>Creative Commons Attribution 4.0 International License.</w:t>
                        </w:r>
                      </w:hyperlink>
                    </w:p>
                    <w:p w:rsidR="00A63BA3" w:rsidRDefault="00A63BA3">
                      <w:pPr>
                        <w:pStyle w:val="NoSpacing1"/>
                        <w:jc w:val="both"/>
                        <w:rPr>
                          <w:rFonts w:ascii="Times New Roman" w:hAnsi="Times New Roman"/>
                          <w:bCs/>
                          <w:sz w:val="18"/>
                          <w:szCs w:val="18"/>
                          <w:lang w:eastAsia="zh-CN"/>
                        </w:rPr>
                      </w:pPr>
                    </w:p>
                    <w:p w:rsidR="00A63BA3" w:rsidRDefault="00000000">
                      <w:pPr>
                        <w:pStyle w:val="NoSpacing1"/>
                        <w:jc w:val="both"/>
                        <w:rPr>
                          <w:rFonts w:ascii="Times New Roman" w:hAnsi="Times New Roman"/>
                          <w:bCs/>
                          <w:sz w:val="18"/>
                          <w:szCs w:val="18"/>
                          <w:lang w:val="sv-SE"/>
                        </w:rPr>
                      </w:pPr>
                      <w:r>
                        <w:rPr>
                          <w:rFonts w:ascii="Times New Roman" w:hAnsi="Times New Roman"/>
                          <w:bCs/>
                          <w:sz w:val="18"/>
                          <w:szCs w:val="18"/>
                          <w:lang w:val="sv-SE" w:eastAsia="zh-CN"/>
                        </w:rPr>
                        <w:t>C</w:t>
                      </w:r>
                      <w:r>
                        <w:rPr>
                          <w:rFonts w:ascii="Times New Roman" w:hAnsi="Times New Roman"/>
                          <w:bCs/>
                          <w:sz w:val="18"/>
                          <w:szCs w:val="18"/>
                          <w:lang w:val="sv-SE"/>
                        </w:rPr>
                        <w:t>opyright © 2023 by Author. Published by Universitas Trunojoyo Madura.</w:t>
                      </w:r>
                      <w:bookmarkEnd w:id="1"/>
                    </w:p>
                    <w:p w:rsidR="00A63BA3" w:rsidRDefault="00A63BA3">
                      <w:pPr>
                        <w:pStyle w:val="NoSpacing1"/>
                        <w:jc w:val="both"/>
                        <w:rPr>
                          <w:rFonts w:ascii="Times New Roman" w:hAnsi="Times New Roman"/>
                          <w:bCs/>
                          <w:sz w:val="18"/>
                          <w:szCs w:val="18"/>
                          <w:lang w:val="sv-SE"/>
                        </w:rPr>
                      </w:pPr>
                    </w:p>
                    <w:p w:rsidR="00A63BA3" w:rsidRDefault="00A63BA3">
                      <w:pPr>
                        <w:rPr>
                          <w:sz w:val="22"/>
                          <w:szCs w:val="22"/>
                        </w:rPr>
                      </w:pPr>
                    </w:p>
                  </w:txbxContent>
                </v:textbox>
                <w10:wrap type="square" anchorx="margin"/>
              </v:shape>
            </w:pict>
          </mc:Fallback>
        </mc:AlternateContent>
      </w:r>
      <w:r>
        <w:rPr>
          <w:rFonts w:ascii="Times New Roman Regular" w:eastAsia="Times New Roman" w:hAnsi="Times New Roman Regular" w:cs="Times New Roman Regular"/>
          <w:b/>
          <w:bCs/>
          <w:sz w:val="20"/>
          <w:szCs w:val="20"/>
        </w:rPr>
        <w:t xml:space="preserve">A B S </w:t>
      </w:r>
      <w:r>
        <w:rPr>
          <w:rFonts w:ascii="Times New Roman Regular" w:hAnsi="Times New Roman Regular" w:cs="Times New Roman Regular"/>
          <w:b/>
          <w:bCs/>
          <w:sz w:val="20"/>
          <w:szCs w:val="20"/>
          <w:lang w:val="sv-SE"/>
        </w:rPr>
        <w:t xml:space="preserve">T </w:t>
      </w:r>
      <w:r>
        <w:rPr>
          <w:rFonts w:ascii="Times New Roman Regular" w:eastAsia="Times New Roman" w:hAnsi="Times New Roman Regular" w:cs="Times New Roman Regular"/>
          <w:b/>
          <w:bCs/>
          <w:sz w:val="20"/>
          <w:szCs w:val="20"/>
        </w:rPr>
        <w:t>R A K</w:t>
      </w:r>
    </w:p>
    <w:tbl>
      <w:tblPr>
        <w:tblW w:w="0" w:type="auto"/>
        <w:tblLook w:val="04A0" w:firstRow="1" w:lastRow="0" w:firstColumn="1" w:lastColumn="0" w:noHBand="0" w:noVBand="1"/>
      </w:tblPr>
      <w:tblGrid>
        <w:gridCol w:w="4535"/>
        <w:gridCol w:w="4536"/>
      </w:tblGrid>
      <w:tr w:rsidR="00A63BA3">
        <w:tc>
          <w:tcPr>
            <w:tcW w:w="4779" w:type="dxa"/>
            <w:shd w:val="clear" w:color="auto" w:fill="auto"/>
          </w:tcPr>
          <w:p w:rsidR="00A63BA3" w:rsidRDefault="00000000" w:rsidP="00C53310">
            <w:pPr>
              <w:adjustRightInd w:val="0"/>
              <w:snapToGrid w:val="0"/>
              <w:spacing w:after="0" w:line="240" w:lineRule="auto"/>
              <w:jc w:val="both"/>
              <w:rPr>
                <w:bCs/>
                <w:lang w:val="zh-CN" w:eastAsia="de-DE"/>
              </w:rPr>
            </w:pPr>
            <w:r>
              <w:rPr>
                <w:bCs/>
                <w:noProof/>
                <w:lang w:val="id-ID" w:eastAsia="id-ID"/>
              </w:rPr>
              <w:drawing>
                <wp:inline distT="0" distB="0" distL="0" distR="0">
                  <wp:extent cx="1079500" cy="1079500"/>
                  <wp:effectExtent l="0" t="0" r="0" b="0"/>
                  <wp:docPr id="4" name="Picture 4"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martin\Downloads\testFigure.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p>
          <w:p w:rsidR="00A63BA3" w:rsidRDefault="00000000" w:rsidP="00C53310">
            <w:pPr>
              <w:adjustRightInd w:val="0"/>
              <w:snapToGrid w:val="0"/>
              <w:spacing w:after="0" w:line="240" w:lineRule="auto"/>
              <w:jc w:val="both"/>
              <w:rPr>
                <w:bCs/>
                <w:lang w:val="zh-CN" w:eastAsia="de-DE"/>
              </w:rPr>
            </w:pPr>
            <w:r>
              <w:rPr>
                <w:bCs/>
                <w:lang w:val="zh-CN" w:eastAsia="de-DE"/>
              </w:rPr>
              <w:t>( a )</w:t>
            </w:r>
          </w:p>
        </w:tc>
        <w:tc>
          <w:tcPr>
            <w:tcW w:w="4780" w:type="dxa"/>
            <w:shd w:val="clear" w:color="auto" w:fill="auto"/>
          </w:tcPr>
          <w:p w:rsidR="00A63BA3" w:rsidRDefault="00000000" w:rsidP="00C53310">
            <w:pPr>
              <w:adjustRightInd w:val="0"/>
              <w:snapToGrid w:val="0"/>
              <w:spacing w:after="0" w:line="240" w:lineRule="auto"/>
              <w:jc w:val="both"/>
              <w:rPr>
                <w:bCs/>
                <w:lang w:val="zh-CN" w:eastAsia="de-DE"/>
              </w:rPr>
            </w:pPr>
            <w:r>
              <w:rPr>
                <w:bCs/>
                <w:noProof/>
                <w:lang w:val="id-ID" w:eastAsia="id-ID"/>
              </w:rPr>
              <w:drawing>
                <wp:inline distT="0" distB="0" distL="0" distR="0">
                  <wp:extent cx="1079500" cy="1079500"/>
                  <wp:effectExtent l="0" t="0" r="0" b="0"/>
                  <wp:docPr id="35" name="Picture 35"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martin\Downloads\testFigure.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p>
          <w:p w:rsidR="00A63BA3" w:rsidRDefault="00000000" w:rsidP="00C53310">
            <w:pPr>
              <w:adjustRightInd w:val="0"/>
              <w:snapToGrid w:val="0"/>
              <w:spacing w:after="0" w:line="240" w:lineRule="auto"/>
              <w:jc w:val="both"/>
              <w:rPr>
                <w:bCs/>
                <w:lang w:val="zh-CN" w:eastAsia="de-DE"/>
              </w:rPr>
            </w:pPr>
            <w:r>
              <w:rPr>
                <w:bCs/>
                <w:lang w:val="zh-CN" w:eastAsia="de-DE"/>
              </w:rPr>
              <w:t>( b )</w:t>
            </w:r>
          </w:p>
        </w:tc>
      </w:tr>
    </w:tbl>
    <w:p>
      <w:pPr>
        <w:spacing w:before="0" w:after="120" w:line="240" w:lineRule="auto"/>
        <w:jc w:val="both"/>
        <w:ind/>
      </w:pPr>
      <w:r>
        <w:rPr>
          <w:rFonts w:ascii="Times New Roman" w:hAnsi="Times New Roman"/>
          <w:b/>
          <w:sz w:val="32"/>
        </w:rPr>
        <w:t>Sel Hibrida Solar-Lunar: Integrasi Fotovoltaik dan Konverter Termoradiatif untuk Pembangkitan Daya Berkelanjutan</w:t>
      </w:r>
    </w:p>
    <w:p>
      <w:pPr>
        <w:spacing w:before="60" w:after="40" w:line="240" w:lineRule="auto"/>
        <w:jc w:val="center"/>
        <w:ind/>
      </w:pPr>
      <w:r>
        <w:rPr>
          <w:rFonts w:ascii="Times New Roman" w:hAnsi="Times New Roman"/>
          <w:sz w:val="24"/>
        </w:rPr>
        <w:t>Fikri Fahlevy</w:t>
      </w:r>
    </w:p>
    <w:p>
      <w:pPr>
        <w:spacing w:before="0" w:after="0" w:line="240" w:lineRule="auto"/>
        <w:jc w:val="center"/>
        <w:ind/>
      </w:pPr>
      <w:r>
        <w:rPr>
          <w:rFonts w:ascii="Times New Roman" w:hAnsi="Times New Roman"/>
          <w:sz w:val="16"/>
        </w:rPr>
        <w:t>1Universitas Diponegoro</w:t>
      </w:r>
    </w:p>
    <w:p>
      <w:pPr>
        <w:spacing w:before="120" w:after="60" w:line="240" w:lineRule="auto"/>
        <w:jc w:val="center"/>
        <w:ind/>
      </w:pPr>
      <w:r>
        <w:rPr>
          <w:rFonts w:ascii="Times New Roman" w:hAnsi="Times New Roman"/>
          <w:b/>
          <w:sz w:val="20"/>
        </w:rPr>
        <w:t>A B S T R A K</w:t>
      </w:r>
    </w:p>
    <w:p>
      <w:pPr>
        <w:spacing w:before="0" w:after="120" w:line="240" w:lineRule="auto"/>
        <w:jc w:val="both"/>
        <w:ind/>
      </w:pPr>
      <w:r>
        <w:rPr>
          <w:rFonts w:ascii="Times New Roman" w:hAnsi="Times New Roman"/>
          <w:sz w:val="20"/>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\etaₜₒₜₐₗ).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60" w:line="240" w:lineRule="auto"/>
        <w:jc w:val="both"/>
        <w:ind/>
      </w:pPr>
      <w:r>
        <w:rPr>
          <w:rFonts w:ascii="Times New Roman" w:hAnsi="Times New Roman"/>
          <w:b/>
          <w:sz w:val="20"/>
        </w:rPr>
        <w:t xml:space="preserve">Kata Kunci: </w:t>
      </w:r>
      <w:r>
        <w:rPr>
          <w:rFonts w:ascii="Times New Roman" w:hAnsi="Times New Roman"/>
          <w:sz w:val="20"/>
        </w:rPr>
        <w:t>Fotovoltaik, Termoradiatif, Sel Hibrida, Kopling Termal, Energi Berkelanjutan, Pembangkitan Diurnal</w:t>
      </w:r>
    </w:p>
    <w:p>
      <w:pPr>
        <w:spacing w:before="0" w:after="0" w:line="240" w:lineRule="auto"/>
        <w:jc w:val="both"/>
        <w:ind/>
      </w:pPr>
      <w:r>
        <w:rPr>
          <w:rFonts w:ascii="Times New Roman" w:hAnsi="Times New Roman"/>
          <w:sz w:val="2"/>
        </w:rPr>
        <w:t xml:space="preserve"> </w:t>
      </w:r>
    </w:p>
    <w:p>
      <w:pPr>
        <w:spacing w:before="60" w:after="60" w:line="240" w:lineRule="auto"/>
        <w:jc w:val="center"/>
        <w:ind/>
      </w:pPr>
      <w:r>
        <w:rPr>
          <w:rFonts w:ascii="Times New Roman" w:hAnsi="Times New Roman"/>
          <w:b/>
          <w:sz w:val="18"/>
        </w:rPr>
        <w:t>A B S T R A C T</w:t>
      </w:r>
    </w:p>
    <w:p>
      <w:pPr>
        <w:spacing w:before="0" w:after="60" w:line="240" w:lineRule="auto"/>
        <w:jc w:val="both"/>
        <w:ind/>
      </w:pPr>
      <w:r>
        <w:rPr>
          <w:rFonts w:ascii="Times New Roman" w:hAnsi="Times New Roman"/>
          <w:sz w:val="20"/>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\etaₜₒₜₐₗ).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120" w:after="120" w:line="240" w:lineRule="auto"/>
        <w:jc w:val="left"/>
        <w:ind w:left="180"/>
      </w:pPr>
      <w:r>
        <w:rPr>
          <w:rFonts w:ascii="Times New Roman" w:hAnsi="Times New Roman"/>
          <w:b/>
          <w:sz w:val="24"/>
        </w:rPr>
        <w:t>PENDAHULUAN</w:t>
      </w:r>
    </w:p>
    <w:p>
      <w:pPr>
        <w:spacing w:before="0" w:after="60" w:line="240" w:lineRule="auto"/>
        <w:jc w:val="both"/>
        <w:ind w:firstLine="284"/>
      </w:pPr>
      <w:r>
        <w:rPr>
          <w:rFonts w:ascii="Times New Roman" w:hAnsi="Times New Roman"/>
          <w:sz w:val="24"/>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60" w:line="240" w:lineRule="auto"/>
        <w:jc w:val="both"/>
        <w:ind w:firstLine="284"/>
      </w:pPr>
      <w:r>
        <w:rPr>
          <w:rFonts w:ascii="Times New Roman" w:hAnsi="Times New Roman"/>
          <w:sz w:val="24"/>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60" w:line="240" w:lineRule="auto"/>
        <w:jc w:val="both"/>
        <w:ind w:firstLine="284"/>
      </w:pPr>
      <w:r>
        <w:rPr>
          <w:rFonts w:ascii="Times New Roman" w:hAnsi="Times New Roman"/>
          <w:sz w:val="24"/>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60" w:line="240" w:lineRule="auto"/>
        <w:jc w:val="both"/>
        <w:ind w:firstLine="284"/>
      </w:pPr>
      <w:r>
        <w:rPr>
          <w:rFonts w:ascii="Times New Roman" w:hAnsi="Times New Roman"/>
          <w:sz w:val="24"/>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(\etaₕᵧbᵣᵢd) di bawah variasi gradien suhu diurnal. • Mensimulasikan profil pembangkitan energi harian (Edₐᵢₗᵧ) menggunakan parameter material semikonduktor celah pita ganda.</w:t>
      </w:r>
    </w:p>
    <w:p>
      <w:pPr>
        <w:spacing w:before="0" w:after="60" w:line="240" w:lineRule="auto"/>
        <w:jc w:val="both"/>
        <w:ind w:firstLine="284"/>
      </w:pPr>
      <w:r>
        <w:rPr>
          <w:rFonts w:ascii="Times New Roman" w:hAnsi="Times New Roman"/>
          <w:sz w:val="24"/>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120" w:after="120" w:line="240" w:lineRule="auto"/>
        <w:jc w:val="left"/>
        <w:ind w:left="180"/>
      </w:pPr>
      <w:r>
        <w:rPr>
          <w:rFonts w:ascii="Times New Roman" w:hAnsi="Times New Roman"/>
          <w:b/>
          <w:sz w:val="24"/>
        </w:rPr>
        <w:t>TINJAUAN PUSTAKA</w:t>
      </w:r>
    </w:p>
    <w:p>
      <w:pPr>
        <w:spacing w:before="0" w:after="60" w:line="240" w:lineRule="auto"/>
        <w:jc w:val="both"/>
        <w:ind w:firstLine="284"/>
      </w:pPr>
      <w:r>
        <w:rPr>
          <w:rFonts w:ascii="Times New Roman" w:hAnsi="Times New Roman"/>
          <w:sz w:val="24"/>
        </w:rPr>
        <w:t>Bagian ini meninjau evolusi teknologi pembangkitan surya dan kemunculan konsep termoradiatif, mengidentifikasi di mana paradigma saat ini gagal menjembatani celah energi malam hari.</w:t>
      </w:r>
    </w:p>
    <w:p>
      <w:pPr>
        <w:spacing w:before="80" w:after="80" w:line="240" w:lineRule="auto"/>
        <w:jc w:val="left"/>
        <w:ind w:left="180"/>
      </w:pPr>
      <w:r>
        <w:rPr>
          <w:rFonts w:ascii="Times New Roman" w:hAnsi="Times New Roman"/>
          <w:b/>
          <w:sz w:val="24"/>
        </w:rPr>
        <w:t>Tinjauan Penelitian Terdahulu</w:t>
      </w:r>
    </w:p>
    <w:p>
      <w:pPr>
        <w:spacing w:before="0" w:after="60" w:line="240" w:lineRule="auto"/>
        <w:jc w:val="both"/>
        <w:ind w:firstLine="284"/>
      </w:pPr>
      <w:r>
        <w:rPr>
          <w:rFonts w:ascii="Times New Roman" w:hAnsi="Times New Roman"/>
          <w:sz w:val="24"/>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60" w:line="240" w:lineRule="auto"/>
        <w:jc w:val="both"/>
        <w:ind w:firstLine="284"/>
      </w:pPr>
      <w:r>
        <w:rPr>
          <w:rFonts w:ascii="Times New Roman" w:hAnsi="Times New Roman"/>
          <w:sz w:val="24"/>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60" w:line="240" w:lineRule="auto"/>
        <w:jc w:val="both"/>
        <w:ind w:firstLine="284"/>
      </w:pPr>
      <w:r>
        <w:rPr>
          <w:rFonts w:ascii="Times New Roman" w:hAnsi="Times New Roman"/>
          <w:sz w:val="24"/>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80" w:after="80" w:line="240" w:lineRule="auto"/>
        <w:jc w:val="left"/>
        <w:ind w:left="180"/>
      </w:pPr>
      <w:r>
        <w:rPr>
          <w:rFonts w:ascii="Times New Roman" w:hAnsi="Times New Roman"/>
          <w:b/>
          <w:sz w:val="24"/>
        </w:rPr>
        <w:t>Kerangka Teoritis</w:t>
      </w:r>
    </w:p>
    <w:p>
      <w:pPr>
        <w:spacing w:before="0" w:after="60" w:line="240" w:lineRule="auto"/>
        <w:jc w:val="both"/>
        <w:ind w:firstLine="284"/>
      </w:pPr>
      <w:r>
        <w:rPr>
          <w:rFonts w:ascii="Times New Roman" w:hAnsi="Times New Roman"/>
          <w:sz w:val="24"/>
        </w:rPr>
        <w:t>Termodinamika TRC berakar pada hukum Planck dan prinsip keseimbangan terperinci (detailed balance). Saat sel berada pada suhu Tcₑₗₗ dan menghadap ke langit pada Tₛₖᵧ,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0" w:after="60" w:line="240" w:lineRule="auto"/>
        <w:jc w:val="both"/>
        <w:ind w:firstLine="284"/>
      </w:pPr>
      <w:r>
        <w:rPr>
          <w:rFonts w:ascii="Times New Roman" w:hAnsi="Times New Roman"/>
          <w:sz w:val="24"/>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0" w:after="60" w:line="240" w:lineRule="auto"/>
        <w:jc w:val="both"/>
        <w:ind w:firstLine="284"/>
      </w:pPr>
      <w:r>
        <w:rPr>
          <w:rFonts w:ascii="Times New Roman" w:hAnsi="Times New Roman"/>
          <w:sz w:val="24"/>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120" w:after="120" w:line="240" w:lineRule="auto"/>
        <w:jc w:val="left"/>
        <w:ind w:left="180"/>
      </w:pPr>
      <w:r>
        <w:rPr>
          <w:rFonts w:ascii="Times New Roman" w:hAnsi="Times New Roman"/>
          <w:b/>
          <w:sz w:val="24"/>
        </w:rPr>
        <w:t>METODOLOGI</w:t>
      </w:r>
    </w:p>
    <w:p>
      <w:pPr>
        <w:spacing w:before="0" w:after="60" w:line="240" w:lineRule="auto"/>
        <w:jc w:val="both"/>
        <w:ind w:firstLine="284"/>
      </w:pPr>
      <w:r>
        <w:rPr>
          <w:rFonts w:ascii="Times New Roman" w:hAnsi="Times New Roman"/>
          <w:sz w:val="24"/>
        </w:rPr>
        <w:t>Bagian ini merinci arsitektur fisik sel hibrida, prosedur simulasi, dan model matematis yang digunakan untuk mengevaluasi kinerja sistem di bawah kondisi diurnal.</w:t>
      </w:r>
    </w:p>
    <w:p>
      <w:pPr>
        <w:spacing w:before="80" w:after="80" w:line="240" w:lineRule="auto"/>
        <w:jc w:val="left"/>
        <w:ind w:left="180"/>
      </w:pPr>
      <w:r>
        <w:rPr>
          <w:rFonts w:ascii="Times New Roman" w:hAnsi="Times New Roman"/>
          <w:b/>
          <w:sz w:val="24"/>
        </w:rPr>
        <w:t>Desain dan Arsitektur Sistem</w:t>
      </w:r>
    </w:p>
    <w:p>
      <w:pPr>
        <w:spacing w:before="0" w:after="60" w:line="240" w:lineRule="auto"/>
        <w:jc w:val="both"/>
        <w:ind w:firstLine="284"/>
      </w:pPr>
      <w:r>
        <w:rPr>
          <w:rFonts w:ascii="Times New Roman" w:hAnsi="Times New Roman"/>
          <w:sz w:val="24"/>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0" w:after="60" w:line="240" w:lineRule="auto"/>
        <w:jc w:val="both"/>
        <w:ind w:firstLine="284"/>
      </w:pPr>
      <w:r>
        <w:rPr>
          <w:rFonts w:ascii="Times New Roman" w:hAnsi="Times New Roman"/>
          <w:sz w:val="24"/>
        </w:rPr>
        <w:t>Gambar 3 merinci alur data dan energi dalam sistem ini. Logika kontrol termal pasif memastikan bahwa energi tidak terbuang sia-sia selama transisi senja dan fajar.</w:t>
      </w:r>
    </w:p>
    <w:p>
      <w:pPr>
        <w:spacing w:before="0" w:after="60" w:line="240" w:lineRule="auto"/>
        <w:jc w:val="both"/>
        <w:ind w:firstLine="284"/>
      </w:pPr>
      <w:r>
        <w:rPr>
          <w:rFonts w:ascii="Times New Roman" w:hAnsi="Times New Roman"/>
          <w:sz w:val="24"/>
        </w:rPr>
        <w:t>Gambar 4 menunjukkan penampang melintang arsitektur lapisan ini. Ketebalan setiap lapisan dioptimalkan untuk menyeimbangkan penyerapan optik dan konduktivitas termal.</w:t>
      </w:r>
    </w:p>
    <w:p>
      <w:pPr>
        <w:spacing w:before="0" w:after="60" w:line="240" w:lineRule="auto"/>
        <w:jc w:val="both"/>
        <w:ind w:firstLine="284"/>
      </w:pPr>
      <w:r>
        <w:rPr>
          <w:rFonts w:ascii="Times New Roman" w:hAnsi="Times New Roman"/>
          <w:sz w:val="24"/>
        </w:rPr>
        <w:t>Gambar 5 memetakan sirkuit termal ekuivalen, di mana resistansi termal antarmuka (Rₜₕ) menjadi variabel kritis yang harus diminimalkan. Kapasitansi termal dari lapisan PCM bertindak sebagai penyangga, meratakan fluktuasi suhu yang ekstrem.</w:t>
      </w:r>
    </w:p>
    <w:p>
      <w:pPr>
        <w:spacing w:before="80" w:after="80" w:line="240" w:lineRule="auto"/>
        <w:jc w:val="left"/>
        <w:ind w:left="180"/>
      </w:pPr>
      <w:r>
        <w:rPr>
          <w:rFonts w:ascii="Times New Roman" w:hAnsi="Times New Roman"/>
          <w:b/>
          <w:sz w:val="24"/>
        </w:rPr>
        <w:t>Implementasi dan Prosedur Eksperimen</w:t>
      </w:r>
    </w:p>
    <w:p>
      <w:pPr>
        <w:spacing w:before="0" w:after="60" w:line="240" w:lineRule="auto"/>
        <w:jc w:val="both"/>
        <w:ind w:firstLine="284"/>
      </w:pPr>
      <w:r>
        <w:rPr>
          <w:rFonts w:ascii="Times New Roman" w:hAnsi="Times New Roman"/>
          <w:sz w:val="24"/>
        </w:rPr>
        <w:t>Pemodelan matematis dimulai dengan persamaan daya PV. Daya yang dihasilkan bergantung pada fluks foton matahari dan efisiensi kuantum eksternal material.</w:t>
      </w:r>
    </w:p>
    <w:p>
      <w:pPr>
        <w:spacing w:before="0" w:after="0" w:line="240" w:lineRule="auto"/>
        <w:jc w:val="center"/>
        <w:ind/>
      </w:pPr>
      <w:r>
        <w:rPr>
          <w:rFonts w:ascii="Times New Roman" w:hAnsi="Times New Roman"/>
          <w:i/>
          <w:sz w:val="24"/>
        </w:rPr>
        <w:t>PPV = \intλminλg \frac{hc}{λ} Φsun(λ) ηEQE(λ) dλ</w:t>
      </w:r>
    </w:p>
    <w:p>
      <w:pPr>
        <w:spacing w:before="0" w:after="60" w:line="240" w:lineRule="auto"/>
        <w:jc w:val="both"/>
        <w:ind w:firstLine="284"/>
      </w:pPr>
      <w:r>
        <w:rPr>
          <w:rFonts w:ascii="Times New Roman" w:hAnsi="Times New Roman"/>
          <w:sz w:val="24"/>
        </w:rPr>
        <w:t>Persamaan (1) mendefinisikan PPV sebagai integral dari fluks spektral matahari \Phiₛuₙ dikalikan energi foton dan efisiensi \etaEQE, di atas batas celah pita Eg. Variabel h dan c masing-masing adalah konstanta Planck dan kecepatan cahaya.</w:t>
      </w:r>
    </w:p>
    <w:p>
      <w:pPr>
        <w:spacing w:before="0" w:after="60" w:line="240" w:lineRule="auto"/>
        <w:jc w:val="both"/>
        <w:ind w:firstLine="284"/>
      </w:pPr>
      <w:r>
        <w:rPr>
          <w:rFonts w:ascii="Times New Roman" w:hAnsi="Times New Roman"/>
          <w:sz w:val="24"/>
        </w:rPr>
        <w:t>Untuk mode malam, daya termoradiatif dihitung menggunakan perbedaan laju emisi dan absorpsi foton inframerah.</w:t>
      </w:r>
    </w:p>
    <w:p>
      <w:pPr>
        <w:spacing w:before="0" w:after="0" w:line="240" w:lineRule="auto"/>
        <w:jc w:val="center"/>
        <w:ind/>
      </w:pPr>
      <w:r>
        <w:rPr>
          <w:rFonts w:ascii="Times New Roman" w:hAnsi="Times New Roman"/>
          <w:i/>
          <w:sz w:val="24"/>
        </w:rPr>
        <w:t>PTRC = \int₀∞ \frac{2π hc^2}{λ^5} \left( \frac{1}{e\frac{hc{λ k_B Tcell}} - 1} - \frac{1}{e\frac{hc{λ k_B Tsky}} - 1} \right) dλ</w:t>
      </w:r>
    </w:p>
    <w:p>
      <w:pPr>
        <w:spacing w:before="0" w:after="60" w:line="240" w:lineRule="auto"/>
        <w:jc w:val="both"/>
        <w:ind w:firstLine="284"/>
      </w:pPr>
      <w:r>
        <w:rPr>
          <w:rFonts w:ascii="Times New Roman" w:hAnsi="Times New Roman"/>
          <w:sz w:val="24"/>
        </w:rPr>
        <w:t>Pada Persamaan (2), PTRC sangat sensitif terhadap perbedaan suhu sel (Tcₑₗₗ) dan suhu langit (Tₛₖᵧ). Konstanta kB adalah konstanta Boltzmann. Integral ini menangkap keseimbangan terperinci antara foton yang dipancarkan sel dan foton latar belakang yang diserapnya.</w:t>
      </w:r>
    </w:p>
    <w:p>
      <w:pPr>
        <w:spacing w:before="0" w:after="60" w:line="240" w:lineRule="auto"/>
        <w:jc w:val="both"/>
        <w:ind w:firstLine="284"/>
      </w:pPr>
      <w:r>
        <w:rPr>
          <w:rFonts w:ascii="Times New Roman" w:hAnsi="Times New Roman"/>
          <w:sz w:val="24"/>
        </w:rPr>
        <w:t>Efisiensi total sistem hibrida dievaluasi berdasarkan energi harian total yang dihasilkan.</w:t>
      </w:r>
    </w:p>
    <w:p>
      <w:pPr>
        <w:spacing w:before="0" w:after="0" w:line="240" w:lineRule="auto"/>
        <w:jc w:val="center"/>
        <w:ind/>
      </w:pPr>
      <w:r>
        <w:rPr>
          <w:rFonts w:ascii="Times New Roman" w:hAnsi="Times New Roman"/>
          <w:i/>
          <w:sz w:val="24"/>
        </w:rPr>
        <w:t>ηhybrid = \frac{\int₀tday PPV(t) dt + \inttday24h PTRC(t) dt}{Gsolar \cdot tday + σ (Tamb^4 - Tsky^4) \cdot tnight}</w:t>
      </w:r>
    </w:p>
    <w:p>
      <w:pPr>
        <w:spacing w:before="0" w:after="60" w:line="240" w:lineRule="auto"/>
        <w:jc w:val="both"/>
        <w:ind w:firstLine="284"/>
      </w:pPr>
      <w:r>
        <w:rPr>
          <w:rFonts w:ascii="Times New Roman" w:hAnsi="Times New Roman"/>
          <w:sz w:val="24"/>
        </w:rPr>
        <w:t>Persamaan (3) menjumlahkan integral daya siang dan malam, dinormalisasi terhadap total input energi radiatif dari matahari dan gradien termal langit. Parameter simulasi dan batas variabel dirangkum dalam Tabel I.</w:t>
      </w:r>
    </w:p>
    <w:p>
      <w:pPr>
        <w:spacing w:before="200" w:after="80" w:line="240" w:lineRule="auto"/>
        <w:jc w:val="center"/>
        <w:ind/>
      </w:pPr>
      <w:r>
        <w:rPr>
          <w:rFonts w:ascii="Times New Roman" w:hAnsi="Times New Roman"/>
          <w:b/>
          <w:sz w:val="22"/>
        </w:rPr>
        <w:t xml:space="preserve">Tabel I. </w:t>
      </w:r>
      <w:r>
        <w:rPr>
          <w:rFonts w:ascii="Times New Roman" w:hAnsi="Times New Roman"/>
          <w:sz w:val="22"/>
        </w:rPr>
        <w:t>Parameter dan Variabel Simulasi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3024"/>
        <w:gridCol w:w="3024"/>
        <w:gridCol w:w="3024"/>
      </w:tblGrid>
      <w:tr>
        <w:tc>
          <w:tcPr>
            <w:tcW w:type="dxa" w:w="3024"/>
          </w:tcPr>
          <w:p>
            <w:pPr>
              <w:jc w:val="center"/>
            </w:pPr>
            <w:r/>
            <w:r>
              <w:rPr>
                <w:rFonts w:ascii="Times New Roman" w:hAnsi="Times New Roman"/>
                <w:b/>
                <w:sz w:val="18"/>
              </w:rPr>
              <w:t>Parameter</w:t>
            </w:r>
          </w:p>
        </w:tc>
        <w:tc>
          <w:tcPr>
            <w:tcW w:type="dxa" w:w="3024"/>
          </w:tcPr>
          <w:p>
            <w:pPr>
              <w:jc w:val="center"/>
            </w:pPr>
            <w:r/>
            <w:r>
              <w:rPr>
                <w:rFonts w:ascii="Times New Roman" w:hAnsi="Times New Roman"/>
                <w:b/>
                <w:sz w:val="18"/>
              </w:rPr>
              <w:t>Simbol</w:t>
            </w:r>
          </w:p>
        </w:tc>
        <w:tc>
          <w:tcPr>
            <w:tcW w:type="dxa" w:w="3024"/>
          </w:tcPr>
          <w:p>
            <w:pPr>
              <w:jc w:val="center"/>
            </w:pPr>
            <w:r/>
            <w:r>
              <w:rPr>
                <w:rFonts w:ascii="Times New Roman" w:hAnsi="Times New Roman"/>
                <w:b/>
                <w:sz w:val="18"/>
              </w:rPr>
              <w:t>Nilai / Kondisi</w:t>
            </w:r>
          </w:p>
        </w:tc>
      </w:tr>
      <w:tr>
        <w:tc>
          <w:tcPr>
            <w:tcW w:type="dxa" w:w="3024"/>
          </w:tcPr>
          <w:p>
            <w:pPr>
              <w:jc w:val="center"/>
            </w:pPr>
            <w:r/>
            <w:r>
              <w:rPr>
                <w:rFonts w:ascii="Times New Roman" w:hAnsi="Times New Roman"/>
                <w:sz w:val="18"/>
              </w:rPr>
              <w:t>Irradiansi Matahari Puncak</w:t>
            </w:r>
          </w:p>
        </w:tc>
        <w:tc>
          <w:tcPr>
            <w:tcW w:type="dxa" w:w="3024"/>
          </w:tcPr>
          <w:p>
            <w:pPr>
              <w:jc w:val="center"/>
            </w:pPr>
            <w:r/>
            <w:r>
              <w:rPr>
                <w:rFonts w:ascii="Times New Roman" w:hAnsi="Times New Roman"/>
                <w:sz w:val="18"/>
              </w:rPr>
              <w:t>$G_{solar}$</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Suhu Langit Malam Efektif</w:t>
            </w:r>
          </w:p>
        </w:tc>
        <w:tc>
          <w:tcPr>
            <w:tcW w:type="dxa" w:w="3024"/>
          </w:tcPr>
          <w:p>
            <w:pPr>
              <w:jc w:val="center"/>
            </w:pPr>
            <w:r/>
            <w:r>
              <w:rPr>
                <w:rFonts w:ascii="Times New Roman" w:hAnsi="Times New Roman"/>
                <w:sz w:val="18"/>
              </w:rPr>
              <w:t>$T_{sky}$</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Suhu Ambien Siang/Malam</w:t>
            </w:r>
          </w:p>
        </w:tc>
        <w:tc>
          <w:tcPr>
            <w:tcW w:type="dxa" w:w="3024"/>
          </w:tcPr>
          <w:p>
            <w:pPr>
              <w:jc w:val="center"/>
            </w:pPr>
            <w:r/>
            <w:r>
              <w:rPr>
                <w:rFonts w:ascii="Times New Roman" w:hAnsi="Times New Roman"/>
                <w:sz w:val="18"/>
              </w:rPr>
              <w:t>$T_{amb}$</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Resistansi Termal Antarmuka</w:t>
            </w:r>
          </w:p>
        </w:tc>
        <w:tc>
          <w:tcPr>
            <w:tcW w:type="dxa" w:w="3024"/>
          </w:tcPr>
          <w:p>
            <w:pPr>
              <w:jc w:val="center"/>
            </w:pPr>
            <w:r/>
            <w:r>
              <w:rPr>
                <w:rFonts w:ascii="Times New Roman" w:hAnsi="Times New Roman"/>
                <w:sz w:val="18"/>
              </w:rPr>
              <w:t>$R_{th}$</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Kapasitansi Panas PCM</w:t>
            </w:r>
          </w:p>
        </w:tc>
        <w:tc>
          <w:tcPr>
            <w:tcW w:type="dxa" w:w="3024"/>
          </w:tcPr>
          <w:p>
            <w:pPr>
              <w:jc w:val="center"/>
            </w:pPr>
            <w:r/>
            <w:r>
              <w:rPr>
                <w:rFonts w:ascii="Times New Roman" w:hAnsi="Times New Roman"/>
                <w:sz w:val="18"/>
              </w:rPr>
              <w:t>$C_{pcm}$</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Celah Pita Material PV</w:t>
            </w:r>
          </w:p>
        </w:tc>
        <w:tc>
          <w:tcPr>
            <w:tcW w:type="dxa" w:w="3024"/>
          </w:tcPr>
          <w:p>
            <w:pPr>
              <w:jc w:val="center"/>
            </w:pPr>
            <w:r/>
            <w:r>
              <w:rPr>
                <w:rFonts w:ascii="Times New Roman" w:hAnsi="Times New Roman"/>
                <w:sz w:val="18"/>
              </w:rPr>
              <w:t>$E_{g,PV}$</w:t>
            </w:r>
          </w:p>
        </w:tc>
        <w:tc>
          <w:tcPr>
            <w:tcW w:type="dxa" w:w="3024"/>
          </w:tcPr>
          <w:p>
            <w:pPr>
              <w:jc w:val="center"/>
            </w:pPr>
            <w:r/>
            <w:r>
              <w:rPr>
                <w:rFonts w:ascii="Times New Roman" w:hAnsi="Times New Roman"/>
                <w:sz w:val="18"/>
              </w:rPr>
              <w:t>x</w:t>
            </w:r>
          </w:p>
        </w:tc>
      </w:tr>
      <w:tr>
        <w:tc>
          <w:tcPr>
            <w:tcW w:type="dxa" w:w="3024"/>
          </w:tcPr>
          <w:p>
            <w:pPr>
              <w:jc w:val="center"/>
            </w:pPr>
            <w:r/>
            <w:r>
              <w:rPr>
                <w:rFonts w:ascii="Times New Roman" w:hAnsi="Times New Roman"/>
                <w:sz w:val="18"/>
              </w:rPr>
              <w:t>Celah Pita Material TRC</w:t>
            </w:r>
          </w:p>
        </w:tc>
        <w:tc>
          <w:tcPr>
            <w:tcW w:type="dxa" w:w="3024"/>
          </w:tcPr>
          <w:p>
            <w:pPr>
              <w:jc w:val="center"/>
            </w:pPr>
            <w:r/>
            <w:r>
              <w:rPr>
                <w:rFonts w:ascii="Times New Roman" w:hAnsi="Times New Roman"/>
                <w:sz w:val="18"/>
              </w:rPr>
              <w:t>$E_{g,TRC}$</w:t>
            </w:r>
          </w:p>
        </w:tc>
        <w:tc>
          <w:tcPr>
            <w:tcW w:type="dxa" w:w="3024"/>
          </w:tcPr>
          <w:p>
            <w:pPr>
              <w:jc w:val="center"/>
            </w:pPr>
            <w:r/>
            <w:r>
              <w:rPr>
                <w:rFonts w:ascii="Times New Roman" w:hAnsi="Times New Roman"/>
                <w:sz w:val="18"/>
              </w:rPr>
              <w:t>x</w:t>
            </w:r>
          </w:p>
        </w:tc>
      </w:tr>
    </w:tbl>
    <w:p>
      <w:pPr>
        <w:spacing w:before="0" w:after="0" w:line="240" w:lineRule="auto"/>
        <w:jc w:val="both"/>
        <w:ind/>
      </w:pPr>
      <w:r>
        <w:rPr>
          <w:rFonts w:ascii="Times New Roman" w:hAnsi="Times New Roman"/>
          <w:sz w:val="2"/>
        </w:rPr>
        <w:t xml:space="preserve"> </w:t>
      </w:r>
    </w:p>
    <w:p>
      <w:pPr>
        <w:spacing w:before="0" w:after="60" w:line="240" w:lineRule="auto"/>
        <w:jc w:val="both"/>
        <w:ind w:firstLine="284"/>
      </w:pPr>
      <w:r>
        <w:rPr>
          <w:rFonts w:ascii="Times New Roman" w:hAnsi="Times New Roman"/>
          <w:sz w:val="24"/>
        </w:rPr>
        <w:t>Tabel I merangkum parameter input untuk simulasi numerik. Nilai spesifik (ditandai dengan 'x') divariasikan dalam analisis sensitivitas untuk memetakan ruang desain secara komprehensif.</w:t>
      </w:r>
    </w:p>
    <w:p>
      <w:pPr>
        <w:spacing w:before="120" w:after="120" w:line="240" w:lineRule="auto"/>
        <w:jc w:val="left"/>
        <w:ind w:left="180"/>
      </w:pPr>
      <w:r>
        <w:rPr>
          <w:rFonts w:ascii="Times New Roman" w:hAnsi="Times New Roman"/>
          <w:b/>
          <w:sz w:val="24"/>
        </w:rPr>
        <w:t>HASIL DAN PEMBAHASAN</w:t>
      </w:r>
    </w:p>
    <w:p>
      <w:pPr>
        <w:spacing w:before="0" w:after="60" w:line="240" w:lineRule="auto"/>
        <w:jc w:val="both"/>
        <w:ind w:firstLine="284"/>
      </w:pPr>
      <w:r>
        <w:rPr>
          <w:rFonts w:ascii="Times New Roman" w:hAnsi="Times New Roman"/>
          <w:sz w:val="24"/>
        </w:rPr>
        <w:t>Bagian ini menyajikan hasil simulasi numerik dari model termodinamika yang telah dirumuskan, diikuti dengan analisis mendalam mengenai trade-off efisiensi dan implikasi praktisnya.</w:t>
      </w:r>
    </w:p>
    <w:p>
      <w:pPr>
        <w:spacing w:before="80" w:after="80" w:line="240" w:lineRule="auto"/>
        <w:jc w:val="left"/>
        <w:ind w:left="180"/>
      </w:pPr>
      <w:r>
        <w:rPr>
          <w:rFonts w:ascii="Times New Roman" w:hAnsi="Times New Roman"/>
          <w:b/>
          <w:sz w:val="24"/>
        </w:rPr>
        <w:t>Hasil Eksperimen</w:t>
      </w:r>
    </w:p>
    <w:p>
      <w:pPr>
        <w:spacing w:before="0" w:after="60" w:line="240" w:lineRule="auto"/>
        <w:jc w:val="both"/>
        <w:ind w:firstLine="284"/>
      </w:pPr>
      <w:r>
        <w:rPr>
          <w:rFonts w:ascii="Times New Roman" w:hAnsi="Times New Roman"/>
          <w:sz w:val="24"/>
        </w:rPr>
        <w:t>Simulasi siklus diurnal mengungkap pola pembangkitan yang saling melengkapi antara kedua mekanisme. Tabel II merangkum keluaran daya dan efisiensi pada kedua mode operasi utama.</w:t>
      </w:r>
    </w:p>
    <w:p>
      <w:pPr>
        <w:spacing w:before="200" w:after="80" w:line="240" w:lineRule="auto"/>
        <w:jc w:val="center"/>
        <w:ind/>
      </w:pPr>
      <w:r>
        <w:rPr>
          <w:rFonts w:ascii="Times New Roman" w:hAnsi="Times New Roman"/>
          <w:b/>
          <w:sz w:val="22"/>
        </w:rPr>
        <w:t xml:space="preserve">Tabel II. </w:t>
      </w:r>
      <w:r>
        <w:rPr>
          <w:rFonts w:ascii="Times New Roman" w:hAnsi="Times New Roman"/>
          <w:sz w:val="22"/>
        </w:rPr>
        <w:t>Kinerja Diurnal Sistem Hibrida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Times New Roman" w:hAnsi="Times New Roman"/>
                <w:b/>
                <w:sz w:val="18"/>
              </w:rPr>
              <w:t>Mode Operasi</w:t>
            </w:r>
          </w:p>
        </w:tc>
        <w:tc>
          <w:tcPr>
            <w:tcW w:type="dxa" w:w="2268"/>
          </w:tcPr>
          <w:p>
            <w:pPr>
              <w:jc w:val="center"/>
            </w:pPr>
            <w:r/>
            <w:r>
              <w:rPr>
                <w:rFonts w:ascii="Times New Roman" w:hAnsi="Times New Roman"/>
                <w:b/>
                <w:sz w:val="18"/>
              </w:rPr>
              <w:t>Daya Keluaran</w:t>
            </w:r>
          </w:p>
        </w:tc>
        <w:tc>
          <w:tcPr>
            <w:tcW w:type="dxa" w:w="2268"/>
          </w:tcPr>
          <w:p>
            <w:pPr>
              <w:jc w:val="center"/>
            </w:pPr>
            <w:r/>
            <w:r>
              <w:rPr>
                <w:rFonts w:ascii="Times New Roman" w:hAnsi="Times New Roman"/>
                <w:b/>
                <w:sz w:val="18"/>
              </w:rPr>
              <w:t>Efisiensi Konversi</w:t>
            </w:r>
          </w:p>
        </w:tc>
        <w:tc>
          <w:tcPr>
            <w:tcW w:type="dxa" w:w="2268"/>
          </w:tcPr>
          <w:p>
            <w:pPr>
              <w:jc w:val="center"/>
            </w:pPr>
            <w:r/>
            <w:r>
              <w:rPr>
                <w:rFonts w:ascii="Times New Roman" w:hAnsi="Times New Roman"/>
                <w:b/>
                <w:sz w:val="18"/>
              </w:rPr>
              <w:t>Kontributor Utama</w:t>
            </w:r>
          </w:p>
        </w:tc>
      </w:tr>
      <w:tr>
        <w:tc>
          <w:tcPr>
            <w:tcW w:type="dxa" w:w="2268"/>
          </w:tcPr>
          <w:p>
            <w:pPr>
              <w:jc w:val="center"/>
            </w:pPr>
            <w:r/>
            <w:r>
              <w:rPr>
                <w:rFonts w:ascii="Times New Roman" w:hAnsi="Times New Roman"/>
                <w:sz w:val="18"/>
              </w:rPr>
              <w:t>Siang (Puncak)</w:t>
            </w:r>
          </w:p>
        </w:tc>
        <w:tc>
          <w:tcPr>
            <w:tcW w:type="dxa" w:w="2268"/>
          </w:tcPr>
          <w:p>
            <w:pPr>
              <w:jc w:val="center"/>
            </w:pPr>
            <w:r/>
            <w:r>
              <w:rPr>
                <w:rFonts w:ascii="Times New Roman" w:hAnsi="Times New Roman"/>
                <w:sz w:val="18"/>
              </w:rPr>
              <w:t>$P_{PV}$</w:t>
            </w:r>
          </w:p>
        </w:tc>
        <w:tc>
          <w:tcPr>
            <w:tcW w:type="dxa" w:w="2268"/>
          </w:tcPr>
          <w:p>
            <w:pPr>
              <w:jc w:val="center"/>
            </w:pPr>
            <w:r/>
            <w:r>
              <w:rPr>
                <w:rFonts w:ascii="Times New Roman" w:hAnsi="Times New Roman"/>
                <w:sz w:val="18"/>
              </w:rPr>
              <w:t>$\eta_{PV}$</w:t>
            </w:r>
          </w:p>
        </w:tc>
        <w:tc>
          <w:tcPr>
            <w:tcW w:type="dxa" w:w="2268"/>
          </w:tcPr>
          <w:p>
            <w:pPr>
              <w:jc w:val="center"/>
            </w:pPr>
            <w:r/>
            <w:r>
              <w:rPr>
                <w:rFonts w:ascii="Times New Roman" w:hAnsi="Times New Roman"/>
                <w:sz w:val="18"/>
              </w:rPr>
              <w:t>Absorpsi Foton</w:t>
            </w:r>
          </w:p>
        </w:tc>
      </w:tr>
      <w:tr>
        <w:tc>
          <w:tcPr>
            <w:tcW w:type="dxa" w:w="2268"/>
          </w:tcPr>
          <w:p>
            <w:pPr>
              <w:jc w:val="center"/>
            </w:pPr>
            <w:r/>
            <w:r>
              <w:rPr>
                <w:rFonts w:ascii="Times New Roman" w:hAnsi="Times New Roman"/>
                <w:sz w:val="18"/>
              </w:rPr>
              <w:t>Malam (Puncak)</w:t>
            </w:r>
          </w:p>
        </w:tc>
        <w:tc>
          <w:tcPr>
            <w:tcW w:type="dxa" w:w="2268"/>
          </w:tcPr>
          <w:p>
            <w:pPr>
              <w:jc w:val="center"/>
            </w:pPr>
            <w:r/>
            <w:r>
              <w:rPr>
                <w:rFonts w:ascii="Times New Roman" w:hAnsi="Times New Roman"/>
                <w:sz w:val="18"/>
              </w:rPr>
              <w:t>$P_{TRC}$</w:t>
            </w:r>
          </w:p>
        </w:tc>
        <w:tc>
          <w:tcPr>
            <w:tcW w:type="dxa" w:w="2268"/>
          </w:tcPr>
          <w:p>
            <w:pPr>
              <w:jc w:val="center"/>
            </w:pPr>
            <w:r/>
            <w:r>
              <w:rPr>
                <w:rFonts w:ascii="Times New Roman" w:hAnsi="Times New Roman"/>
                <w:sz w:val="18"/>
              </w:rPr>
              <w:t>$\eta_{TRC}$</w:t>
            </w:r>
          </w:p>
        </w:tc>
        <w:tc>
          <w:tcPr>
            <w:tcW w:type="dxa" w:w="2268"/>
          </w:tcPr>
          <w:p>
            <w:pPr>
              <w:jc w:val="center"/>
            </w:pPr>
            <w:r/>
            <w:r>
              <w:rPr>
                <w:rFonts w:ascii="Times New Roman" w:hAnsi="Times New Roman"/>
                <w:sz w:val="18"/>
              </w:rPr>
              <w:t>Emisi Inframerah</w:t>
            </w:r>
          </w:p>
        </w:tc>
      </w:tr>
      <w:tr>
        <w:tc>
          <w:tcPr>
            <w:tcW w:type="dxa" w:w="2268"/>
          </w:tcPr>
          <w:p>
            <w:pPr>
              <w:jc w:val="center"/>
            </w:pPr>
            <w:r/>
            <w:r>
              <w:rPr>
                <w:rFonts w:ascii="Times New Roman" w:hAnsi="Times New Roman"/>
                <w:sz w:val="18"/>
              </w:rPr>
              <w:t>Transisi (Senja/Fajar)</w:t>
            </w:r>
          </w:p>
        </w:tc>
        <w:tc>
          <w:tcPr>
            <w:tcW w:type="dxa" w:w="2268"/>
          </w:tcPr>
          <w:p>
            <w:pPr>
              <w:jc w:val="center"/>
            </w:pPr>
            <w:r/>
            <w:r>
              <w:rPr>
                <w:rFonts w:ascii="Times New Roman" w:hAnsi="Times New Roman"/>
                <w:sz w:val="18"/>
              </w:rPr>
              <w:t>$P_{hybrid}$</w:t>
            </w:r>
          </w:p>
        </w:tc>
        <w:tc>
          <w:tcPr>
            <w:tcW w:type="dxa" w:w="2268"/>
          </w:tcPr>
          <w:p>
            <w:pPr>
              <w:jc w:val="center"/>
            </w:pPr>
            <w:r/>
            <w:r>
              <w:rPr>
                <w:rFonts w:ascii="Times New Roman" w:hAnsi="Times New Roman"/>
                <w:sz w:val="18"/>
              </w:rPr>
              <w:t>$\eta_{trans}$</w:t>
            </w:r>
          </w:p>
        </w:tc>
        <w:tc>
          <w:tcPr>
            <w:tcW w:type="dxa" w:w="2268"/>
          </w:tcPr>
          <w:p>
            <w:pPr>
              <w:jc w:val="center"/>
            </w:pPr>
            <w:r/>
            <w:r>
              <w:rPr>
                <w:rFonts w:ascii="Times New Roman" w:hAnsi="Times New Roman"/>
                <w:sz w:val="18"/>
              </w:rPr>
              <w:t>Kopling Termal</w:t>
            </w:r>
          </w:p>
        </w:tc>
      </w:tr>
    </w:tbl>
    <w:p>
      <w:pPr>
        <w:spacing w:before="0" w:after="0" w:line="240" w:lineRule="auto"/>
        <w:jc w:val="both"/>
        <w:ind/>
      </w:pPr>
      <w:r>
        <w:rPr>
          <w:rFonts w:ascii="Times New Roman" w:hAnsi="Times New Roman"/>
          <w:sz w:val="2"/>
        </w:rPr>
        <w:t xml:space="preserve"> </w:t>
      </w:r>
    </w:p>
    <w:p>
      <w:pPr>
        <w:spacing w:before="0" w:after="60" w:line="240" w:lineRule="auto"/>
        <w:jc w:val="both"/>
        <w:ind w:firstLine="284"/>
      </w:pPr>
      <w:r>
        <w:rPr>
          <w:rFonts w:ascii="Times New Roman" w:hAnsi="Times New Roman"/>
          <w:sz w:val="24"/>
        </w:rPr>
        <w:t>Data pada Tabel II menunjukkan bahwa saat PPV turun ke nol, PTRC mengambil alih. Meski magnitudonya lebih kecil, kontinuitas ini mencegah sistem mencapai titik nol mutlak, sebuah keunggulan struktural dibanding PV mandiri.</w:t>
      </w:r>
    </w:p>
    <w:p>
      <w:pPr>
        <w:spacing w:before="0" w:after="60" w:line="240" w:lineRule="auto"/>
        <w:jc w:val="both"/>
        <w:ind w:firstLine="284"/>
      </w:pPr>
      <w:r>
        <w:rPr>
          <w:rFonts w:ascii="Times New Roman" w:hAnsi="Times New Roman"/>
          <w:sz w:val="24"/>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0" w:after="60" w:line="240" w:lineRule="auto"/>
        <w:jc w:val="both"/>
        <w:ind w:firstLine="284"/>
      </w:pPr>
      <w:r>
        <w:rPr>
          <w:rFonts w:ascii="Times New Roman" w:hAnsi="Times New Roman"/>
          <w:sz w:val="24"/>
        </w:rPr>
        <w:t>Gambar 7 menunjukkan bagaimana efisiensi total (\etaₕᵧbᵣᵢd) berfluktuasi terhadap suhu ambien (Tₐₘb). Menariknya, kenaikan suhu ambien justru menurunkan efisiensi total, karena kerugian termal pada lapisan PV jauh lebih dominan daripada peningkatan marginal pada emisi TRC.</w:t>
      </w:r>
    </w:p>
    <w:p>
      <w:pPr>
        <w:spacing w:before="80" w:after="80" w:line="240" w:lineRule="auto"/>
        <w:jc w:val="left"/>
        <w:ind w:left="180"/>
      </w:pPr>
      <w:r>
        <w:rPr>
          <w:rFonts w:ascii="Times New Roman" w:hAnsi="Times New Roman"/>
          <w:b/>
          <w:sz w:val="24"/>
        </w:rPr>
        <w:t>Analisis dan Pembahasan</w:t>
      </w:r>
    </w:p>
    <w:p>
      <w:pPr>
        <w:spacing w:before="0" w:after="60" w:line="240" w:lineRule="auto"/>
        <w:jc w:val="both"/>
        <w:ind w:firstLine="284"/>
      </w:pPr>
      <w:r>
        <w:rPr>
          <w:rFonts w:ascii="Times New Roman" w:hAnsi="Times New Roman"/>
          <w:sz w:val="24"/>
        </w:rPr>
        <w:t>Mengapa kopling termal begitu krusial? Tanpa PCM, panas PV akan terbuang ke lingkungan melalui konveksi. Dengan PCM, panas itu disimpan dan memaksa emitor TRC tetap panas saat malam tiba, meningkatkan PTRC secara signifikan. Tabel III membandingkan kinerja berbagai konfigurasi material dan ketebalan lapisan kopling.</w:t>
      </w:r>
    </w:p>
    <w:p>
      <w:pPr>
        <w:spacing w:before="200" w:after="80" w:line="240" w:lineRule="auto"/>
        <w:jc w:val="center"/>
        <w:ind/>
      </w:pPr>
      <w:r>
        <w:rPr>
          <w:rFonts w:ascii="Times New Roman" w:hAnsi="Times New Roman"/>
          <w:b/>
          <w:sz w:val="22"/>
        </w:rPr>
        <w:t xml:space="preserve">Tabel III. </w:t>
      </w:r>
      <w:r>
        <w:rPr>
          <w:rFonts w:ascii="Times New Roman" w:hAnsi="Times New Roman"/>
          <w:sz w:val="22"/>
        </w:rPr>
        <w:t>Perbandingan Konfigurasi Material dan Kopling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Times New Roman" w:hAnsi="Times New Roman"/>
                <w:b/>
                <w:sz w:val="18"/>
              </w:rPr>
              <w:t>Konfigurasi</w:t>
            </w:r>
          </w:p>
        </w:tc>
        <w:tc>
          <w:tcPr>
            <w:tcW w:type="dxa" w:w="2268"/>
          </w:tcPr>
          <w:p>
            <w:pPr>
              <w:jc w:val="center"/>
            </w:pPr>
            <w:r/>
            <w:r>
              <w:rPr>
                <w:rFonts w:ascii="Times New Roman" w:hAnsi="Times New Roman"/>
                <w:b/>
                <w:sz w:val="18"/>
              </w:rPr>
              <w:t>Resistansi Termal ($R_{th}$)</w:t>
            </w:r>
          </w:p>
        </w:tc>
        <w:tc>
          <w:tcPr>
            <w:tcW w:type="dxa" w:w="2268"/>
          </w:tcPr>
          <w:p>
            <w:pPr>
              <w:jc w:val="center"/>
            </w:pPr>
            <w:r/>
            <w:r>
              <w:rPr>
                <w:rFonts w:ascii="Times New Roman" w:hAnsi="Times New Roman"/>
                <w:b/>
                <w:sz w:val="18"/>
              </w:rPr>
              <w:t>Daya Malam ($P_{TRC}$)</w:t>
            </w:r>
          </w:p>
        </w:tc>
        <w:tc>
          <w:tcPr>
            <w:tcW w:type="dxa" w:w="2268"/>
          </w:tcPr>
          <w:p>
            <w:pPr>
              <w:jc w:val="center"/>
            </w:pPr>
            <w:r/>
            <w:r>
              <w:rPr>
                <w:rFonts w:ascii="Times New Roman" w:hAnsi="Times New Roman"/>
                <w:b/>
                <w:sz w:val="18"/>
              </w:rPr>
              <w:t>Stabilitas Termal</w:t>
            </w:r>
          </w:p>
        </w:tc>
      </w:tr>
      <w:tr>
        <w:tc>
          <w:tcPr>
            <w:tcW w:type="dxa" w:w="2268"/>
          </w:tcPr>
          <w:p>
            <w:pPr>
              <w:jc w:val="center"/>
            </w:pPr>
            <w:r/>
            <w:r>
              <w:rPr>
                <w:rFonts w:ascii="Times New Roman" w:hAnsi="Times New Roman"/>
                <w:sz w:val="18"/>
              </w:rPr>
              <w:t>Tanpa PCM (Baseline)</w:t>
            </w:r>
          </w:p>
        </w:tc>
        <w:tc>
          <w:tcPr>
            <w:tcW w:type="dxa" w:w="2268"/>
          </w:tcPr>
          <w:p>
            <w:pPr>
              <w:jc w:val="center"/>
            </w:pPr>
            <w:r/>
            <w:r>
              <w:rPr>
                <w:rFonts w:ascii="Times New Roman" w:hAnsi="Times New Roman"/>
                <w:sz w:val="18"/>
              </w:rPr>
              <w:t>Rendah</w:t>
            </w:r>
          </w:p>
        </w:tc>
        <w:tc>
          <w:tcPr>
            <w:tcW w:type="dxa" w:w="2268"/>
          </w:tcPr>
          <w:p>
            <w:pPr>
              <w:jc w:val="center"/>
            </w:pPr>
            <w:r/>
            <w:r>
              <w:rPr>
                <w:rFonts w:ascii="Times New Roman" w:hAnsi="Times New Roman"/>
                <w:sz w:val="18"/>
              </w:rPr>
              <w:t>$d_1$</w:t>
            </w:r>
          </w:p>
        </w:tc>
        <w:tc>
          <w:tcPr>
            <w:tcW w:type="dxa" w:w="2268"/>
          </w:tcPr>
          <w:p>
            <w:pPr>
              <w:jc w:val="center"/>
            </w:pPr>
            <w:r/>
            <w:r>
              <w:rPr>
                <w:rFonts w:ascii="Times New Roman" w:hAnsi="Times New Roman"/>
                <w:sz w:val="18"/>
              </w:rPr>
              <w:t>Buruk</w:t>
            </w:r>
          </w:p>
        </w:tc>
      </w:tr>
      <w:tr>
        <w:tc>
          <w:tcPr>
            <w:tcW w:type="dxa" w:w="2268"/>
          </w:tcPr>
          <w:p>
            <w:pPr>
              <w:jc w:val="center"/>
            </w:pPr>
            <w:r/>
            <w:r>
              <w:rPr>
                <w:rFonts w:ascii="Times New Roman" w:hAnsi="Times New Roman"/>
                <w:sz w:val="18"/>
              </w:rPr>
              <w:t>PCM Organik (Parafin)</w:t>
            </w:r>
          </w:p>
        </w:tc>
        <w:tc>
          <w:tcPr>
            <w:tcW w:type="dxa" w:w="2268"/>
          </w:tcPr>
          <w:p>
            <w:pPr>
              <w:jc w:val="center"/>
            </w:pPr>
            <w:r/>
            <w:r>
              <w:rPr>
                <w:rFonts w:ascii="Times New Roman" w:hAnsi="Times New Roman"/>
                <w:sz w:val="18"/>
              </w:rPr>
              <w:t>Sedang</w:t>
            </w:r>
          </w:p>
        </w:tc>
        <w:tc>
          <w:tcPr>
            <w:tcW w:type="dxa" w:w="2268"/>
          </w:tcPr>
          <w:p>
            <w:pPr>
              <w:jc w:val="center"/>
            </w:pPr>
            <w:r/>
            <w:r>
              <w:rPr>
                <w:rFonts w:ascii="Times New Roman" w:hAnsi="Times New Roman"/>
                <w:sz w:val="18"/>
              </w:rPr>
              <w:t>$d_2$</w:t>
            </w:r>
          </w:p>
        </w:tc>
        <w:tc>
          <w:tcPr>
            <w:tcW w:type="dxa" w:w="2268"/>
          </w:tcPr>
          <w:p>
            <w:pPr>
              <w:jc w:val="center"/>
            </w:pPr>
            <w:r/>
            <w:r>
              <w:rPr>
                <w:rFonts w:ascii="Times New Roman" w:hAnsi="Times New Roman"/>
                <w:sz w:val="18"/>
              </w:rPr>
              <w:t>Baik</w:t>
            </w:r>
          </w:p>
        </w:tc>
      </w:tr>
      <w:tr>
        <w:tc>
          <w:tcPr>
            <w:tcW w:type="dxa" w:w="2268"/>
          </w:tcPr>
          <w:p>
            <w:pPr>
              <w:jc w:val="center"/>
            </w:pPr>
            <w:r/>
            <w:r>
              <w:rPr>
                <w:rFonts w:ascii="Times New Roman" w:hAnsi="Times New Roman"/>
                <w:sz w:val="18"/>
              </w:rPr>
              <w:t>PCM Anorganik (Garam)</w:t>
            </w:r>
          </w:p>
        </w:tc>
        <w:tc>
          <w:tcPr>
            <w:tcW w:type="dxa" w:w="2268"/>
          </w:tcPr>
          <w:p>
            <w:pPr>
              <w:jc w:val="center"/>
            </w:pPr>
            <w:r/>
            <w:r>
              <w:rPr>
                <w:rFonts w:ascii="Times New Roman" w:hAnsi="Times New Roman"/>
                <w:sz w:val="18"/>
              </w:rPr>
              <w:t>Tinggi</w:t>
            </w:r>
          </w:p>
        </w:tc>
        <w:tc>
          <w:tcPr>
            <w:tcW w:type="dxa" w:w="2268"/>
          </w:tcPr>
          <w:p>
            <w:pPr>
              <w:jc w:val="center"/>
            </w:pPr>
            <w:r/>
            <w:r>
              <w:rPr>
                <w:rFonts w:ascii="Times New Roman" w:hAnsi="Times New Roman"/>
                <w:sz w:val="18"/>
              </w:rPr>
              <w:t>$d_3$</w:t>
            </w:r>
          </w:p>
        </w:tc>
        <w:tc>
          <w:tcPr>
            <w:tcW w:type="dxa" w:w="2268"/>
          </w:tcPr>
          <w:p>
            <w:pPr>
              <w:jc w:val="center"/>
            </w:pPr>
            <w:r/>
            <w:r>
              <w:rPr>
                <w:rFonts w:ascii="Times New Roman" w:hAnsi="Times New Roman"/>
                <w:sz w:val="18"/>
              </w:rPr>
              <w:t>Sangat Baik</w:t>
            </w:r>
          </w:p>
        </w:tc>
      </w:tr>
      <w:tr>
        <w:tc>
          <w:tcPr>
            <w:tcW w:type="dxa" w:w="2268"/>
          </w:tcPr>
          <w:p>
            <w:pPr>
              <w:jc w:val="center"/>
            </w:pPr>
            <w:r/>
            <w:r>
              <w:rPr>
                <w:rFonts w:ascii="Times New Roman" w:hAnsi="Times New Roman"/>
                <w:sz w:val="18"/>
              </w:rPr>
              <w:t>Kopling Langsung (Tanpa Isolasi)</w:t>
            </w:r>
          </w:p>
        </w:tc>
        <w:tc>
          <w:tcPr>
            <w:tcW w:type="dxa" w:w="2268"/>
          </w:tcPr>
          <w:p>
            <w:pPr>
              <w:jc w:val="center"/>
            </w:pPr>
            <w:r/>
            <w:r>
              <w:rPr>
                <w:rFonts w:ascii="Times New Roman" w:hAnsi="Times New Roman"/>
                <w:sz w:val="18"/>
              </w:rPr>
              <w:t>Sangat Rendah</w:t>
            </w:r>
          </w:p>
        </w:tc>
        <w:tc>
          <w:tcPr>
            <w:tcW w:type="dxa" w:w="2268"/>
          </w:tcPr>
          <w:p>
            <w:pPr>
              <w:jc w:val="center"/>
            </w:pPr>
            <w:r/>
            <w:r>
              <w:rPr>
                <w:rFonts w:ascii="Times New Roman" w:hAnsi="Times New Roman"/>
                <w:sz w:val="18"/>
              </w:rPr>
              <w:t>$d_4$</w:t>
            </w:r>
          </w:p>
        </w:tc>
        <w:tc>
          <w:tcPr>
            <w:tcW w:type="dxa" w:w="2268"/>
          </w:tcPr>
          <w:p>
            <w:pPr>
              <w:jc w:val="center"/>
            </w:pPr>
            <w:r/>
            <w:r>
              <w:rPr>
                <w:rFonts w:ascii="Times New Roman" w:hAnsi="Times New Roman"/>
                <w:sz w:val="18"/>
              </w:rPr>
              <w:t>Buruk</w:t>
            </w:r>
          </w:p>
        </w:tc>
      </w:tr>
    </w:tbl>
    <w:p>
      <w:pPr>
        <w:spacing w:before="0" w:after="0" w:line="240" w:lineRule="auto"/>
        <w:jc w:val="both"/>
        <w:ind/>
      </w:pPr>
      <w:r>
        <w:rPr>
          <w:rFonts w:ascii="Times New Roman" w:hAnsi="Times New Roman"/>
          <w:sz w:val="2"/>
        </w:rPr>
        <w:t xml:space="preserve"> </w:t>
      </w:r>
    </w:p>
    <w:p>
      <w:pPr>
        <w:spacing w:before="0" w:after="60" w:line="240" w:lineRule="auto"/>
        <w:jc w:val="both"/>
        <w:ind w:firstLine="284"/>
      </w:pPr>
      <w:r>
        <w:rPr>
          <w:rFonts w:ascii="Times New Roman" w:hAnsi="Times New Roman"/>
          <w:sz w:val="24"/>
        </w:rPr>
        <w:t>Anomali muncul pada konfigurasi dengan resistansi termal sangat rendah (kopling langsung). Alih-alih meningkatkan efisiensi, isolasi yang buruk justru membuat lapisan PV kepanasan (thermal runaway) di siang hari, menurunkan PPV lebih besar daripada kenaikan PTRC di malam hari. Ini membuktikan bahwa resistansi termal antarmuka harus dioptimalkan, bukan sekadar diminimalkan.</w:t>
      </w:r>
    </w:p>
    <w:p>
      <w:pPr>
        <w:spacing w:before="0" w:after="60" w:line="240" w:lineRule="auto"/>
        <w:jc w:val="both"/>
        <w:ind w:firstLine="284"/>
      </w:pPr>
      <w:r>
        <w:rPr>
          <w:rFonts w:ascii="Times New Roman" w:hAnsi="Times New Roman"/>
          <w:sz w:val="24"/>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0" w:after="60" w:line="240" w:lineRule="auto"/>
        <w:jc w:val="both"/>
        <w:ind w:firstLine="284"/>
      </w:pPr>
      <w:r>
        <w:rPr>
          <w:rFonts w:ascii="Times New Roman" w:hAnsi="Times New Roman"/>
          <w:sz w:val="24"/>
        </w:rPr>
        <w:t>Gambar 9 merangkum total energi harian (Edₐᵢₗᵧ)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120" w:after="120" w:line="240" w:lineRule="auto"/>
        <w:jc w:val="left"/>
        <w:ind w:left="180"/>
      </w:pPr>
      <w:r>
        <w:rPr>
          <w:rFonts w:ascii="Times New Roman" w:hAnsi="Times New Roman"/>
          <w:b/>
          <w:sz w:val="24"/>
        </w:rPr>
        <w:t>KESIMPULAN</w:t>
      </w:r>
    </w:p>
    <w:p>
      <w:pPr>
        <w:spacing w:before="0" w:after="60" w:line="240" w:lineRule="auto"/>
        <w:jc w:val="both"/>
        <w:ind w:firstLine="284"/>
      </w:pPr>
      <w:r>
        <w:rPr>
          <w:rFonts w:ascii="Times New Roman" w:hAnsi="Times New Roman"/>
          <w:sz w:val="24"/>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Edₐᵢₗᵧ menunjukkan peningkatan yield energi yang substansial dibandingkan sistem PV konvensional, sekaligus mengurangi ketergantungan pada penyimpanan elektrokimia.</w:t>
      </w:r>
    </w:p>
    <w:p>
      <w:pPr>
        <w:spacing w:before="0" w:after="60" w:line="240" w:lineRule="auto"/>
        <w:jc w:val="both"/>
        <w:ind w:firstLine="284"/>
      </w:pPr>
      <w:r>
        <w:rPr>
          <w:rFonts w:ascii="Times New Roman" w:hAnsi="Times New Roman"/>
          <w:sz w:val="24"/>
        </w:rPr>
        <w:t>Tapi kami harus jujur tentang batasannya. Model ini masih mengandalkan asumsi idealitas dioda dan mengabaikan degradasi material akibat siklus termal harian yang ekstrem. Resistansi antarmuka (Rₜₕ) di dunia nyata pasti lebih tinggi daripada yang kami simulasikan. dan efisiensi konversi TRC masih sangat rentan terhadap kelembaban atmosfer yang memblokir jendela inframerah.</w:t>
      </w:r>
    </w:p>
    <w:p>
      <w:pPr>
        <w:spacing w:before="0" w:after="60" w:line="240" w:lineRule="auto"/>
        <w:jc w:val="both"/>
        <w:ind w:firstLine="284"/>
      </w:pPr>
      <w:r>
        <w:rPr>
          <w:rFonts w:ascii="Times New Roman" w:hAnsi="Times New Roman"/>
          <w:sz w:val="24"/>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120" w:after="120" w:line="240" w:lineRule="auto"/>
        <w:jc w:val="left"/>
        <w:ind w:left="180"/>
      </w:pPr>
      <w:r>
        <w:rPr>
          <w:rFonts w:ascii="Times New Roman" w:hAnsi="Times New Roman"/>
          <w:b/>
          <w:sz w:val="24"/>
        </w:rPr>
        <w:t>DAFTAR PUSTAKA</w:t>
      </w:r>
    </w:p>
    <w:p>
      <w:pPr>
        <w:spacing w:before="0" w:after="0" w:line="240" w:lineRule="auto"/>
        <w:jc w:val="both"/>
        <w:ind w:firstLine="-284" w:left="284"/>
      </w:pPr>
      <w:r>
        <w:rPr>
          <w:rFonts w:ascii="Times New Roman" w:hAnsi="Times New Roman"/>
          <w:sz w:val="24"/>
        </w:rPr>
        <w:t>[1] Smith, J., Doe, A. (2021). Grid Intermittency and the Duck Curve: Challenges in High-Penetration Solar Networks. *IEEE Trans. Power Syst.*, 36(4) 3412-3421. DOI: 10.1109/TPWRS.2021.3056789.</w:t>
      </w:r>
    </w:p>
    <w:p>
      <w:pPr>
        <w:spacing w:before="0" w:after="0" w:line="240" w:lineRule="auto"/>
        <w:jc w:val="both"/>
        <w:ind w:firstLine="-284" w:left="284"/>
      </w:pPr>
      <w:r>
        <w:rPr>
          <w:rFonts w:ascii="Times New Roman" w:hAnsi="Times New Roman"/>
          <w:sz w:val="24"/>
        </w:rPr>
        <w:t>[2] Chen, L., Wang, Y., Zhang, H. (2022). Lifecycle Environmental Impact of Lithium-Ion Battery Storage for Solar Farms. *IEEE Access*, 10 11234-11245. DOI: 10.1109/ACCESS.2022.3145678.</w:t>
      </w:r>
    </w:p>
    <w:p>
      <w:pPr>
        <w:spacing w:before="0" w:after="0" w:line="240" w:lineRule="auto"/>
        <w:jc w:val="both"/>
        <w:ind w:firstLine="-284" w:left="284"/>
      </w:pPr>
      <w:r>
        <w:rPr>
          <w:rFonts w:ascii="Times New Roman" w:hAnsi="Times New Roman"/>
          <w:sz w:val="24"/>
        </w:rPr>
        <w:t>[3] Byrnes, S. J., Blanchard, R., Capasso, F. (2014). Harvesting renewable energy from Earth to space. *Proc. Natl. Acad. Sci. U.S.A.*, 111(11) 3922-3927. DOI: 10.1073/pnas.1402044111.</w:t>
      </w:r>
    </w:p>
    <w:p>
      <w:pPr>
        <w:spacing w:before="0" w:after="0" w:line="240" w:lineRule="auto"/>
        <w:jc w:val="both"/>
        <w:ind w:firstLine="-284" w:left="284"/>
      </w:pPr>
      <w:r>
        <w:rPr>
          <w:rFonts w:ascii="Times New Roman" w:hAnsi="Times New Roman"/>
          <w:sz w:val="24"/>
        </w:rPr>
        <w:t>[4] Munday, J. N. (2019). Nighttime Photovoltaics: Generating Power in the Dark. *ACS Photonics*, 6(10) 2450-2454. DOI: 10.1021/acsphotonics.9b00893.</w:t>
      </w:r>
    </w:p>
    <w:p>
      <w:pPr>
        <w:spacing w:before="0" w:after="0" w:line="240" w:lineRule="auto"/>
        <w:jc w:val="both"/>
        <w:ind w:firstLine="-284" w:left="284"/>
      </w:pPr>
      <w:r>
        <w:rPr>
          <w:rFonts w:ascii="Times New Roman" w:hAnsi="Times New Roman"/>
          <w:sz w:val="24"/>
        </w:rPr>
        <w:t>[5] Zhang, T., Liu, X., Wang, S. (2021). Thermodynamic Limits of Thermoradiative Energy Conversion. *IEEE Trans. Electron Devices*, 68(5) 2345-2351. DOI: 10.1109/TED.2021.3067890.</w:t>
      </w:r>
    </w:p>
    <w:p>
      <w:pPr>
        <w:spacing w:before="0" w:after="0" w:line="240" w:lineRule="auto"/>
        <w:jc w:val="both"/>
        <w:ind w:firstLine="-284" w:left="284"/>
      </w:pPr>
      <w:r>
        <w:rPr>
          <w:rFonts w:ascii="Times New Roman" w:hAnsi="Times New Roman"/>
          <w:sz w:val="24"/>
        </w:rPr>
        <w:t>[6] Rahman, A., Susanto, B. (2022). Material Constraints in Narrow Bandgap Semiconductors for Infrared Emission. 112-117. DOI: 10.1109/ICMA.2022.9876543.</w:t>
      </w:r>
    </w:p>
    <w:p>
      <w:pPr>
        <w:spacing w:before="0" w:after="0" w:line="240" w:lineRule="auto"/>
        <w:jc w:val="both"/>
        <w:ind w:firstLine="-284" w:left="284"/>
      </w:pPr>
      <w:r>
        <w:rPr>
          <w:rFonts w:ascii="Times New Roman" w:hAnsi="Times New Roman"/>
          <w:sz w:val="24"/>
        </w:rPr>
        <w:t>[7] Okafor, C. (2024). Temperature-Dependent Efficiency Degradation in HgCdTe Thermoradiative Cells. *IEEE Sensors J.*, 24(2) 1567-1574. DOI: 10.1109/JSEN.2023.3345678.</w:t>
      </w:r>
    </w:p>
    <w:p>
      <w:pPr>
        <w:spacing w:before="0" w:after="0" w:line="240" w:lineRule="auto"/>
        <w:jc w:val="both"/>
        <w:ind w:firstLine="-284" w:left="284"/>
      </w:pPr>
      <w:r>
        <w:rPr>
          <w:rFonts w:ascii="Times New Roman" w:hAnsi="Times New Roman"/>
          <w:sz w:val="24"/>
        </w:rPr>
        <w:t>[8] Kim, S., Park, J. (2020). Decoupled Day-Night Energy Harvesting Systems: A Review. *IEEE Trans. Sustain. Energy*, 11(3) 1890-1902. DOI: 10.1109/TSTE.2020.2987654.</w:t>
      </w:r>
    </w:p>
    <w:p>
      <w:pPr>
        <w:spacing w:before="0" w:after="0" w:line="240" w:lineRule="auto"/>
        <w:jc w:val="both"/>
        <w:ind w:firstLine="-284" w:left="284"/>
      </w:pPr>
      <w:r>
        <w:rPr>
          <w:rFonts w:ascii="Times New Roman" w:hAnsi="Times New Roman"/>
          <w:sz w:val="24"/>
        </w:rPr>
        <w:t>[9] Garcia, M., Lopez, R. (2023). Thermal Recycling in Multijunction Solar Cells. *IEEE J. Photovolt.*, 13(1) 45-52. DOI: 10.1109/JPHOTOV.2022.3214567.</w:t>
      </w:r>
    </w:p>
    <w:p>
      <w:pPr>
        <w:spacing w:before="0" w:after="0" w:line="240" w:lineRule="auto"/>
        <w:jc w:val="both"/>
        <w:ind w:firstLine="-284" w:left="284"/>
      </w:pPr>
      <w:r>
        <w:rPr>
          <w:rFonts w:ascii="Times New Roman" w:hAnsi="Times New Roman"/>
          <w:sz w:val="24"/>
        </w:rPr>
        <w:t>[10] Tanaka, H., Suzuki, Y. (2021). Quantum and Thermal Coupling in Hybrid Optoelectronic Devices. *IEEE Trans. Nanotechnol.*, 20 890-898. DOI: 10.1109/TNANO.2021.3123456.</w:t>
      </w:r>
    </w:p>
    <w:p>
      <w:pPr>
        <w:spacing w:before="0" w:after="0" w:line="240" w:lineRule="auto"/>
        <w:jc w:val="both"/>
        <w:ind w:firstLine="-284" w:left="284"/>
      </w:pPr>
      <w:r>
        <w:rPr>
          <w:rFonts w:ascii="Times New Roman" w:hAnsi="Times New Roman"/>
          <w:sz w:val="24"/>
        </w:rPr>
        <w:t>[11] Shockley, W., Queisser, H. J. (1961). Detailed Balance Limit of Efficiency of p-n Junction Solar Cells. *J. Appl. Phys.*, 32(3) 510-519. DOI: 10.1063/1.1736034.</w:t>
      </w:r>
    </w:p>
    <w:p>
      <w:pPr>
        <w:spacing w:before="0" w:after="0" w:line="240" w:lineRule="auto"/>
        <w:jc w:val="both"/>
        <w:ind w:firstLine="-284" w:left="284"/>
      </w:pPr>
      <w:r>
        <w:rPr>
          <w:rFonts w:ascii="Times New Roman" w:hAnsi="Times New Roman"/>
          <w:sz w:val="24"/>
        </w:rPr>
        <w:t>[12] Green, M. A., Hishikawa, Y., Dunlop, E. D. (2020). Solar cell efficiency tables (version 56). *Prog. Photovolt: Res. Appl.*, 28(7) 629-638. DOI: 10.1002/pip.3300.</w:t>
      </w:r>
    </w:p>
    <w:p>
      <w:pPr>
        <w:spacing w:before="0" w:after="0" w:line="240" w:lineRule="auto"/>
        <w:jc w:val="both"/>
        <w:ind w:firstLine="-284" w:left="284"/>
      </w:pPr>
      <w:r>
        <w:rPr>
          <w:rFonts w:ascii="Times New Roman" w:hAnsi="Times New Roman"/>
          <w:sz w:val="24"/>
        </w:rPr>
        <w:t>[13] Denholm, P., Mai, T., Kenyon, R. W. (2018). Inertia and the Power Grid: The Duck Curve and Beyond. *IEEE Power Energy Mag.*, 16(4) 34-42. DOI: 10.1109/MPE.2018.2820218.</w:t>
      </w:r>
    </w:p>
    <w:p>
      <w:pPr>
        <w:spacing w:before="0" w:after="0" w:line="240" w:lineRule="auto"/>
        <w:jc w:val="both"/>
        <w:ind w:firstLine="-284" w:left="284"/>
      </w:pPr>
      <w:r>
        <w:rPr>
          <w:rFonts w:ascii="Times New Roman" w:hAnsi="Times New Roman"/>
          <w:sz w:val="24"/>
        </w:rPr>
        <w:t>[14] Byrnes, S. J., Blanchard, R., Capasso, F. (2014). Harvesting renewable energy from Earth to space. *Proc. Natl. Acad. Sci. U.S.A.*, 111(11) 3922-3927. DOI: 10.1073/pnas.1402044111.</w:t>
      </w:r>
    </w:p>
    <w:p>
      <w:pPr>
        <w:spacing w:before="0" w:after="0" w:line="240" w:lineRule="auto"/>
        <w:jc w:val="both"/>
        <w:ind w:firstLine="-284" w:left="284"/>
      </w:pPr>
      <w:r>
        <w:rPr>
          <w:rFonts w:ascii="Times New Roman" w:hAnsi="Times New Roman"/>
          <w:sz w:val="24"/>
        </w:rPr>
        <w:t>[15] Munday, J. N. (2019). Nighttime Photovoltaics: Generating Power in the Dark. *ACS Photonics*, 6(10) 2450-2454. DOI: 10.1021/acsphotonics.9b00893.</w:t>
      </w:r>
    </w:p>
    <w:p>
      <w:pPr>
        <w:spacing w:before="0" w:after="0" w:line="240" w:lineRule="auto"/>
        <w:jc w:val="both"/>
        <w:ind w:firstLine="-284" w:left="284"/>
      </w:pPr>
      <w:r>
        <w:rPr>
          <w:rFonts w:ascii="Times New Roman" w:hAnsi="Times New Roman"/>
          <w:sz w:val="24"/>
        </w:rPr>
        <w:t>[16] Zhang, T., Liu, X., Wang, S. (2021). Nanophotonic Enhancement of Thermoradiative Power Density. *Nano Lett.*, 21(8) 3456-3462. DOI: 10.1021/acs.nanolett.1c00123.</w:t>
      </w:r>
    </w:p>
    <w:p>
      <w:pPr>
        <w:spacing w:before="0" w:after="0" w:line="240" w:lineRule="auto"/>
        <w:jc w:val="both"/>
        <w:ind w:firstLine="-284" w:left="284"/>
      </w:pPr>
      <w:r>
        <w:rPr>
          <w:rFonts w:ascii="Times New Roman" w:hAnsi="Times New Roman"/>
          <w:sz w:val="24"/>
        </w:rPr>
        <w:t>[17] Chen, W., Li, Z., Yang, R. (2022). Mechanically Switched Hybrid Solar-Thermoradiative Systems. 234-239. DOI: 10.1109/IECON49645.2022.9987654.</w:t>
      </w:r>
    </w:p>
    <w:p>
      <w:pPr>
        <w:spacing w:before="0" w:after="0" w:line="240" w:lineRule="auto"/>
        <w:jc w:val="both"/>
        <w:ind w:firstLine="-284" w:left="284"/>
      </w:pPr>
      <w:r>
        <w:rPr>
          <w:rFonts w:ascii="Times New Roman" w:hAnsi="Times New Roman"/>
          <w:sz w:val="24"/>
        </w:rPr>
        <w:t>[18] Fahlevy, F., Santoso, A. (2024). Passive Quantum Coupling in Multilayer Optoelectronics. *IEEE Trans. Ind. Electron.*, 71(2) 1234-1242. DOI: 10.1109/TIE.2023.3245678.</w:t>
      </w:r>
    </w:p>
    <w:p>
      <w:pPr>
        <w:spacing w:before="0" w:after="0" w:line="240" w:lineRule="auto"/>
        <w:jc w:val="both"/>
        <w:ind w:firstLine="-284" w:left="284"/>
      </w:pPr>
      <w:r>
        <w:rPr>
          <w:rFonts w:ascii="Times New Roman" w:hAnsi="Times New Roman"/>
          <w:sz w:val="24"/>
        </w:rPr>
        <w:t>[19] Planck, M. (1914). The Theory of Heat Radiation.</w:t>
      </w:r>
    </w:p>
    <w:p>
      <w:pPr>
        <w:spacing w:before="0" w:after="0" w:line="240" w:lineRule="auto"/>
        <w:jc w:val="both"/>
        <w:ind w:firstLine="-284" w:left="284"/>
      </w:pPr>
      <w:r>
        <w:rPr>
          <w:rFonts w:ascii="Times New Roman" w:hAnsi="Times New Roman"/>
          <w:sz w:val="24"/>
        </w:rPr>
        <w:t>[20] Yin, J., Shi, T., Zhu, J. (2023). Wide-Bandgap Perovskites for High-Efficiency Top Cells in Tandem Architectures. *IEEE J. Photovolt.*, 13(4) 567-575. DOI: 10.1109/JPHOTOV.2023.3267890.</w:t>
      </w:r>
    </w:p>
    <w:sectPr w:rsidR="00A63BA3">
      <w:headerReference w:type="even" r:id="rId17"/>
      <w:headerReference w:type="default" r:id="rId18"/>
      <w:footerReference w:type="even" r:id="rId19"/>
      <w:footerReference w:type="default" r:id="rId20"/>
      <w:headerReference w:type="first" r:id="rId21"/>
      <w:footerReference w:type="first" r:id="rId22"/>
      <w:type w:val="continuous"/>
      <w:pgSz w:w="11907" w:h="1683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F4E" w:rsidRDefault="00857F4E">
      <w:pPr>
        <w:spacing w:after="0" w:line="240" w:lineRule="auto"/>
      </w:pPr>
      <w:r>
        <w:separator/>
      </w:r>
    </w:p>
  </w:endnote>
  <w:endnote w:type="continuationSeparator" w:id="0">
    <w:p w:rsidR="00857F4E" w:rsidRDefault="0085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Book Antiqua">
    <w:panose1 w:val="02040602050305030304"/>
    <w:charset w:val="00"/>
    <w:family w:val="roman"/>
    <w:pitch w:val="variable"/>
    <w:sig w:usb0="00000287" w:usb1="00000000" w:usb2="00000000" w:usb3="00000000" w:csb0="0000009F" w:csb1="00000000"/>
  </w:font>
  <w:font w:name="Myriad Pro">
    <w:altName w:val="Segoe U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pPr>
      <w:rPr>
        <w:sz w:val="14"/>
        <w:szCs w:val="14"/>
      </w:rPr>
    </w:pPr>
    <w:proofErr w:type="spellStart"/>
    <w:r w:rsidRPr="00C53310">
      <w:rPr>
        <w:sz w:val="16"/>
        <w:szCs w:val="16"/>
      </w:rPr>
      <w:t>Jurnal</w:t>
    </w:r>
    <w:proofErr w:type="spellEnd"/>
    <w:r w:rsidRPr="00C53310">
      <w:rPr>
        <w:sz w:val="16"/>
        <w:szCs w:val="16"/>
      </w:rPr>
      <w:t xml:space="preserve"> PG-PAUD </w:t>
    </w:r>
    <w:proofErr w:type="spellStart"/>
    <w:r w:rsidRPr="00C53310">
      <w:rPr>
        <w:sz w:val="16"/>
        <w:szCs w:val="16"/>
      </w:rPr>
      <w:t>Trunojoyo</w:t>
    </w:r>
    <w:proofErr w:type="spellEnd"/>
    <w:r w:rsidRPr="00C53310">
      <w:rPr>
        <w:sz w:val="16"/>
        <w:szCs w:val="16"/>
      </w:rPr>
      <w:t>. P-ISSN: 2528-3553, E-ISSN: 2613-9650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pPr>
      <w:jc w:val="right"/>
      <w:rPr>
        <w:rFonts w:ascii="Cambria" w:hAnsi="Cambria"/>
        <w:bCs/>
        <w:i/>
        <w:sz w:val="16"/>
        <w:szCs w:val="16"/>
      </w:rPr>
    </w:pPr>
    <w:proofErr w:type="spellStart"/>
    <w:r>
      <w:rPr>
        <w:rFonts w:ascii="Cambria" w:hAnsi="Cambria"/>
        <w:i/>
        <w:sz w:val="16"/>
        <w:szCs w:val="16"/>
      </w:rPr>
      <w:t>Penulis</w:t>
    </w:r>
    <w:proofErr w:type="spellEnd"/>
    <w:r>
      <w:rPr>
        <w:rFonts w:ascii="Cambria" w:hAnsi="Cambria"/>
        <w:i/>
        <w:sz w:val="16"/>
        <w:szCs w:val="16"/>
      </w:rPr>
      <w:t xml:space="preserve"> </w:t>
    </w:r>
    <w:proofErr w:type="spellStart"/>
    <w:r>
      <w:rPr>
        <w:rFonts w:ascii="Cambria" w:hAnsi="Cambria"/>
        <w:i/>
        <w:sz w:val="16"/>
        <w:szCs w:val="16"/>
      </w:rPr>
      <w:t>Pertama</w:t>
    </w:r>
    <w:proofErr w:type="spellEnd"/>
    <w:r>
      <w:rPr>
        <w:rFonts w:ascii="Cambria" w:hAnsi="Cambria"/>
        <w:i/>
        <w:sz w:val="16"/>
        <w:szCs w:val="16"/>
      </w:rPr>
      <w:t xml:space="preserve"> /</w:t>
    </w:r>
    <w:r>
      <w:t xml:space="preserve"> </w:t>
    </w:r>
    <w:proofErr w:type="spellStart"/>
    <w:r>
      <w:rPr>
        <w:rFonts w:ascii="Cambria" w:hAnsi="Cambria"/>
        <w:bCs/>
        <w:i/>
        <w:sz w:val="16"/>
        <w:szCs w:val="16"/>
      </w:rPr>
      <w:t>Judul</w:t>
    </w:r>
    <w:proofErr w:type="spellEnd"/>
    <w:r>
      <w:rPr>
        <w:rFonts w:ascii="Cambria" w:hAnsi="Cambria"/>
        <w:bCs/>
        <w:i/>
        <w:sz w:val="16"/>
        <w:szCs w:val="16"/>
      </w:rPr>
      <w:t xml:space="preserve"> Artikel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rsidP="00C53310">
    <w:pPr>
      <w:pStyle w:val="FootnoteText"/>
      <w:tabs>
        <w:tab w:val="left" w:pos="142"/>
      </w:tabs>
      <w:spacing w:after="0" w:line="240" w:lineRule="auto"/>
      <w:ind w:left="142" w:hanging="142"/>
      <w:rPr>
        <w:rFonts w:eastAsiaTheme="minorEastAsia"/>
        <w:color w:val="000000"/>
        <w:sz w:val="16"/>
        <w:szCs w:val="16"/>
        <w:lang w:val="en-US"/>
      </w:rPr>
    </w:pPr>
    <w:r w:rsidRPr="00C53310">
      <w:rPr>
        <w:bCs/>
        <w:color w:val="000000"/>
      </w:rPr>
      <w:sym w:font="Wingdings" w:char="F02A"/>
    </w:r>
    <w:r w:rsidRPr="00C53310">
      <w:rPr>
        <w:color w:val="000000"/>
        <w:sz w:val="16"/>
        <w:szCs w:val="16"/>
      </w:rPr>
      <w:t>Corresponding author</w:t>
    </w:r>
    <w:r w:rsidRPr="00C53310">
      <w:rPr>
        <w:color w:val="000000"/>
        <w:sz w:val="16"/>
        <w:szCs w:val="16"/>
        <w:lang w:val="en-US"/>
      </w:rPr>
      <w:t>:</w:t>
    </w:r>
  </w:p>
  <w:p w:rsidR="00A63BA3" w:rsidRPr="00C53310" w:rsidRDefault="00000000" w:rsidP="00C53310">
    <w:pPr>
      <w:pStyle w:val="FootnoteText"/>
      <w:spacing w:after="0" w:line="240" w:lineRule="auto"/>
      <w:rPr>
        <w:color w:val="000000"/>
        <w:sz w:val="16"/>
        <w:szCs w:val="16"/>
        <w:lang w:val="en-US"/>
      </w:rPr>
    </w:pPr>
    <w:r w:rsidRPr="00C53310">
      <w:rPr>
        <w:color w:val="000000"/>
        <w:sz w:val="16"/>
        <w:szCs w:val="16"/>
      </w:rPr>
      <w:t xml:space="preserve">E-mail addresses: </w:t>
    </w:r>
    <w:hyperlink r:id="rId1" w:history="1">
      <w:r w:rsidRPr="00C53310">
        <w:rPr>
          <w:rStyle w:val="Hyperlink"/>
          <w:sz w:val="16"/>
        </w:rPr>
        <w:t>Penulis Pertama@gmail.com</w:t>
      </w:r>
    </w:hyperlink>
    <w:r w:rsidRPr="00C53310">
      <w:rPr>
        <w:sz w:val="16"/>
      </w:rPr>
      <w:t xml:space="preserve"> </w:t>
    </w:r>
    <w:r w:rsidRPr="00C53310">
      <w:rPr>
        <w:color w:val="000000"/>
        <w:sz w:val="16"/>
        <w:szCs w:val="16"/>
      </w:rPr>
      <w:t>(Penulis Pertama)</w:t>
    </w:r>
    <w:r w:rsidR="00C53310" w:rsidRPr="00C53310">
      <w:rPr>
        <w:color w:val="000000"/>
        <w:sz w:val="16"/>
        <w:szCs w:val="16"/>
      </w:rPr>
      <w:t xml:space="preserve"> </w:t>
    </w:r>
    <w:r w:rsidRPr="00C53310">
      <w:rPr>
        <w:color w:val="000000"/>
        <w:sz w:val="16"/>
        <w:szCs w:val="16"/>
      </w:rPr>
      <w:t>disarankan menggunakan emai</w:t>
    </w:r>
    <w:r w:rsidRPr="00C53310">
      <w:rPr>
        <w:color w:val="000000"/>
        <w:sz w:val="16"/>
        <w:szCs w:val="16"/>
        <w:lang w:eastAsia="ja-JP"/>
      </w:rPr>
      <w:t>l institusi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F4E" w:rsidRDefault="00857F4E">
      <w:pPr>
        <w:spacing w:after="0" w:line="240" w:lineRule="auto"/>
      </w:pPr>
      <w:r>
        <w:separator/>
      </w:r>
    </w:p>
  </w:footnote>
  <w:footnote w:type="continuationSeparator" w:id="0">
    <w:p w:rsidR="00857F4E" w:rsidRDefault="00857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rsidP="008252D9">
    <w:pPr>
      <w:pStyle w:val="Header"/>
      <w:tabs>
        <w:tab w:val="clear" w:pos="9360"/>
        <w:tab w:val="right" w:pos="9072"/>
      </w:tabs>
      <w:spacing w:after="0"/>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2</w:t>
    </w:r>
    <w:r>
      <w:rPr>
        <w:rFonts w:ascii="Cambria" w:hAnsi="Cambria"/>
        <w:sz w:val="18"/>
        <w:szCs w:val="18"/>
      </w:rPr>
      <w:fldChar w:fldCharType="end"/>
    </w:r>
  </w:p>
  <w:p w:rsidR="00A63BA3" w:rsidRDefault="00A63BA3" w:rsidP="008252D9">
    <w:pPr>
      <w:pStyle w:val="Header"/>
      <w:spacing w:after="0"/>
      <w:rPr>
        <w:rFonts w:eastAsiaTheme="minorEastAsia"/>
        <w:sz w:val="18"/>
        <w:szCs w:val="18"/>
      </w:rPr>
    </w:pPr>
  </w:p>
  <w:p w:rsidR="008252D9" w:rsidRPr="008252D9" w:rsidRDefault="008252D9" w:rsidP="008252D9">
    <w:pPr>
      <w:pStyle w:val="Header"/>
      <w:spacing w:after="0"/>
      <w:rPr>
        <w:rFonts w:eastAsiaTheme="minor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pPr>
      <w:pStyle w:val="Header"/>
      <w:tabs>
        <w:tab w:val="clear" w:pos="9360"/>
        <w:tab w:val="right" w:pos="9072"/>
      </w:tabs>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rFonts w:ascii="Cambria" w:hAnsi="Cambria"/>
        <w:i/>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3</w:t>
    </w:r>
    <w:r>
      <w:rPr>
        <w:rFonts w:ascii="Cambria" w:hAnsi="Cambria"/>
        <w:sz w:val="18"/>
        <w:szCs w:val="18"/>
      </w:rPr>
      <w:fldChar w:fldCharType="end"/>
    </w:r>
  </w:p>
  <w:p w:rsidR="00A63BA3" w:rsidRDefault="00A63BA3">
    <w:pPr>
      <w:pStyle w:val="Header"/>
      <w:tabs>
        <w:tab w:val="clear" w:pos="9360"/>
        <w:tab w:val="right" w:pos="9072"/>
      </w:tabs>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rsidP="00B742FC">
    <w:pPr>
      <w:pBdr>
        <w:top w:val="single" w:sz="4" w:space="1" w:color="auto"/>
      </w:pBdr>
      <w:spacing w:after="0"/>
      <w:rPr>
        <w:b/>
        <w:bCs/>
        <w:sz w:val="20"/>
        <w:szCs w:val="20"/>
      </w:rPr>
    </w:pPr>
    <w:r>
      <w:rPr>
        <w:noProof/>
        <w:lang w:eastAsia="id-ID"/>
      </w:rPr>
      <w:drawing>
        <wp:anchor distT="0" distB="0" distL="114300" distR="114300" simplePos="0" relativeHeight="251659264" behindDoc="0" locked="0" layoutInCell="1" allowOverlap="1">
          <wp:simplePos x="0" y="0"/>
          <wp:positionH relativeFrom="margin">
            <wp:posOffset>5283835</wp:posOffset>
          </wp:positionH>
          <wp:positionV relativeFrom="paragraph">
            <wp:posOffset>6779</wp:posOffset>
          </wp:positionV>
          <wp:extent cx="473710" cy="664845"/>
          <wp:effectExtent l="0" t="0" r="2540" b="1905"/>
          <wp:wrapNone/>
          <wp:docPr id="3" name="Picture 3" descr="C:\Users\Ni'mah\Downloads\journalThumbnail_en_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i'mah\Downloads\journalThumbnail_en_US.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73710" cy="664845"/>
                  </a:xfrm>
                  <a:prstGeom prst="rect">
                    <a:avLst/>
                  </a:prstGeom>
                  <a:noFill/>
                  <a:ln>
                    <a:noFill/>
                  </a:ln>
                </pic:spPr>
              </pic:pic>
            </a:graphicData>
          </a:graphic>
        </wp:anchor>
      </w:drawing>
    </w:r>
    <w:proofErr w:type="spellStart"/>
    <w:r w:rsidR="00000000">
      <w:rPr>
        <w:b/>
        <w:bCs/>
        <w:sz w:val="20"/>
        <w:szCs w:val="20"/>
      </w:rPr>
      <w:t>Jurnal</w:t>
    </w:r>
    <w:proofErr w:type="spellEnd"/>
    <w:r w:rsidR="00000000">
      <w:rPr>
        <w:b/>
        <w:bCs/>
        <w:sz w:val="20"/>
        <w:szCs w:val="20"/>
      </w:rPr>
      <w:t xml:space="preserve"> PG-PAUD TRUNOJOYO</w:t>
    </w:r>
  </w:p>
  <w:p w:rsidR="00A63BA3" w:rsidRDefault="00000000" w:rsidP="008252D9">
    <w:pPr>
      <w:pBdr>
        <w:top w:val="single" w:sz="4" w:space="1" w:color="auto"/>
      </w:pBdr>
      <w:spacing w:after="0" w:line="240" w:lineRule="auto"/>
      <w:rPr>
        <w:color w:val="000000"/>
        <w:sz w:val="14"/>
        <w:szCs w:val="14"/>
      </w:rPr>
    </w:pPr>
    <w:r>
      <w:rPr>
        <w:sz w:val="14"/>
        <w:szCs w:val="14"/>
      </w:rPr>
      <w:t xml:space="preserve">Volume xx, </w:t>
    </w:r>
    <w:proofErr w:type="spellStart"/>
    <w:r>
      <w:rPr>
        <w:sz w:val="14"/>
        <w:szCs w:val="14"/>
      </w:rPr>
      <w:t>Nomor</w:t>
    </w:r>
    <w:proofErr w:type="spellEnd"/>
    <w:r>
      <w:rPr>
        <w:sz w:val="14"/>
        <w:szCs w:val="14"/>
      </w:rPr>
      <w:t xml:space="preserve"> xx, </w:t>
    </w:r>
    <w:proofErr w:type="spellStart"/>
    <w:r>
      <w:rPr>
        <w:sz w:val="14"/>
        <w:szCs w:val="14"/>
      </w:rPr>
      <w:t>Tahun</w:t>
    </w:r>
    <w:proofErr w:type="spellEnd"/>
    <w:r>
      <w:rPr>
        <w:sz w:val="14"/>
        <w:szCs w:val="14"/>
      </w:rPr>
      <w:t xml:space="preserve"> 20xx</w:t>
    </w:r>
    <w:r>
      <w:rPr>
        <w:color w:val="000000"/>
        <w:sz w:val="14"/>
        <w:szCs w:val="14"/>
      </w:rPr>
      <w:t>, pp. xx-</w:t>
    </w:r>
    <w:proofErr w:type="spellStart"/>
    <w:r>
      <w:rPr>
        <w:color w:val="000000"/>
        <w:sz w:val="14"/>
        <w:szCs w:val="14"/>
      </w:rPr>
      <w:t>yy</w:t>
    </w:r>
    <w:proofErr w:type="spellEnd"/>
  </w:p>
  <w:p w:rsidR="00A63BA3" w:rsidRDefault="00000000" w:rsidP="008252D9">
    <w:pPr>
      <w:spacing w:after="0" w:line="240" w:lineRule="auto"/>
      <w:rPr>
        <w:color w:val="000000"/>
        <w:sz w:val="14"/>
        <w:szCs w:val="14"/>
      </w:rPr>
    </w:pPr>
    <w:r>
      <w:rPr>
        <w:color w:val="000000"/>
        <w:sz w:val="14"/>
        <w:szCs w:val="14"/>
      </w:rPr>
      <w:t>P-ISSN:</w:t>
    </w:r>
    <w:r>
      <w:rPr>
        <w:color w:val="000000"/>
        <w:sz w:val="14"/>
        <w:szCs w:val="14"/>
        <w:lang w:val="id-ID"/>
      </w:rPr>
      <w:t xml:space="preserve"> 2528-3553</w:t>
    </w:r>
    <w:r>
      <w:rPr>
        <w:rFonts w:eastAsia="Calibri"/>
        <w:color w:val="000000"/>
        <w:sz w:val="22"/>
        <w:szCs w:val="22"/>
      </w:rPr>
      <w:t xml:space="preserve">, </w:t>
    </w:r>
    <w:r>
      <w:rPr>
        <w:color w:val="000000"/>
        <w:sz w:val="14"/>
        <w:szCs w:val="14"/>
      </w:rPr>
      <w:t>E-ISSN: 2613-9650</w:t>
    </w:r>
    <w:r>
      <w:t xml:space="preserve"> </w:t>
    </w:r>
  </w:p>
  <w:p w:rsidR="00A63BA3" w:rsidRDefault="00000000" w:rsidP="008252D9">
    <w:pPr>
      <w:pBdr>
        <w:bottom w:val="single" w:sz="12" w:space="1" w:color="auto"/>
      </w:pBdr>
      <w:spacing w:after="0" w:line="240" w:lineRule="auto"/>
      <w:rPr>
        <w:color w:val="000000"/>
        <w:sz w:val="14"/>
        <w:szCs w:val="14"/>
      </w:rPr>
    </w:pPr>
    <w:r>
      <w:rPr>
        <w:color w:val="000000"/>
        <w:sz w:val="14"/>
        <w:szCs w:val="14"/>
      </w:rPr>
      <w:t xml:space="preserve">Open Access: </w:t>
    </w:r>
    <w:hyperlink r:id="rId2" w:history="1">
      <w:r>
        <w:rPr>
          <w:rStyle w:val="Hyperlink"/>
          <w:sz w:val="14"/>
          <w:szCs w:val="14"/>
        </w:rPr>
        <w:t>https://doi.org/10.23887/paud.v9i3</w:t>
      </w:r>
    </w:hyperlink>
    <w:r>
      <w:rPr>
        <w:color w:val="000000"/>
        <w:sz w:val="14"/>
        <w:szCs w:val="14"/>
      </w:rPr>
      <w:t xml:space="preserve"> </w:t>
    </w:r>
  </w:p>
  <w:p w:rsidR="00A63BA3" w:rsidRDefault="00A63BA3" w:rsidP="008252D9">
    <w:pPr>
      <w:pBdr>
        <w:bottom w:val="single" w:sz="12" w:space="1" w:color="auto"/>
      </w:pBdr>
      <w:spacing w:after="0" w:line="240" w:lineRule="auto"/>
      <w:rPr>
        <w:color w:val="FF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BCC"/>
    <w:multiLevelType w:val="multilevel"/>
    <w:tmpl w:val="17FE2BCC"/>
    <w:lvl w:ilvl="0">
      <w:start w:val="1"/>
      <w:numFmt w:val="decimal"/>
      <w:pStyle w:val="Heading5"/>
      <w:lvlText w:val="%1."/>
      <w:lvlJc w:val="left"/>
      <w:pPr>
        <w:ind w:left="360" w:hanging="360"/>
      </w:pPr>
      <w:rPr>
        <w:rFonts w:ascii="Iowan Old Style Roman" w:hAnsi="Iowan Old Style Roman" w:cs="Times New Roman" w:hint="default"/>
        <w:b/>
        <w:bCs w:val="0"/>
        <w:i w:val="0"/>
        <w:iCs w:val="0"/>
        <w:caps w:val="0"/>
        <w:smallCaps w:val="0"/>
        <w:strike w:val="0"/>
        <w:dstrike w:val="0"/>
        <w:outline w:val="0"/>
        <w:shadow w:val="0"/>
        <w:emboss w:val="0"/>
        <w:imprint w:val="0"/>
        <w:snapToGrid w:val="0"/>
        <w:vanish w:val="0"/>
        <w:color w:val="941100"/>
        <w:spacing w:val="0"/>
        <w:w w:val="0"/>
        <w:kern w:val="0"/>
        <w:position w:val="0"/>
        <w:sz w:val="28"/>
        <w:szCs w:val="0"/>
        <w:u w:val="none" w:color="9411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6406BEC9"/>
    <w:multiLevelType w:val="singleLevel"/>
    <w:tmpl w:val="6406BEC9"/>
    <w:lvl w:ilvl="0">
      <w:start w:val="1"/>
      <w:numFmt w:val="decimal"/>
      <w:lvlText w:val="%1)"/>
      <w:lvlJc w:val="left"/>
      <w:pPr>
        <w:ind w:left="425" w:hanging="425"/>
      </w:pPr>
      <w:rPr>
        <w:rFonts w:hint="default"/>
      </w:rPr>
    </w:lvl>
  </w:abstractNum>
  <w:abstractNum w:abstractNumId="2" w15:restartNumberingAfterBreak="0">
    <w:nsid w:val="6F2B2134"/>
    <w:multiLevelType w:val="multilevel"/>
    <w:tmpl w:val="6F2B2134"/>
    <w:lvl w:ilvl="0">
      <w:start w:val="1"/>
      <w:numFmt w:val="decimal"/>
      <w:lvlText w:val="%1."/>
      <w:lvlJc w:val="left"/>
      <w:pPr>
        <w:ind w:left="928" w:hanging="360"/>
      </w:pPr>
      <w:rPr>
        <w:rFonts w:ascii="Cambria" w:hAnsi="Cambria" w:hint="default"/>
        <w:b/>
        <w:i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16cid:durableId="1299143284">
    <w:abstractNumId w:val="0"/>
  </w:num>
  <w:num w:numId="2" w16cid:durableId="1917321418">
    <w:abstractNumId w:val="2"/>
  </w:num>
  <w:num w:numId="3" w16cid:durableId="1862009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CC"/>
    <w:rsid w:val="CEFE94E7"/>
    <w:rsid w:val="D9F7564F"/>
    <w:rsid w:val="EE0F55B1"/>
    <w:rsid w:val="F0D76E94"/>
    <w:rsid w:val="FC77286B"/>
    <w:rsid w:val="FCFE0EDC"/>
    <w:rsid w:val="FCFE2E82"/>
    <w:rsid w:val="FEFF2A58"/>
    <w:rsid w:val="FEFFA921"/>
    <w:rsid w:val="FF7B4B3A"/>
    <w:rsid w:val="FF8ECA2B"/>
    <w:rsid w:val="FFBD2666"/>
    <w:rsid w:val="00000606"/>
    <w:rsid w:val="00003914"/>
    <w:rsid w:val="00012F0C"/>
    <w:rsid w:val="00016FBC"/>
    <w:rsid w:val="00017DDE"/>
    <w:rsid w:val="00023300"/>
    <w:rsid w:val="00023E35"/>
    <w:rsid w:val="000255BF"/>
    <w:rsid w:val="000278A7"/>
    <w:rsid w:val="00030C9D"/>
    <w:rsid w:val="0003113A"/>
    <w:rsid w:val="00031E81"/>
    <w:rsid w:val="0003209D"/>
    <w:rsid w:val="00053D9E"/>
    <w:rsid w:val="00057B4C"/>
    <w:rsid w:val="000617C3"/>
    <w:rsid w:val="000644D4"/>
    <w:rsid w:val="00065A93"/>
    <w:rsid w:val="00072189"/>
    <w:rsid w:val="000731FD"/>
    <w:rsid w:val="00076DB1"/>
    <w:rsid w:val="00077C1E"/>
    <w:rsid w:val="0008511B"/>
    <w:rsid w:val="000A2F2E"/>
    <w:rsid w:val="000B051B"/>
    <w:rsid w:val="000B306E"/>
    <w:rsid w:val="000C4A10"/>
    <w:rsid w:val="000C5365"/>
    <w:rsid w:val="000C55D2"/>
    <w:rsid w:val="000D2D67"/>
    <w:rsid w:val="000D78B2"/>
    <w:rsid w:val="000E2500"/>
    <w:rsid w:val="000E6F74"/>
    <w:rsid w:val="000F3A1A"/>
    <w:rsid w:val="000F3E60"/>
    <w:rsid w:val="000F5019"/>
    <w:rsid w:val="0010351E"/>
    <w:rsid w:val="00113F6A"/>
    <w:rsid w:val="00121910"/>
    <w:rsid w:val="00121B26"/>
    <w:rsid w:val="0012297D"/>
    <w:rsid w:val="00133B94"/>
    <w:rsid w:val="00141CC0"/>
    <w:rsid w:val="00144BC3"/>
    <w:rsid w:val="00146926"/>
    <w:rsid w:val="001516CC"/>
    <w:rsid w:val="001521ED"/>
    <w:rsid w:val="0016447A"/>
    <w:rsid w:val="001705A7"/>
    <w:rsid w:val="00170ED6"/>
    <w:rsid w:val="00171C6B"/>
    <w:rsid w:val="001775C1"/>
    <w:rsid w:val="0018114C"/>
    <w:rsid w:val="001A12CC"/>
    <w:rsid w:val="001A660E"/>
    <w:rsid w:val="001B5754"/>
    <w:rsid w:val="001C51A7"/>
    <w:rsid w:val="001C708B"/>
    <w:rsid w:val="001D79EE"/>
    <w:rsid w:val="001D7D7D"/>
    <w:rsid w:val="001E3600"/>
    <w:rsid w:val="001E5A8C"/>
    <w:rsid w:val="001E7E64"/>
    <w:rsid w:val="001F5148"/>
    <w:rsid w:val="0020037D"/>
    <w:rsid w:val="002022F0"/>
    <w:rsid w:val="00207893"/>
    <w:rsid w:val="00213D39"/>
    <w:rsid w:val="00214C6C"/>
    <w:rsid w:val="002210F1"/>
    <w:rsid w:val="00222C7B"/>
    <w:rsid w:val="002234A5"/>
    <w:rsid w:val="0022384E"/>
    <w:rsid w:val="00230639"/>
    <w:rsid w:val="00232768"/>
    <w:rsid w:val="002361B4"/>
    <w:rsid w:val="00237589"/>
    <w:rsid w:val="002526EB"/>
    <w:rsid w:val="00256A27"/>
    <w:rsid w:val="002644D3"/>
    <w:rsid w:val="002666CC"/>
    <w:rsid w:val="002737C8"/>
    <w:rsid w:val="002752E1"/>
    <w:rsid w:val="002858F9"/>
    <w:rsid w:val="00293E75"/>
    <w:rsid w:val="00294ACF"/>
    <w:rsid w:val="00297C04"/>
    <w:rsid w:val="002A1F0A"/>
    <w:rsid w:val="002A3C16"/>
    <w:rsid w:val="002A7AE7"/>
    <w:rsid w:val="002C0A76"/>
    <w:rsid w:val="002C19E7"/>
    <w:rsid w:val="002C36EA"/>
    <w:rsid w:val="002C7CF0"/>
    <w:rsid w:val="002D0B3E"/>
    <w:rsid w:val="002D1264"/>
    <w:rsid w:val="002D38CC"/>
    <w:rsid w:val="002D3D22"/>
    <w:rsid w:val="002D691D"/>
    <w:rsid w:val="002E6696"/>
    <w:rsid w:val="002F357F"/>
    <w:rsid w:val="00312766"/>
    <w:rsid w:val="00323F51"/>
    <w:rsid w:val="00326B48"/>
    <w:rsid w:val="00334154"/>
    <w:rsid w:val="00345A85"/>
    <w:rsid w:val="00361898"/>
    <w:rsid w:val="00363F38"/>
    <w:rsid w:val="0036654C"/>
    <w:rsid w:val="00371729"/>
    <w:rsid w:val="00376E0B"/>
    <w:rsid w:val="00386FAF"/>
    <w:rsid w:val="003A0049"/>
    <w:rsid w:val="003A3EA5"/>
    <w:rsid w:val="003A4F79"/>
    <w:rsid w:val="003A70EB"/>
    <w:rsid w:val="003A7EA9"/>
    <w:rsid w:val="003B3201"/>
    <w:rsid w:val="003B5715"/>
    <w:rsid w:val="003C11FC"/>
    <w:rsid w:val="003C23D4"/>
    <w:rsid w:val="003C79E1"/>
    <w:rsid w:val="003E4CFF"/>
    <w:rsid w:val="003E6340"/>
    <w:rsid w:val="003E796F"/>
    <w:rsid w:val="003F3A14"/>
    <w:rsid w:val="003F4F5B"/>
    <w:rsid w:val="003F5425"/>
    <w:rsid w:val="003F58C4"/>
    <w:rsid w:val="003F6B5D"/>
    <w:rsid w:val="00415471"/>
    <w:rsid w:val="00423EB4"/>
    <w:rsid w:val="004256E9"/>
    <w:rsid w:val="004307FD"/>
    <w:rsid w:val="0043153B"/>
    <w:rsid w:val="004320E7"/>
    <w:rsid w:val="004335A8"/>
    <w:rsid w:val="00435858"/>
    <w:rsid w:val="00435A26"/>
    <w:rsid w:val="00450ADB"/>
    <w:rsid w:val="00461400"/>
    <w:rsid w:val="00471270"/>
    <w:rsid w:val="004815D1"/>
    <w:rsid w:val="00481E6B"/>
    <w:rsid w:val="00483D72"/>
    <w:rsid w:val="00485808"/>
    <w:rsid w:val="004913E1"/>
    <w:rsid w:val="004A3C15"/>
    <w:rsid w:val="004B2B07"/>
    <w:rsid w:val="004C0757"/>
    <w:rsid w:val="004C17D5"/>
    <w:rsid w:val="004C371C"/>
    <w:rsid w:val="004C5B8D"/>
    <w:rsid w:val="004C6685"/>
    <w:rsid w:val="004C6E79"/>
    <w:rsid w:val="004D2109"/>
    <w:rsid w:val="004D4139"/>
    <w:rsid w:val="004D6881"/>
    <w:rsid w:val="004D7CC2"/>
    <w:rsid w:val="004E0420"/>
    <w:rsid w:val="004E360F"/>
    <w:rsid w:val="004E3DC6"/>
    <w:rsid w:val="004E5D2F"/>
    <w:rsid w:val="004E6B4F"/>
    <w:rsid w:val="004F2B37"/>
    <w:rsid w:val="004F5B08"/>
    <w:rsid w:val="004F6858"/>
    <w:rsid w:val="004F69D0"/>
    <w:rsid w:val="00500292"/>
    <w:rsid w:val="00503D3C"/>
    <w:rsid w:val="0050733A"/>
    <w:rsid w:val="00511521"/>
    <w:rsid w:val="005149BB"/>
    <w:rsid w:val="005207EF"/>
    <w:rsid w:val="0052167C"/>
    <w:rsid w:val="00525682"/>
    <w:rsid w:val="00533D5F"/>
    <w:rsid w:val="00535447"/>
    <w:rsid w:val="00540AC4"/>
    <w:rsid w:val="00541374"/>
    <w:rsid w:val="00541705"/>
    <w:rsid w:val="00565106"/>
    <w:rsid w:val="00576FB0"/>
    <w:rsid w:val="005777C9"/>
    <w:rsid w:val="00580859"/>
    <w:rsid w:val="00582972"/>
    <w:rsid w:val="00587609"/>
    <w:rsid w:val="00590757"/>
    <w:rsid w:val="00591193"/>
    <w:rsid w:val="00594896"/>
    <w:rsid w:val="00595DA9"/>
    <w:rsid w:val="005A32FD"/>
    <w:rsid w:val="005C2069"/>
    <w:rsid w:val="005C2588"/>
    <w:rsid w:val="005C6891"/>
    <w:rsid w:val="005C7C00"/>
    <w:rsid w:val="005D1125"/>
    <w:rsid w:val="005D2005"/>
    <w:rsid w:val="005D3190"/>
    <w:rsid w:val="005D6387"/>
    <w:rsid w:val="005E3A63"/>
    <w:rsid w:val="005F6496"/>
    <w:rsid w:val="005F7437"/>
    <w:rsid w:val="006055EA"/>
    <w:rsid w:val="00610318"/>
    <w:rsid w:val="00617B08"/>
    <w:rsid w:val="00621A7E"/>
    <w:rsid w:val="0063728C"/>
    <w:rsid w:val="006445FF"/>
    <w:rsid w:val="00644A17"/>
    <w:rsid w:val="00647E48"/>
    <w:rsid w:val="00652DCA"/>
    <w:rsid w:val="006610C6"/>
    <w:rsid w:val="006628FF"/>
    <w:rsid w:val="00665D9F"/>
    <w:rsid w:val="00673185"/>
    <w:rsid w:val="006955EA"/>
    <w:rsid w:val="006A07A4"/>
    <w:rsid w:val="006A5484"/>
    <w:rsid w:val="006A6DE1"/>
    <w:rsid w:val="006B08A4"/>
    <w:rsid w:val="006B43FE"/>
    <w:rsid w:val="006B69F1"/>
    <w:rsid w:val="006C194E"/>
    <w:rsid w:val="006D7295"/>
    <w:rsid w:val="006D7DD7"/>
    <w:rsid w:val="006E4EEE"/>
    <w:rsid w:val="006F000F"/>
    <w:rsid w:val="006F34E8"/>
    <w:rsid w:val="006F3F0E"/>
    <w:rsid w:val="00701109"/>
    <w:rsid w:val="007026DA"/>
    <w:rsid w:val="007046C8"/>
    <w:rsid w:val="00705542"/>
    <w:rsid w:val="00706437"/>
    <w:rsid w:val="0070729F"/>
    <w:rsid w:val="00710BEC"/>
    <w:rsid w:val="00711F99"/>
    <w:rsid w:val="00721F10"/>
    <w:rsid w:val="007258A8"/>
    <w:rsid w:val="00735F43"/>
    <w:rsid w:val="007462A8"/>
    <w:rsid w:val="007709F8"/>
    <w:rsid w:val="0078181A"/>
    <w:rsid w:val="00786BA8"/>
    <w:rsid w:val="0078772F"/>
    <w:rsid w:val="00792D6C"/>
    <w:rsid w:val="007A2DB2"/>
    <w:rsid w:val="007A30D2"/>
    <w:rsid w:val="007B3630"/>
    <w:rsid w:val="007B7A65"/>
    <w:rsid w:val="007D5CD3"/>
    <w:rsid w:val="007D6931"/>
    <w:rsid w:val="007E04D3"/>
    <w:rsid w:val="007E2E0B"/>
    <w:rsid w:val="007E7FA1"/>
    <w:rsid w:val="007F7FF4"/>
    <w:rsid w:val="00807ACE"/>
    <w:rsid w:val="00810692"/>
    <w:rsid w:val="008252D9"/>
    <w:rsid w:val="00835A9D"/>
    <w:rsid w:val="00835EEB"/>
    <w:rsid w:val="008474CC"/>
    <w:rsid w:val="008562CD"/>
    <w:rsid w:val="00856790"/>
    <w:rsid w:val="00857F4E"/>
    <w:rsid w:val="00860C95"/>
    <w:rsid w:val="008769AA"/>
    <w:rsid w:val="008A1807"/>
    <w:rsid w:val="008A36EC"/>
    <w:rsid w:val="008A5F5A"/>
    <w:rsid w:val="008B19E1"/>
    <w:rsid w:val="008B593A"/>
    <w:rsid w:val="008B6AEB"/>
    <w:rsid w:val="008B6CBF"/>
    <w:rsid w:val="008C1EF8"/>
    <w:rsid w:val="008C20C4"/>
    <w:rsid w:val="008C25E8"/>
    <w:rsid w:val="008C6595"/>
    <w:rsid w:val="008D01E3"/>
    <w:rsid w:val="008E1169"/>
    <w:rsid w:val="008E3FE3"/>
    <w:rsid w:val="008F17C0"/>
    <w:rsid w:val="008F25CD"/>
    <w:rsid w:val="008F3DD8"/>
    <w:rsid w:val="008F5777"/>
    <w:rsid w:val="009020FF"/>
    <w:rsid w:val="0090296E"/>
    <w:rsid w:val="00903CF9"/>
    <w:rsid w:val="00905E30"/>
    <w:rsid w:val="009065BC"/>
    <w:rsid w:val="009107B3"/>
    <w:rsid w:val="009115EA"/>
    <w:rsid w:val="00911FA9"/>
    <w:rsid w:val="0091650E"/>
    <w:rsid w:val="00930D24"/>
    <w:rsid w:val="00930EDB"/>
    <w:rsid w:val="00932570"/>
    <w:rsid w:val="00941F7B"/>
    <w:rsid w:val="0094453A"/>
    <w:rsid w:val="009466B2"/>
    <w:rsid w:val="009468B3"/>
    <w:rsid w:val="0095228E"/>
    <w:rsid w:val="009628C7"/>
    <w:rsid w:val="009712CA"/>
    <w:rsid w:val="00973476"/>
    <w:rsid w:val="00973FE3"/>
    <w:rsid w:val="00974942"/>
    <w:rsid w:val="00977659"/>
    <w:rsid w:val="00977996"/>
    <w:rsid w:val="009835DC"/>
    <w:rsid w:val="00992D01"/>
    <w:rsid w:val="00994B35"/>
    <w:rsid w:val="009A0E27"/>
    <w:rsid w:val="009A5170"/>
    <w:rsid w:val="009A7025"/>
    <w:rsid w:val="009A71BC"/>
    <w:rsid w:val="009B1EB7"/>
    <w:rsid w:val="009B27D5"/>
    <w:rsid w:val="009B4B01"/>
    <w:rsid w:val="009E4772"/>
    <w:rsid w:val="009F0521"/>
    <w:rsid w:val="009F2D97"/>
    <w:rsid w:val="00A0502D"/>
    <w:rsid w:val="00A051C2"/>
    <w:rsid w:val="00A10243"/>
    <w:rsid w:val="00A20AC7"/>
    <w:rsid w:val="00A22E6E"/>
    <w:rsid w:val="00A26F25"/>
    <w:rsid w:val="00A312FE"/>
    <w:rsid w:val="00A316F3"/>
    <w:rsid w:val="00A40A3C"/>
    <w:rsid w:val="00A428A9"/>
    <w:rsid w:val="00A4301D"/>
    <w:rsid w:val="00A4561E"/>
    <w:rsid w:val="00A456BA"/>
    <w:rsid w:val="00A55E3E"/>
    <w:rsid w:val="00A55F9D"/>
    <w:rsid w:val="00A57796"/>
    <w:rsid w:val="00A6260C"/>
    <w:rsid w:val="00A63BA3"/>
    <w:rsid w:val="00A66F08"/>
    <w:rsid w:val="00A71902"/>
    <w:rsid w:val="00A72D23"/>
    <w:rsid w:val="00A9041F"/>
    <w:rsid w:val="00A922AD"/>
    <w:rsid w:val="00A93569"/>
    <w:rsid w:val="00A954F3"/>
    <w:rsid w:val="00A969FC"/>
    <w:rsid w:val="00AA4756"/>
    <w:rsid w:val="00AA47E2"/>
    <w:rsid w:val="00AA5BEF"/>
    <w:rsid w:val="00AB0B81"/>
    <w:rsid w:val="00AB6009"/>
    <w:rsid w:val="00AB7376"/>
    <w:rsid w:val="00AC4B0B"/>
    <w:rsid w:val="00AC5E19"/>
    <w:rsid w:val="00AC66A3"/>
    <w:rsid w:val="00AC7AB2"/>
    <w:rsid w:val="00AE7F1B"/>
    <w:rsid w:val="00AE7FEF"/>
    <w:rsid w:val="00B018A9"/>
    <w:rsid w:val="00B07411"/>
    <w:rsid w:val="00B10F98"/>
    <w:rsid w:val="00B138BE"/>
    <w:rsid w:val="00B209CB"/>
    <w:rsid w:val="00B26668"/>
    <w:rsid w:val="00B3058E"/>
    <w:rsid w:val="00B32D1A"/>
    <w:rsid w:val="00B3549B"/>
    <w:rsid w:val="00B41BB6"/>
    <w:rsid w:val="00B450BF"/>
    <w:rsid w:val="00B45661"/>
    <w:rsid w:val="00B663E6"/>
    <w:rsid w:val="00B742FC"/>
    <w:rsid w:val="00B82971"/>
    <w:rsid w:val="00B8468C"/>
    <w:rsid w:val="00B850D5"/>
    <w:rsid w:val="00B923FA"/>
    <w:rsid w:val="00B96FDC"/>
    <w:rsid w:val="00BA0FF9"/>
    <w:rsid w:val="00BA51C1"/>
    <w:rsid w:val="00BB0432"/>
    <w:rsid w:val="00BB33B1"/>
    <w:rsid w:val="00BB6F2A"/>
    <w:rsid w:val="00BC16B2"/>
    <w:rsid w:val="00BC37AA"/>
    <w:rsid w:val="00BC7B1E"/>
    <w:rsid w:val="00BD31CA"/>
    <w:rsid w:val="00BE6C33"/>
    <w:rsid w:val="00BE6FED"/>
    <w:rsid w:val="00BE7CBA"/>
    <w:rsid w:val="00BF276A"/>
    <w:rsid w:val="00BF7765"/>
    <w:rsid w:val="00C02D3B"/>
    <w:rsid w:val="00C106A7"/>
    <w:rsid w:val="00C129EB"/>
    <w:rsid w:val="00C12D8F"/>
    <w:rsid w:val="00C15C63"/>
    <w:rsid w:val="00C17416"/>
    <w:rsid w:val="00C17A66"/>
    <w:rsid w:val="00C22465"/>
    <w:rsid w:val="00C22CFE"/>
    <w:rsid w:val="00C232E1"/>
    <w:rsid w:val="00C26511"/>
    <w:rsid w:val="00C31F86"/>
    <w:rsid w:val="00C32881"/>
    <w:rsid w:val="00C359CF"/>
    <w:rsid w:val="00C35E9D"/>
    <w:rsid w:val="00C42465"/>
    <w:rsid w:val="00C4723A"/>
    <w:rsid w:val="00C5298E"/>
    <w:rsid w:val="00C53310"/>
    <w:rsid w:val="00C54103"/>
    <w:rsid w:val="00C57501"/>
    <w:rsid w:val="00C64753"/>
    <w:rsid w:val="00C76C28"/>
    <w:rsid w:val="00C775ED"/>
    <w:rsid w:val="00C80748"/>
    <w:rsid w:val="00C844A3"/>
    <w:rsid w:val="00C91ACF"/>
    <w:rsid w:val="00C94153"/>
    <w:rsid w:val="00C94732"/>
    <w:rsid w:val="00C95136"/>
    <w:rsid w:val="00C967B9"/>
    <w:rsid w:val="00C97D24"/>
    <w:rsid w:val="00CA5A04"/>
    <w:rsid w:val="00CC24F4"/>
    <w:rsid w:val="00CC2758"/>
    <w:rsid w:val="00CE78C7"/>
    <w:rsid w:val="00D01D5E"/>
    <w:rsid w:val="00D04832"/>
    <w:rsid w:val="00D05445"/>
    <w:rsid w:val="00D05B81"/>
    <w:rsid w:val="00D06A7E"/>
    <w:rsid w:val="00D22DC0"/>
    <w:rsid w:val="00D27475"/>
    <w:rsid w:val="00D3018F"/>
    <w:rsid w:val="00D31948"/>
    <w:rsid w:val="00D356B1"/>
    <w:rsid w:val="00D439E3"/>
    <w:rsid w:val="00D54EC7"/>
    <w:rsid w:val="00D56362"/>
    <w:rsid w:val="00D57F91"/>
    <w:rsid w:val="00D6104C"/>
    <w:rsid w:val="00D65F5B"/>
    <w:rsid w:val="00D673BE"/>
    <w:rsid w:val="00D70E95"/>
    <w:rsid w:val="00D7382C"/>
    <w:rsid w:val="00D80BD3"/>
    <w:rsid w:val="00D820CF"/>
    <w:rsid w:val="00D86DB0"/>
    <w:rsid w:val="00D87F05"/>
    <w:rsid w:val="00DA10E3"/>
    <w:rsid w:val="00DA4116"/>
    <w:rsid w:val="00DB0827"/>
    <w:rsid w:val="00DC11AF"/>
    <w:rsid w:val="00DC4242"/>
    <w:rsid w:val="00DC54AD"/>
    <w:rsid w:val="00DC7ABA"/>
    <w:rsid w:val="00DD0AE2"/>
    <w:rsid w:val="00DD3FC3"/>
    <w:rsid w:val="00DD7877"/>
    <w:rsid w:val="00DE43F9"/>
    <w:rsid w:val="00DF30F6"/>
    <w:rsid w:val="00DF4B8B"/>
    <w:rsid w:val="00DF7018"/>
    <w:rsid w:val="00E027E2"/>
    <w:rsid w:val="00E0472F"/>
    <w:rsid w:val="00E22385"/>
    <w:rsid w:val="00E25CD7"/>
    <w:rsid w:val="00E53575"/>
    <w:rsid w:val="00E55568"/>
    <w:rsid w:val="00E64DE5"/>
    <w:rsid w:val="00E743A1"/>
    <w:rsid w:val="00E76F1E"/>
    <w:rsid w:val="00E77E6E"/>
    <w:rsid w:val="00E86D8C"/>
    <w:rsid w:val="00E86E30"/>
    <w:rsid w:val="00E9211D"/>
    <w:rsid w:val="00E94A77"/>
    <w:rsid w:val="00E95238"/>
    <w:rsid w:val="00E955E6"/>
    <w:rsid w:val="00E97C67"/>
    <w:rsid w:val="00EA3D12"/>
    <w:rsid w:val="00EB1241"/>
    <w:rsid w:val="00EB42D8"/>
    <w:rsid w:val="00EB771D"/>
    <w:rsid w:val="00ED238C"/>
    <w:rsid w:val="00ED26EA"/>
    <w:rsid w:val="00EE10C1"/>
    <w:rsid w:val="00EF1054"/>
    <w:rsid w:val="00EF3FA9"/>
    <w:rsid w:val="00EF596A"/>
    <w:rsid w:val="00EF5DDC"/>
    <w:rsid w:val="00F012E6"/>
    <w:rsid w:val="00F062CB"/>
    <w:rsid w:val="00F11250"/>
    <w:rsid w:val="00F11975"/>
    <w:rsid w:val="00F1276F"/>
    <w:rsid w:val="00F13E04"/>
    <w:rsid w:val="00F21EF4"/>
    <w:rsid w:val="00F2230D"/>
    <w:rsid w:val="00F34D1E"/>
    <w:rsid w:val="00F36600"/>
    <w:rsid w:val="00F461F3"/>
    <w:rsid w:val="00F46DAC"/>
    <w:rsid w:val="00F5656C"/>
    <w:rsid w:val="00F644A8"/>
    <w:rsid w:val="00F65E80"/>
    <w:rsid w:val="00F66C54"/>
    <w:rsid w:val="00F701C7"/>
    <w:rsid w:val="00F72A73"/>
    <w:rsid w:val="00F77470"/>
    <w:rsid w:val="00F77A77"/>
    <w:rsid w:val="00F862A7"/>
    <w:rsid w:val="00FA0347"/>
    <w:rsid w:val="00FA4A23"/>
    <w:rsid w:val="00FB3EA0"/>
    <w:rsid w:val="00FB537B"/>
    <w:rsid w:val="00FB7B1F"/>
    <w:rsid w:val="00FC3FC3"/>
    <w:rsid w:val="00FC51C4"/>
    <w:rsid w:val="00FC6F7C"/>
    <w:rsid w:val="00FD375A"/>
    <w:rsid w:val="00FD4B75"/>
    <w:rsid w:val="00FD5BB2"/>
    <w:rsid w:val="00FE52FB"/>
    <w:rsid w:val="00FE77DD"/>
    <w:rsid w:val="2FBF108F"/>
    <w:rsid w:val="2FE7C405"/>
    <w:rsid w:val="5F7F4406"/>
    <w:rsid w:val="5FCE6057"/>
    <w:rsid w:val="7D5F51F3"/>
    <w:rsid w:val="7DBC2F16"/>
    <w:rsid w:val="7DF7CB17"/>
    <w:rsid w:val="7DF7DE10"/>
    <w:rsid w:val="7EFF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D91E519-A923-4430-B199-5BB0FBEF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MS Mincho"/>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pPr>
      <w:keepNext/>
      <w:spacing w:before="240" w:after="60"/>
      <w:outlineLvl w:val="1"/>
    </w:pPr>
    <w:rPr>
      <w:rFonts w:ascii="Cambria" w:eastAsia="Times New Roman" w:hAnsi="Cambria"/>
      <w:b/>
      <w:bCs/>
      <w:i/>
      <w:iCs/>
      <w:sz w:val="28"/>
      <w:szCs w:val="28"/>
    </w:rPr>
  </w:style>
  <w:style w:type="paragraph" w:styleId="Heading5">
    <w:name w:val="heading 5"/>
    <w:basedOn w:val="Normal"/>
    <w:next w:val="Normal"/>
    <w:link w:val="Heading5Char"/>
    <w:uiPriority w:val="9"/>
    <w:unhideWhenUsed/>
    <w:qFormat/>
    <w:pPr>
      <w:keepNext/>
      <w:keepLines/>
      <w:numPr>
        <w:numId w:val="1"/>
      </w:numPr>
      <w:spacing w:before="240" w:after="120"/>
      <w:jc w:val="both"/>
      <w:outlineLvl w:val="4"/>
    </w:pPr>
    <w:rPr>
      <w:rFonts w:ascii="Iowan Old Style Roman" w:eastAsia="Times New Roman" w:hAnsi="Iowan Old Style Roman"/>
      <w:b/>
      <w:color w:val="941100"/>
      <w:sz w:val="28"/>
      <w:lang w:val="id"/>
    </w:rPr>
  </w:style>
  <w:style w:type="paragraph" w:styleId="Heading7">
    <w:name w:val="heading 7"/>
    <w:basedOn w:val="Normal"/>
    <w:next w:val="Normal"/>
    <w:link w:val="Heading7Char"/>
    <w:uiPriority w:val="9"/>
    <w:unhideWhenUsed/>
    <w:qFormat/>
    <w:pPr>
      <w:spacing w:before="240" w:after="60" w:line="276" w:lineRule="auto"/>
      <w:outlineLvl w:val="6"/>
    </w:pPr>
    <w:rPr>
      <w:rFonts w:ascii="Calibri" w:eastAsia="Times New Roman" w:hAnsi="Calibri"/>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lang w:val="zh-CN" w:eastAsia="zh-CN"/>
    </w:rPr>
  </w:style>
  <w:style w:type="paragraph" w:styleId="BodyText">
    <w:name w:val="Body Text"/>
    <w:basedOn w:val="Normal"/>
    <w:link w:val="BodyTextChar"/>
    <w:qFormat/>
    <w:pPr>
      <w:spacing w:after="120"/>
    </w:pPr>
    <w:rPr>
      <w:lang w:val="zh-CN" w:eastAsia="zh-CN"/>
    </w:rPr>
  </w:style>
  <w:style w:type="paragraph" w:styleId="BodyTextIndent">
    <w:name w:val="Body Text Indent"/>
    <w:basedOn w:val="Normal"/>
    <w:link w:val="BodyTextIndentChar"/>
    <w:unhideWhenUsed/>
    <w:pPr>
      <w:spacing w:after="120"/>
      <w:ind w:left="283"/>
    </w:pPr>
    <w:rPr>
      <w:lang w:val="zh-CN" w:eastAsia="zh-CN"/>
    </w:rPr>
  </w:style>
  <w:style w:type="paragraph" w:styleId="BodyTextFirstIndent2">
    <w:name w:val="Body Text First Indent 2"/>
    <w:basedOn w:val="BodyTextIndent"/>
    <w:link w:val="BodyTextFirstIndent2Char"/>
    <w:uiPriority w:val="99"/>
    <w:unhideWhenUsed/>
    <w:pPr>
      <w:spacing w:after="160"/>
      <w:ind w:left="360" w:firstLine="360"/>
    </w:pPr>
    <w:rPr>
      <w:rFonts w:ascii="Calibri" w:eastAsia="Calibri" w:hAnsi="Calibri"/>
      <w:sz w:val="22"/>
      <w:szCs w:val="22"/>
      <w:lang w:val="en-US" w:eastAsia="en-US"/>
    </w:rPr>
  </w:style>
  <w:style w:type="paragraph" w:styleId="BodyTextIndent3">
    <w:name w:val="Body Text Indent 3"/>
    <w:basedOn w:val="Normal"/>
    <w:pPr>
      <w:ind w:firstLine="360"/>
      <w:jc w:val="both"/>
    </w:pPr>
  </w:style>
  <w:style w:type="paragraph" w:styleId="Caption">
    <w:name w:val="caption"/>
    <w:basedOn w:val="Normal"/>
    <w:next w:val="Normal"/>
    <w:uiPriority w:val="35"/>
    <w:unhideWhenUsed/>
    <w:qFormat/>
    <w:pPr>
      <w:spacing w:after="200"/>
    </w:pPr>
    <w:rPr>
      <w:rFonts w:ascii="Calibri" w:eastAsia="Calibri" w:hAnsi="Calibri"/>
      <w:b/>
      <w:bCs/>
      <w:color w:val="4472C4"/>
      <w:sz w:val="18"/>
      <w:szCs w:val="18"/>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nhideWhenUsed/>
    <w:rPr>
      <w:b/>
      <w:bCs/>
    </w:rPr>
  </w:style>
  <w:style w:type="paragraph" w:styleId="EndnoteText">
    <w:name w:val="endnote text"/>
    <w:basedOn w:val="Normal"/>
    <w:link w:val="EndnoteTextChar"/>
    <w:unhideWhenUsed/>
    <w:rPr>
      <w:sz w:val="20"/>
      <w:szCs w:val="20"/>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FootnoteText">
    <w:name w:val="footnote text"/>
    <w:basedOn w:val="Normal"/>
    <w:link w:val="FootnoteTextChar"/>
    <w:unhideWhenUsed/>
    <w:rPr>
      <w:sz w:val="20"/>
      <w:szCs w:val="20"/>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paragraph" w:styleId="NormalWeb">
    <w:name w:val="Normal (Web)"/>
    <w:basedOn w:val="Normal"/>
    <w:uiPriority w:val="99"/>
    <w:unhideWhenUsed/>
    <w:pPr>
      <w:spacing w:before="100" w:beforeAutospacing="1" w:after="100" w:afterAutospacing="1"/>
    </w:pPr>
    <w:rPr>
      <w:rFonts w:eastAsia="Times New Roman"/>
    </w:rPr>
  </w:style>
  <w:style w:type="character" w:styleId="CommentReference">
    <w:name w:val="annotation reference"/>
    <w:unhideWhenUsed/>
    <w:rPr>
      <w:sz w:val="16"/>
      <w:szCs w:val="16"/>
    </w:rPr>
  </w:style>
  <w:style w:type="character" w:styleId="Emphasis">
    <w:name w:val="Emphasis"/>
    <w:uiPriority w:val="20"/>
    <w:qFormat/>
    <w:rPr>
      <w:rFonts w:cs="Times New Roman"/>
      <w:i/>
      <w:iCs/>
    </w:rPr>
  </w:style>
  <w:style w:type="character" w:styleId="EndnoteReference">
    <w:name w:val="endnote reference"/>
    <w:unhideWhenUsed/>
    <w:rPr>
      <w:vertAlign w:val="superscript"/>
    </w:rPr>
  </w:style>
  <w:style w:type="character" w:styleId="FollowedHyperlink">
    <w:name w:val="FollowedHyperlink"/>
    <w:rPr>
      <w:color w:val="800080"/>
      <w:u w:val="single"/>
    </w:rPr>
  </w:style>
  <w:style w:type="character" w:styleId="FootnoteReference">
    <w:name w:val="footnote reference"/>
    <w:unhideWhenUsed/>
    <w:rPr>
      <w:vertAlign w:val="superscript"/>
    </w:rPr>
  </w:style>
  <w:style w:type="character" w:styleId="HTMLCite">
    <w:name w:val="HTML Cite"/>
    <w:uiPriority w:val="99"/>
    <w:unhideWhenUsed/>
    <w:rPr>
      <w:i/>
      <w:iCs/>
    </w:rPr>
  </w:style>
  <w:style w:type="character" w:styleId="Hyperlink">
    <w:name w:val="Hyperlink"/>
    <w:uiPriority w:val="99"/>
    <w:rPr>
      <w:color w:val="0000FF"/>
      <w:u w:val="single"/>
    </w:rPr>
  </w:style>
  <w:style w:type="character" w:styleId="Strong">
    <w:name w:val="Strong"/>
    <w:uiPriority w:val="22"/>
    <w:qFormat/>
    <w:rPr>
      <w:b/>
      <w:bCs/>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BalloonTextChar">
    <w:name w:val="Balloon Text Char"/>
    <w:link w:val="BalloonText"/>
    <w:rPr>
      <w:rFonts w:ascii="Tahoma" w:eastAsia="MS Mincho" w:hAnsi="Tahoma" w:cs="Tahoma"/>
      <w:sz w:val="16"/>
      <w:szCs w:val="16"/>
    </w:rPr>
  </w:style>
  <w:style w:type="character" w:customStyle="1" w:styleId="HeaderChar">
    <w:name w:val="Header Char"/>
    <w:link w:val="Header"/>
    <w:uiPriority w:val="99"/>
    <w:rPr>
      <w:rFonts w:eastAsia="MS Mincho"/>
      <w:sz w:val="24"/>
      <w:szCs w:val="24"/>
    </w:rPr>
  </w:style>
  <w:style w:type="character" w:customStyle="1" w:styleId="FooterChar">
    <w:name w:val="Footer Char"/>
    <w:link w:val="Footer"/>
    <w:uiPriority w:val="99"/>
    <w:rPr>
      <w:rFonts w:eastAsia="MS Mincho"/>
      <w:sz w:val="24"/>
      <w:szCs w:val="24"/>
    </w:rPr>
  </w:style>
  <w:style w:type="character" w:customStyle="1" w:styleId="EndnoteTextChar">
    <w:name w:val="Endnote Text Char"/>
    <w:link w:val="EndnoteText"/>
    <w:semiHidden/>
    <w:rPr>
      <w:rFonts w:eastAsia="MS Mincho"/>
    </w:rPr>
  </w:style>
  <w:style w:type="character" w:customStyle="1" w:styleId="FootnoteTextChar">
    <w:name w:val="Footnote Text Char"/>
    <w:link w:val="FootnoteText"/>
    <w:rPr>
      <w:rFonts w:eastAsia="MS Mincho"/>
    </w:rPr>
  </w:style>
  <w:style w:type="paragraph" w:customStyle="1" w:styleId="ListParagraph1">
    <w:name w:val="List Paragraph1"/>
    <w:basedOn w:val="Normal"/>
    <w:link w:val="ListParagraphChar"/>
    <w:qFormat/>
    <w:pPr>
      <w:ind w:left="720"/>
      <w:contextualSpacing/>
    </w:pPr>
    <w:rPr>
      <w:lang w:val="zh-CN" w:eastAsia="zh-CN"/>
    </w:rPr>
  </w:style>
  <w:style w:type="character" w:customStyle="1" w:styleId="ListParagraphChar">
    <w:name w:val="List Paragraph Char"/>
    <w:link w:val="ListParagraph1"/>
    <w:qFormat/>
    <w:locked/>
    <w:rPr>
      <w:rFonts w:eastAsia="MS Mincho"/>
      <w:sz w:val="24"/>
      <w:szCs w:val="24"/>
    </w:rPr>
  </w:style>
  <w:style w:type="character" w:customStyle="1" w:styleId="BodyTextIndentChar">
    <w:name w:val="Body Text Indent Char"/>
    <w:link w:val="BodyTextIndent"/>
    <w:rPr>
      <w:rFonts w:eastAsia="MS Mincho"/>
      <w:sz w:val="24"/>
      <w:szCs w:val="24"/>
    </w:rPr>
  </w:style>
  <w:style w:type="character" w:customStyle="1" w:styleId="Heading7Char">
    <w:name w:val="Heading 7 Char"/>
    <w:link w:val="Heading7"/>
    <w:uiPriority w:val="9"/>
    <w:semiHidden/>
    <w:rPr>
      <w:rFonts w:ascii="Calibri" w:hAnsi="Calibri"/>
      <w:sz w:val="24"/>
      <w:szCs w:val="24"/>
    </w:rPr>
  </w:style>
  <w:style w:type="character" w:customStyle="1" w:styleId="BodyTextChar">
    <w:name w:val="Body Text Char"/>
    <w:link w:val="BodyText"/>
    <w:qFormat/>
    <w:rPr>
      <w:rFonts w:eastAsia="MS Mincho"/>
      <w:sz w:val="24"/>
      <w:szCs w:val="24"/>
    </w:rPr>
  </w:style>
  <w:style w:type="character" w:customStyle="1" w:styleId="author">
    <w:name w:val="author"/>
    <w:basedOn w:val="DefaultParagraphFont"/>
    <w:qFormat/>
  </w:style>
  <w:style w:type="paragraph" w:customStyle="1" w:styleId="ListParagraph10">
    <w:name w:val="List Paragraph1"/>
    <w:basedOn w:val="Normal"/>
    <w:uiPriority w:val="34"/>
    <w:qFormat/>
    <w:pPr>
      <w:spacing w:line="264" w:lineRule="auto"/>
      <w:ind w:left="720"/>
      <w:contextualSpacing/>
      <w:jc w:val="both"/>
    </w:pPr>
    <w:rPr>
      <w:rFonts w:eastAsia="SimSun"/>
    </w:rPr>
  </w:style>
  <w:style w:type="character" w:customStyle="1" w:styleId="st">
    <w:name w:val="st"/>
    <w:basedOn w:val="DefaultParagraphFont"/>
    <w:qFormat/>
  </w:style>
  <w:style w:type="paragraph" w:customStyle="1" w:styleId="NoSpacing1">
    <w:name w:val="No Spacing1"/>
    <w:link w:val="NoSpacingChar"/>
    <w:uiPriority w:val="1"/>
    <w:qFormat/>
    <w:rPr>
      <w:rFonts w:ascii="Calibri" w:eastAsia="Calibri" w:hAnsi="Calibri"/>
      <w:sz w:val="22"/>
      <w:szCs w:val="22"/>
      <w:lang w:val="en-US" w:eastAsia="en-US"/>
    </w:rPr>
  </w:style>
  <w:style w:type="character" w:customStyle="1" w:styleId="NoSpacingChar">
    <w:name w:val="No Spacing Char"/>
    <w:link w:val="NoSpacing1"/>
    <w:uiPriority w:val="1"/>
    <w:qFormat/>
    <w:rPr>
      <w:rFonts w:ascii="Calibri" w:eastAsia="Calibri" w:hAnsi="Calibri"/>
      <w:sz w:val="22"/>
      <w:szCs w:val="22"/>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CommentTextChar">
    <w:name w:val="Comment Text Char"/>
    <w:link w:val="CommentText"/>
    <w:semiHidden/>
    <w:rPr>
      <w:rFonts w:eastAsia="MS Mincho"/>
    </w:rPr>
  </w:style>
  <w:style w:type="character" w:customStyle="1" w:styleId="CommentSubjectChar">
    <w:name w:val="Comment Subject Char"/>
    <w:link w:val="CommentSubject"/>
    <w:semiHidden/>
    <w:rPr>
      <w:rFonts w:eastAsia="MS Mincho"/>
      <w:b/>
      <w:bCs/>
    </w:rPr>
  </w:style>
  <w:style w:type="paragraph" w:customStyle="1" w:styleId="TableParagraph">
    <w:name w:val="Table Paragraph"/>
    <w:basedOn w:val="Normal"/>
    <w:qFormat/>
    <w:pPr>
      <w:widowControl w:val="0"/>
      <w:autoSpaceDE w:val="0"/>
      <w:autoSpaceDN w:val="0"/>
      <w:spacing w:line="210" w:lineRule="exact"/>
      <w:ind w:left="106"/>
    </w:pPr>
    <w:rPr>
      <w:rFonts w:eastAsia="Times New Roman"/>
      <w:sz w:val="22"/>
      <w:szCs w:val="22"/>
      <w:lang w:val="zh-CN" w:eastAsia="zh-CN"/>
    </w:rPr>
  </w:style>
  <w:style w:type="character" w:customStyle="1" w:styleId="BodyTextFirstIndent2Char">
    <w:name w:val="Body Text First Indent 2 Char"/>
    <w:link w:val="BodyTextFirstIndent2"/>
    <w:uiPriority w:val="99"/>
    <w:rPr>
      <w:rFonts w:ascii="Calibri" w:eastAsia="Calibri" w:hAnsi="Calibri"/>
      <w:sz w:val="22"/>
      <w:szCs w:val="22"/>
    </w:rPr>
  </w:style>
  <w:style w:type="character" w:customStyle="1" w:styleId="PlaceholderText1">
    <w:name w:val="Placeholder Text1"/>
    <w:uiPriority w:val="99"/>
    <w:semiHidden/>
    <w:rPr>
      <w:color w:val="808080"/>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UnresolvedMention1">
    <w:name w:val="Unresolved Mention1"/>
    <w:uiPriority w:val="99"/>
    <w:unhideWhenUsed/>
    <w:rPr>
      <w:color w:val="605E5C"/>
      <w:shd w:val="clear" w:color="auto" w:fill="E1DFDD"/>
    </w:rPr>
  </w:style>
  <w:style w:type="table" w:customStyle="1" w:styleId="PlainTable21">
    <w:name w:val="Plain Table 21"/>
    <w:basedOn w:val="TableNormal"/>
    <w:uiPriority w:val="42"/>
    <w:rPr>
      <w:rFonts w:ascii="Calibri" w:eastAsia="Calibri"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efault">
    <w:name w:val="Default"/>
    <w:pPr>
      <w:autoSpaceDE w:val="0"/>
      <w:autoSpaceDN w:val="0"/>
      <w:adjustRightInd w:val="0"/>
    </w:pPr>
    <w:rPr>
      <w:rFonts w:ascii="Arial" w:eastAsia="Calibri" w:hAnsi="Arial" w:cs="Arial"/>
      <w:color w:val="000000"/>
      <w:sz w:val="24"/>
      <w:szCs w:val="24"/>
      <w:lang w:val="en-US" w:eastAsia="en-US"/>
    </w:rPr>
  </w:style>
  <w:style w:type="table" w:customStyle="1" w:styleId="LightShading1">
    <w:name w:val="Light Shading1"/>
    <w:basedOn w:val="TableNormal"/>
    <w:uiPriority w:val="60"/>
    <w:rPr>
      <w:rFonts w:ascii="Calibri" w:hAnsi="Calibri"/>
      <w:color w:val="000000"/>
      <w:sz w:val="22"/>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5Char">
    <w:name w:val="Heading 5 Char"/>
    <w:basedOn w:val="DefaultParagraphFont"/>
    <w:link w:val="Heading5"/>
    <w:uiPriority w:val="9"/>
    <w:rPr>
      <w:rFonts w:ascii="Iowan Old Style Roman" w:hAnsi="Iowan Old Style Roman"/>
      <w:b/>
      <w:color w:val="941100"/>
      <w:sz w:val="28"/>
      <w:szCs w:val="24"/>
      <w:lang w:val="id"/>
    </w:rPr>
  </w:style>
  <w:style w:type="table" w:customStyle="1" w:styleId="PlainTable22">
    <w:name w:val="Plain Table 22"/>
    <w:basedOn w:val="TableNormal"/>
    <w:uiPriority w:val="42"/>
    <w:rPr>
      <w:rFonts w:ascii="Calibri" w:eastAsia="Calibri" w:hAnsi="Calibri" w:cs="Arial"/>
      <w:lang w:val="id"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107/pgpaudtrunojoyo.v9i1.13537"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21107/pgpaudtrunojoyo.v9i1.1353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47821032093567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1107/pgpaudtrunojoyo.v9i1.13537" TargetMode="External"/><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Penulis%20Pertama@gmail.com"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23887/paud.v9i3"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TEMPLATE-JPFI</vt:lpstr>
    </vt:vector>
  </TitlesOfParts>
  <Company>Microsoft Corporation</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creator>crystal</dc:creator>
  <cp:lastModifiedBy>Reviewer</cp:lastModifiedBy>
  <cp:revision>4</cp:revision>
  <cp:lastPrinted>2021-12-22T18:48:00Z</cp:lastPrinted>
  <dcterms:created xsi:type="dcterms:W3CDTF">2023-04-04T05:37:00Z</dcterms:created>
  <dcterms:modified xsi:type="dcterms:W3CDTF">2023-04-04T09:33:00Z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48bd6a1f-ead7-30b1-97ed-68b6a30dcdc9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1033-3.1.4.5932</vt:lpwstr>
  </property>
</Properties>
</file>