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74" w:after="0" w:line="230" w:lineRule="auto"/>
        <w:ind w:left="1440" w:right="0"/>
        <w:jc w:val="left"/>
      </w:pPr>
      <w:r>
        <w:rPr>
          <w:rFonts w:ascii="Times New Roman" w:hAnsi="Times New Roman" w:cs="Times New Roman" w:eastAsia="Times New Roman"/>
          <w:color w:val="333333"/>
          <w:sz w:val="31"/>
        </w:rPr>
        <w:t>Deep Learning for Natural Language Processing: A Comprehensive Review</w:t>
      </w:r>
    </w:p>
    <w:p>
      <w:pPr>
        <w:spacing w:before="412" w:after="294" w:line="262" w:lineRule="auto"/>
        <w:ind w:left="1440" w:right="2160"/>
        <w:jc w:val="left"/>
      </w:pPr>
      <w:r>
        <w:rPr>
          <w:rFonts w:ascii="Arial" w:hAnsi="Arial" w:cs="Arial" w:eastAsia="Arial"/>
          <w:color w:val="333333"/>
          <w:sz w:val="26"/>
        </w:rPr>
        <w:t>This paper presents a comprehensive review of deep learning techniques applied to natural language processing tasks.</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Article title</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300" w:lineRule="auto"/>
              <w:jc w:val="left"/>
            </w:pPr>
            <w:r>
              <w:rPr>
                <w:rFonts w:ascii="Arial" w:hAnsi="Arial" w:cs="Arial" w:eastAsia="Arial"/>
                <w:b/>
                <w:color w:val="333333"/>
                <w:sz w:val="26"/>
              </w:rPr>
              <w:t>Deep Learning for Natural Language Processing: A Comprehensive Review</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Author details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60" w:after="20" w:line="280" w:lineRule="auto"/>
              <w:jc w:val="left"/>
            </w:pPr>
            <w:r>
              <w:rPr>
                <w:rFonts w:ascii="Arial" w:hAnsi="Arial" w:cs="Arial" w:eastAsia="Arial"/>
                <w:b/>
                <w:color w:val="333333"/>
                <w:sz w:val="26"/>
              </w:rPr>
              <w:t xml:space="preserve">1. </w:t>
            </w:r>
            <w:r>
              <w:rPr>
                <w:rFonts w:ascii="Arial" w:hAnsi="Arial" w:cs="Arial" w:eastAsia="Arial"/>
                <w:b/>
                <w:color w:val="333333"/>
                <w:sz w:val="26"/>
              </w:rPr>
              <w:t>John Smith</w:t>
            </w:r>
          </w:p>
          <w:p>
            <w:pPr>
              <w:spacing w:before="0" w:after="20" w:line="280" w:lineRule="auto"/>
              <w:jc w:val="left"/>
            </w:pPr>
            <w:r>
              <w:rPr>
                <w:rFonts w:ascii="Arial" w:hAnsi="Arial" w:cs="Arial" w:eastAsia="Arial"/>
                <w:i/>
                <w:color w:val="333333"/>
                <w:sz w:val="26"/>
              </w:rPr>
              <w:t>University of Technology</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john@univ.edu</w:t>
            </w:r>
          </w:p>
          <w:p>
            <w:pPr>
              <w:spacing w:before="60" w:after="20" w:line="280" w:lineRule="auto"/>
              <w:jc w:val="left"/>
            </w:pPr>
            <w:r>
              <w:rPr>
                <w:rFonts w:ascii="Arial" w:hAnsi="Arial" w:cs="Arial" w:eastAsia="Arial"/>
                <w:b/>
                <w:color w:val="333333"/>
                <w:sz w:val="26"/>
              </w:rPr>
              <w:t xml:space="preserve">2. </w:t>
            </w:r>
            <w:r>
              <w:rPr>
                <w:rFonts w:ascii="Arial" w:hAnsi="Arial" w:cs="Arial" w:eastAsia="Arial"/>
                <w:b/>
                <w:color w:val="333333"/>
                <w:sz w:val="26"/>
              </w:rPr>
              <w:t>Jane Doe</w:t>
            </w:r>
          </w:p>
          <w:p>
            <w:pPr>
              <w:spacing w:before="0" w:after="20" w:line="280" w:lineRule="auto"/>
              <w:jc w:val="left"/>
            </w:pPr>
            <w:r>
              <w:rPr>
                <w:rFonts w:ascii="Arial" w:hAnsi="Arial" w:cs="Arial" w:eastAsia="Arial"/>
                <w:i/>
                <w:color w:val="333333"/>
                <w:sz w:val="26"/>
              </w:rPr>
              <w:t>Research Institute</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jane@ri.edu</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Structured abstract</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Keywords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deep learning, natural language processing, transformers, attention mechanism, neural networks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spacing w:before="240" w:after="120" w:line="300" w:lineRule="auto"/>
        <w:ind w:left="1440" w:right="2160"/>
      </w:pPr>
      <w:r>
        <w:rPr>
          <w:rFonts w:ascii="Arial" w:hAnsi="Arial" w:cs="Arial" w:eastAsia="Arial"/>
          <w:b/>
          <w:color w:val="333333"/>
          <w:sz w:val="24"/>
        </w:rPr>
        <w:t>References</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References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40" w:after="40" w:line="260" w:lineRule="auto"/>
              <w:ind w:left="360" w:hanging="360"/>
              <w:jc w:val="left"/>
            </w:pPr>
            <w:r>
              <w:rPr>
                <w:rFonts w:ascii="Arial" w:hAnsi="Arial" w:cs="Arial" w:eastAsia="Arial"/>
                <w:color w:val="333333"/>
                <w:sz w:val="24"/>
              </w:rPr>
              <w:t xml:space="preserve">[1] </w:t>
            </w:r>
          </w:p>
          <w:p>
            <w:pPr>
              <w:spacing w:before="40" w:after="40" w:line="260" w:lineRule="auto"/>
              <w:ind w:left="360" w:hanging="360"/>
              <w:jc w:val="left"/>
            </w:pPr>
            <w:r>
              <w:rPr>
                <w:rFonts w:ascii="Arial" w:hAnsi="Arial" w:cs="Arial" w:eastAsia="Arial"/>
                <w:color w:val="333333"/>
                <w:sz w:val="24"/>
              </w:rPr>
              <w:t xml:space="preserve">[2] </w:t>
            </w:r>
          </w:p>
          <w:p>
            <w:pPr>
              <w:spacing w:before="40" w:after="40" w:line="260" w:lineRule="auto"/>
              <w:ind w:left="360" w:hanging="360"/>
              <w:jc w:val="left"/>
            </w:pPr>
            <w:r>
              <w:rPr>
                <w:rFonts w:ascii="Arial" w:hAnsi="Arial" w:cs="Arial" w:eastAsia="Arial"/>
                <w:color w:val="333333"/>
                <w:sz w:val="24"/>
              </w:rPr>
              <w:t xml:space="preserve">[3] </w:t>
            </w:r>
          </w:p>
          <w:p>
            <w:pPr>
              <w:spacing w:before="40" w:after="40" w:line="260" w:lineRule="auto"/>
              <w:ind w:left="360" w:hanging="360"/>
              <w:jc w:val="left"/>
            </w:pPr>
            <w:r>
              <w:rPr>
                <w:rFonts w:ascii="Arial" w:hAnsi="Arial" w:cs="Arial" w:eastAsia="Arial"/>
                <w:color w:val="333333"/>
                <w:sz w:val="24"/>
              </w:rPr>
              <w:t xml:space="preserve">[4] </w:t>
            </w:r>
          </w:p>
          <w:p>
            <w:pPr>
              <w:spacing w:before="40" w:after="40" w:line="260" w:lineRule="auto"/>
              <w:ind w:left="360" w:hanging="360"/>
              <w:jc w:val="left"/>
            </w:pPr>
            <w:r>
              <w:rPr>
                <w:rFonts w:ascii="Arial" w:hAnsi="Arial" w:cs="Arial" w:eastAsia="Arial"/>
                <w:color w:val="333333"/>
                <w:sz w:val="24"/>
              </w:rPr>
              <w:t xml:space="preserve">[5] </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p>
      <w:pPr>
        <w:sectPr>
          <w:type w:val="continuous"/>
          <w:pgSz w:w="12240" w:h="15840"/>
          <w:pgMar w:top="0" w:right="0" w:bottom="0" w:left="0" w:header="720" w:footer="720" w:gutter="0"/>
          <w:cols w:num="1"/>
        </w:sectPr>
      </w:pPr>
    </w:p>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tbl>
      <w:tblPr>
        <w:tblW w:type="auto" w:w="0"/>
        <w:tblLook w:firstColumn="1" w:firstRow="1" w:lastColumn="0" w:lastRow="0" w:noHBand="0" w:noVBand="1" w:val="04A0"/>
      </w:tblPr>
      <w:tblGrid>
        <w:gridCol w:w="4680"/>
        <w:gridCol w:w="4680"/>
      </w:tblGrid>
      <w:tr>
        <w:tc>
          <w:tcPr>
            <w:tcW w:type="dxa" w:w="4680"/>
          </w:tcPr>
          <w:p>
            <w:r>
              <w:t>Placeholder 0,0</w:t>
            </w:r>
          </w:p>
        </w:tc>
        <w:tc>
          <w:tcPr>
            <w:tcW w:type="dxa" w:w="4680"/>
          </w:tcPr>
          <w:p>
            <w:r>
              <w:t>Placeholder 0,1</w:t>
            </w:r>
          </w:p>
        </w:tc>
      </w:tr>
      <w:tr>
        <w:tc>
          <w:tcPr>
            <w:tcW w:type="dxa" w:w="4680"/>
          </w:tcPr>
          <w:p>
            <w:r>
              <w:t>Placeholder 1,0</w:t>
            </w:r>
          </w:p>
        </w:tc>
        <w:tc>
          <w:tcPr>
            <w:tcW w:type="dxa" w:w="4680"/>
          </w:tcPr>
          <w:p>
            <w:r>
              <w:t>Placeholder 1,1</w:t>
            </w:r>
          </w:p>
        </w:tc>
      </w:tr>
    </w:tbl>
    <w:sectPr>
      <w:pgSz w:w="12240" w:h="15840"/>
      <w:pgMar w:top="0" w:right="0" w:bottom="0" w:left="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eraldgrouppublishing.com/services/authors/author-how-guides/structure-your-journal-submission" TargetMode="External"/><Relationship Id="rId10" Type="http://schemas.openxmlformats.org/officeDocument/2006/relationships/hyperlink" Target="https://www.emeraldgrouppublishing.com/services/authors/research-and-publishing-ethics" TargetMode="External"/><Relationship Id="rId11" Type="http://schemas.openxmlformats.org/officeDocument/2006/relationships/hyperlink" Target="https://www.emeraldgrouppublishing.com/services/authors/author-how-guides/write-article-abstract" TargetMode="External"/><Relationship Id="rId12" Type="http://schemas.openxmlformats.org/officeDocument/2006/relationships/hyperlink" Target="https://www.emeraldgrouppublishing.com/services/authors/author-how-guides/make-your-research-easy-find-seo" TargetMode="External"/><Relationship Id="rId13" Type="http://schemas.openxmlformats.org/officeDocument/2006/relationships/hyperlink" Target="https://commons.datacite.org/repositories" TargetMode="External"/><Relationship Id="rId14" Type="http://schemas.openxmlformats.org/officeDocument/2006/relationships/hyperlink" Target="https://www.re3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